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4, narrative edition)</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991_3359597930">
            <w:r>
              <w:rPr>
                <w:rStyle w:val="IndexLink"/>
              </w:rPr>
              <w:t>Executive Summary</w:t>
              <w:tab/>
              <w:t>6</w:t>
            </w:r>
          </w:hyperlink>
        </w:p>
        <w:p>
          <w:pPr>
            <w:pStyle w:val="TOC1"/>
            <w:tabs>
              <w:tab w:val="clear" w:pos="9026"/>
              <w:tab w:val="right" w:pos="9025" w:leader="dot"/>
            </w:tabs>
            <w:rPr/>
          </w:pPr>
          <w:hyperlink w:anchor="__RefHeading___Toc993_3359597930">
            <w:r>
              <w:rPr>
                <w:rStyle w:val="IndexLink"/>
              </w:rPr>
              <w:t>1. Introduction and Methodology</w:t>
              <w:tab/>
              <w:t>9</w:t>
            </w:r>
          </w:hyperlink>
        </w:p>
        <w:p>
          <w:pPr>
            <w:pStyle w:val="TOC2"/>
            <w:tabs>
              <w:tab w:val="clear" w:pos="8743"/>
              <w:tab w:val="right" w:pos="9025" w:leader="dot"/>
            </w:tabs>
            <w:rPr/>
          </w:pPr>
          <w:hyperlink w:anchor="__RefHeading___Toc995_3359597930">
            <w:r>
              <w:rPr>
                <w:rStyle w:val="IndexLink"/>
              </w:rPr>
              <w:t>1.1 Purpose and Scope</w:t>
              <w:tab/>
              <w:t>9</w:t>
            </w:r>
          </w:hyperlink>
        </w:p>
        <w:p>
          <w:pPr>
            <w:pStyle w:val="TOC2"/>
            <w:tabs>
              <w:tab w:val="clear" w:pos="8743"/>
              <w:tab w:val="right" w:pos="9025" w:leader="dot"/>
            </w:tabs>
            <w:rPr/>
          </w:pPr>
          <w:hyperlink w:anchor="__RefHeading___Toc997_3359597930">
            <w:r>
              <w:rPr>
                <w:rStyle w:val="IndexLink"/>
              </w:rPr>
              <w:t>1.2 Evidence Base</w:t>
              <w:tab/>
              <w:t>9</w:t>
            </w:r>
          </w:hyperlink>
        </w:p>
        <w:p>
          <w:pPr>
            <w:pStyle w:val="TOC2"/>
            <w:tabs>
              <w:tab w:val="clear" w:pos="8743"/>
              <w:tab w:val="right" w:pos="9025" w:leader="dot"/>
            </w:tabs>
            <w:rPr/>
          </w:pPr>
          <w:hyperlink w:anchor="__RefHeading___Toc999_3359597930">
            <w:r>
              <w:rPr>
                <w:rStyle w:val="IndexLink"/>
              </w:rPr>
              <w:t>1.3 Readiness Framework</w:t>
              <w:tab/>
              <w:t>10</w:t>
            </w:r>
          </w:hyperlink>
        </w:p>
        <w:p>
          <w:pPr>
            <w:pStyle w:val="TOC2"/>
            <w:tabs>
              <w:tab w:val="clear" w:pos="8743"/>
              <w:tab w:val="right" w:pos="9025" w:leader="dot"/>
            </w:tabs>
            <w:rPr/>
          </w:pPr>
          <w:hyperlink w:anchor="__RefHeading___Toc1001_3359597930">
            <w:r>
              <w:rPr>
                <w:rStyle w:val="IndexLink"/>
              </w:rPr>
              <w:t>1.4 Limitations</w:t>
              <w:tab/>
              <w:t>10</w:t>
            </w:r>
          </w:hyperlink>
        </w:p>
        <w:p>
          <w:pPr>
            <w:pStyle w:val="TOC1"/>
            <w:tabs>
              <w:tab w:val="clear" w:pos="9026"/>
              <w:tab w:val="right" w:pos="9025" w:leader="dot"/>
            </w:tabs>
            <w:rPr/>
          </w:pPr>
          <w:hyperlink w:anchor="__RefHeading___Toc1003_3359597930">
            <w:r>
              <w:rPr>
                <w:rStyle w:val="IndexLink"/>
              </w:rPr>
              <w:t>2. Priority Value Chains and Value Chain Nodes</w:t>
              <w:tab/>
              <w:t>12</w:t>
            </w:r>
          </w:hyperlink>
        </w:p>
        <w:p>
          <w:pPr>
            <w:pStyle w:val="TOC2"/>
            <w:tabs>
              <w:tab w:val="clear" w:pos="8743"/>
              <w:tab w:val="right" w:pos="9025" w:leader="dot"/>
            </w:tabs>
            <w:rPr/>
          </w:pPr>
          <w:hyperlink w:anchor="__RefHeading___Toc1005_3359597930">
            <w:r>
              <w:rPr>
                <w:rStyle w:val="IndexLink"/>
              </w:rPr>
              <w:t>2.1 The Eight Value Chains</w:t>
              <w:tab/>
              <w:t>12</w:t>
            </w:r>
          </w:hyperlink>
        </w:p>
        <w:p>
          <w:pPr>
            <w:pStyle w:val="TOC2"/>
            <w:tabs>
              <w:tab w:val="clear" w:pos="8743"/>
              <w:tab w:val="right" w:pos="9025" w:leader="dot"/>
            </w:tabs>
            <w:rPr/>
          </w:pPr>
          <w:hyperlink w:anchor="__RefHeading___Toc1007_3359597930">
            <w:r>
              <w:rPr>
                <w:rStyle w:val="IndexLink"/>
              </w:rPr>
              <w:t>2.2 Value Chain Nodes</w:t>
              <w:tab/>
              <w:t>13</w:t>
            </w:r>
          </w:hyperlink>
        </w:p>
        <w:p>
          <w:pPr>
            <w:pStyle w:val="TOC1"/>
            <w:tabs>
              <w:tab w:val="clear" w:pos="9026"/>
              <w:tab w:val="right" w:pos="9025" w:leader="dot"/>
            </w:tabs>
            <w:rPr/>
          </w:pPr>
          <w:hyperlink w:anchor="__RefHeading___Toc1009_3359597930">
            <w:r>
              <w:rPr>
                <w:rStyle w:val="IndexLink"/>
              </w:rPr>
              <w:t>3. MSME Business Models</w:t>
              <w:tab/>
              <w:t>15</w:t>
            </w:r>
          </w:hyperlink>
        </w:p>
        <w:p>
          <w:pPr>
            <w:pStyle w:val="TOC2"/>
            <w:tabs>
              <w:tab w:val="clear" w:pos="8743"/>
              <w:tab w:val="right" w:pos="9025" w:leader="dot"/>
            </w:tabs>
            <w:rPr/>
          </w:pPr>
          <w:hyperlink w:anchor="__RefHeading___Toc1011_3359597930">
            <w:r>
              <w:rPr>
                <w:rStyle w:val="IndexLink"/>
              </w:rPr>
              <w:t>3.1 Common Features</w:t>
              <w:tab/>
              <w:t>15</w:t>
            </w:r>
          </w:hyperlink>
        </w:p>
        <w:p>
          <w:pPr>
            <w:pStyle w:val="TOC2"/>
            <w:tabs>
              <w:tab w:val="clear" w:pos="8743"/>
              <w:tab w:val="right" w:pos="9025" w:leader="dot"/>
            </w:tabs>
            <w:rPr/>
          </w:pPr>
          <w:hyperlink w:anchor="__RefHeading___Toc1013_3359597930">
            <w:r>
              <w:rPr>
                <w:rStyle w:val="IndexLink"/>
              </w:rPr>
              <w:t>3.2 Business Models by Value Chain</w:t>
              <w:tab/>
              <w:t>15</w:t>
            </w:r>
          </w:hyperlink>
        </w:p>
        <w:p>
          <w:pPr>
            <w:pStyle w:val="TOC1"/>
            <w:tabs>
              <w:tab w:val="clear" w:pos="9026"/>
              <w:tab w:val="right" w:pos="9025" w:leader="dot"/>
            </w:tabs>
            <w:rPr/>
          </w:pPr>
          <w:hyperlink w:anchor="__RefHeading___Toc1015_3359597930">
            <w:r>
              <w:rPr>
                <w:rStyle w:val="IndexLink"/>
              </w:rPr>
              <w:t>4. Financial Practices, Record-Keeping and Informality</w:t>
              <w:tab/>
              <w:t>17</w:t>
            </w:r>
          </w:hyperlink>
        </w:p>
        <w:p>
          <w:pPr>
            <w:pStyle w:val="TOC2"/>
            <w:tabs>
              <w:tab w:val="clear" w:pos="8743"/>
              <w:tab w:val="right" w:pos="9025" w:leader="dot"/>
            </w:tabs>
            <w:rPr/>
          </w:pPr>
          <w:hyperlink w:anchor="__RefHeading___Toc1017_3359597930">
            <w:r>
              <w:rPr>
                <w:rStyle w:val="IndexLink"/>
              </w:rPr>
              <w:t>4.1 Financial Practices</w:t>
              <w:tab/>
              <w:t>17</w:t>
            </w:r>
          </w:hyperlink>
        </w:p>
        <w:p>
          <w:pPr>
            <w:pStyle w:val="TOC2"/>
            <w:tabs>
              <w:tab w:val="clear" w:pos="8743"/>
              <w:tab w:val="right" w:pos="9025" w:leader="dot"/>
            </w:tabs>
            <w:rPr/>
          </w:pPr>
          <w:hyperlink w:anchor="__RefHeading___Toc1019_3359597930">
            <w:r>
              <w:rPr>
                <w:rStyle w:val="IndexLink"/>
              </w:rPr>
              <w:t>4.2 Record-Keeping</w:t>
              <w:tab/>
              <w:t>17</w:t>
            </w:r>
          </w:hyperlink>
        </w:p>
        <w:p>
          <w:pPr>
            <w:pStyle w:val="TOC2"/>
            <w:tabs>
              <w:tab w:val="clear" w:pos="8743"/>
              <w:tab w:val="right" w:pos="9025" w:leader="dot"/>
            </w:tabs>
            <w:rPr/>
          </w:pPr>
          <w:hyperlink w:anchor="__RefHeading___Toc1021_3359597930">
            <w:r>
              <w:rPr>
                <w:rStyle w:val="IndexLink"/>
              </w:rPr>
              <w:t>4.3 Informality and its Cost</w:t>
              <w:tab/>
              <w:t>17</w:t>
            </w:r>
          </w:hyperlink>
        </w:p>
        <w:p>
          <w:pPr>
            <w:pStyle w:val="TOC2"/>
            <w:tabs>
              <w:tab w:val="clear" w:pos="8743"/>
              <w:tab w:val="right" w:pos="9025" w:leader="dot"/>
            </w:tabs>
            <w:rPr/>
          </w:pPr>
          <w:hyperlink w:anchor="__RefHeading___Toc1023_3359597930">
            <w:r>
              <w:rPr>
                <w:rStyle w:val="IndexLink"/>
              </w:rPr>
              <w:t>4.4 Readiness by Value Chain</w:t>
              <w:tab/>
              <w:t>18</w:t>
            </w:r>
          </w:hyperlink>
        </w:p>
        <w:p>
          <w:pPr>
            <w:pStyle w:val="TOC1"/>
            <w:tabs>
              <w:tab w:val="clear" w:pos="9026"/>
              <w:tab w:val="right" w:pos="9025" w:leader="dot"/>
            </w:tabs>
            <w:rPr/>
          </w:pPr>
          <w:hyperlink w:anchor="__RefHeading___Toc1025_3359597930">
            <w:r>
              <w:rPr>
                <w:rStyle w:val="IndexLink"/>
              </w:rPr>
              <w:t>5. Variation by Gender, Age and Value Chain Node</w:t>
              <w:tab/>
              <w:t>19</w:t>
            </w:r>
          </w:hyperlink>
        </w:p>
        <w:p>
          <w:pPr>
            <w:pStyle w:val="TOC2"/>
            <w:tabs>
              <w:tab w:val="clear" w:pos="8743"/>
              <w:tab w:val="right" w:pos="9025" w:leader="dot"/>
            </w:tabs>
            <w:rPr/>
          </w:pPr>
          <w:hyperlink w:anchor="__RefHeading___Toc1027_3359597930">
            <w:r>
              <w:rPr>
                <w:rStyle w:val="IndexLink"/>
              </w:rPr>
              <w:t>5.1 What the Evidence Can and Cannot Say</w:t>
              <w:tab/>
              <w:t>19</w:t>
            </w:r>
          </w:hyperlink>
        </w:p>
        <w:p>
          <w:pPr>
            <w:pStyle w:val="TOC2"/>
            <w:tabs>
              <w:tab w:val="clear" w:pos="8743"/>
              <w:tab w:val="right" w:pos="9025" w:leader="dot"/>
            </w:tabs>
            <w:rPr/>
          </w:pPr>
          <w:hyperlink w:anchor="__RefHeading___Toc1029_3359597930">
            <w:r>
              <w:rPr>
                <w:rStyle w:val="IndexLink"/>
              </w:rPr>
              <w:t>5.2 Gender</w:t>
              <w:tab/>
              <w:t>19</w:t>
            </w:r>
          </w:hyperlink>
        </w:p>
        <w:p>
          <w:pPr>
            <w:pStyle w:val="TOC2"/>
            <w:tabs>
              <w:tab w:val="clear" w:pos="8743"/>
              <w:tab w:val="right" w:pos="9025" w:leader="dot"/>
            </w:tabs>
            <w:rPr/>
          </w:pPr>
          <w:hyperlink w:anchor="__RefHeading___Toc1031_3359597930">
            <w:r>
              <w:rPr>
                <w:rStyle w:val="IndexLink"/>
              </w:rPr>
              <w:t>5.3 Age</w:t>
              <w:tab/>
              <w:t>20</w:t>
            </w:r>
          </w:hyperlink>
        </w:p>
        <w:p>
          <w:pPr>
            <w:pStyle w:val="TOC2"/>
            <w:tabs>
              <w:tab w:val="clear" w:pos="8743"/>
              <w:tab w:val="right" w:pos="9025" w:leader="dot"/>
            </w:tabs>
            <w:rPr/>
          </w:pPr>
          <w:hyperlink w:anchor="__RefHeading___Toc1033_3359597930">
            <w:r>
              <w:rPr>
                <w:rStyle w:val="IndexLink"/>
              </w:rPr>
              <w:t>5.4 Value Chain Node</w:t>
              <w:tab/>
              <w:t>20</w:t>
            </w:r>
          </w:hyperlink>
        </w:p>
        <w:p>
          <w:pPr>
            <w:pStyle w:val="TOC1"/>
            <w:tabs>
              <w:tab w:val="clear" w:pos="9026"/>
              <w:tab w:val="right" w:pos="9025" w:leader="dot"/>
            </w:tabs>
            <w:rPr/>
          </w:pPr>
          <w:hyperlink w:anchor="__RefHeading___Toc1035_3359597930">
            <w:r>
              <w:rPr>
                <w:rStyle w:val="IndexLink"/>
              </w:rPr>
              <w:t>6. Capacity-Building Needs</w:t>
              <w:tab/>
              <w:t>21</w:t>
            </w:r>
          </w:hyperlink>
        </w:p>
        <w:p>
          <w:pPr>
            <w:pStyle w:val="TOC2"/>
            <w:tabs>
              <w:tab w:val="clear" w:pos="8743"/>
              <w:tab w:val="right" w:pos="9025" w:leader="dot"/>
            </w:tabs>
            <w:rPr/>
          </w:pPr>
          <w:hyperlink w:anchor="__RefHeading___Toc1037_3359597930">
            <w:r>
              <w:rPr>
                <w:rStyle w:val="IndexLink"/>
              </w:rPr>
              <w:t>6.1 MSMEs</w:t>
              <w:tab/>
              <w:t>21</w:t>
            </w:r>
          </w:hyperlink>
        </w:p>
        <w:p>
          <w:pPr>
            <w:pStyle w:val="TOC2"/>
            <w:tabs>
              <w:tab w:val="clear" w:pos="8743"/>
              <w:tab w:val="right" w:pos="9025" w:leader="dot"/>
            </w:tabs>
            <w:rPr/>
          </w:pPr>
          <w:hyperlink w:anchor="__RefHeading___Toc1039_3359597930">
            <w:r>
              <w:rPr>
                <w:rStyle w:val="IndexLink"/>
              </w:rPr>
              <w:t>6.2 Business Support Organisations</w:t>
              <w:tab/>
              <w:t>22</w:t>
            </w:r>
          </w:hyperlink>
        </w:p>
        <w:p>
          <w:pPr>
            <w:pStyle w:val="TOC2"/>
            <w:tabs>
              <w:tab w:val="clear" w:pos="8743"/>
              <w:tab w:val="right" w:pos="9025" w:leader="dot"/>
            </w:tabs>
            <w:rPr/>
          </w:pPr>
          <w:hyperlink w:anchor="__RefHeading___Toc1041_3359597930">
            <w:r>
              <w:rPr>
                <w:rStyle w:val="IndexLink"/>
              </w:rPr>
              <w:t>6.3 Financial Institutions</w:t>
              <w:tab/>
              <w:t>23</w:t>
            </w:r>
          </w:hyperlink>
        </w:p>
        <w:p>
          <w:pPr>
            <w:pStyle w:val="TOC1"/>
            <w:tabs>
              <w:tab w:val="clear" w:pos="9026"/>
              <w:tab w:val="right" w:pos="9025" w:leader="dot"/>
            </w:tabs>
            <w:rPr/>
          </w:pPr>
          <w:hyperlink w:anchor="__RefHeading___Toc1043_3359597930">
            <w:r>
              <w:rPr>
                <w:rStyle w:val="IndexLink"/>
              </w:rPr>
              <w:t>7. Enabling Environment</w:t>
              <w:tab/>
              <w:t>24</w:t>
            </w:r>
          </w:hyperlink>
        </w:p>
        <w:p>
          <w:pPr>
            <w:pStyle w:val="TOC2"/>
            <w:tabs>
              <w:tab w:val="clear" w:pos="8743"/>
              <w:tab w:val="right" w:pos="9025" w:leader="dot"/>
            </w:tabs>
            <w:rPr/>
          </w:pPr>
          <w:hyperlink w:anchor="__RefHeading___Toc1045_3359597930">
            <w:r>
              <w:rPr>
                <w:rStyle w:val="IndexLink"/>
              </w:rPr>
              <w:t>7.1 National and Regional Regulatory Frameworks</w:t>
              <w:tab/>
              <w:t>24</w:t>
            </w:r>
          </w:hyperlink>
        </w:p>
        <w:p>
          <w:pPr>
            <w:pStyle w:val="TOC2"/>
            <w:tabs>
              <w:tab w:val="clear" w:pos="8743"/>
              <w:tab w:val="right" w:pos="9025" w:leader="dot"/>
            </w:tabs>
            <w:rPr/>
          </w:pPr>
          <w:hyperlink w:anchor="__RefHeading___Toc1047_3359597930">
            <w:r>
              <w:rPr>
                <w:rStyle w:val="IndexLink"/>
              </w:rPr>
              <w:t>7.2 Market Access and Linkages with Larger Operators</w:t>
              <w:tab/>
              <w:t>28</w:t>
            </w:r>
          </w:hyperlink>
        </w:p>
        <w:p>
          <w:pPr>
            <w:pStyle w:val="TOC2"/>
            <w:tabs>
              <w:tab w:val="clear" w:pos="8743"/>
              <w:tab w:val="right" w:pos="9025" w:leader="dot"/>
            </w:tabs>
            <w:rPr/>
          </w:pPr>
          <w:hyperlink w:anchor="__RefHeading___Toc1049_3359597930">
            <w:r>
              <w:rPr>
                <w:rStyle w:val="IndexLink"/>
              </w:rPr>
              <w:t>7.3 Business Development Services</w:t>
              <w:tab/>
              <w:t>30</w:t>
            </w:r>
          </w:hyperlink>
        </w:p>
        <w:p>
          <w:pPr>
            <w:pStyle w:val="TOC2"/>
            <w:tabs>
              <w:tab w:val="clear" w:pos="8743"/>
              <w:tab w:val="right" w:pos="9025" w:leader="dot"/>
            </w:tabs>
            <w:rPr/>
          </w:pPr>
          <w:hyperlink w:anchor="__RefHeading___Toc1051_3359597930">
            <w:r>
              <w:rPr>
                <w:rStyle w:val="IndexLink"/>
              </w:rPr>
              <w:t>7.4 Policy Conditions</w:t>
              <w:tab/>
              <w:t>32</w:t>
            </w:r>
          </w:hyperlink>
        </w:p>
        <w:p>
          <w:pPr>
            <w:pStyle w:val="TOC1"/>
            <w:tabs>
              <w:tab w:val="clear" w:pos="9026"/>
              <w:tab w:val="right" w:pos="9025" w:leader="dot"/>
            </w:tabs>
            <w:rPr/>
          </w:pPr>
          <w:hyperlink w:anchor="__RefHeading___Toc1053_3359597930">
            <w:r>
              <w:rPr>
                <w:rStyle w:val="IndexLink"/>
              </w:rPr>
              <w:t>8. Readiness for Financial Products</w:t>
              <w:tab/>
              <w:t>33</w:t>
            </w:r>
          </w:hyperlink>
        </w:p>
        <w:p>
          <w:pPr>
            <w:pStyle w:val="TOC2"/>
            <w:tabs>
              <w:tab w:val="clear" w:pos="8743"/>
              <w:tab w:val="right" w:pos="9025" w:leader="dot"/>
            </w:tabs>
            <w:rPr/>
          </w:pPr>
          <w:hyperlink w:anchor="__RefHeading___Toc1055_3359597930">
            <w:r>
              <w:rPr>
                <w:rStyle w:val="IndexLink"/>
              </w:rPr>
              <w:t>8.1 The Effect of Seasonality on Debt</w:t>
              <w:tab/>
              <w:t>33</w:t>
            </w:r>
          </w:hyperlink>
        </w:p>
        <w:p>
          <w:pPr>
            <w:pStyle w:val="TOC2"/>
            <w:tabs>
              <w:tab w:val="clear" w:pos="8743"/>
              <w:tab w:val="right" w:pos="9025" w:leader="dot"/>
            </w:tabs>
            <w:rPr/>
          </w:pPr>
          <w:hyperlink w:anchor="__RefHeading___Toc1057_3359597930">
            <w:r>
              <w:rPr>
                <w:rStyle w:val="IndexLink"/>
              </w:rPr>
              <w:t>8.2 MSME Readiness by Product</w:t>
              <w:tab/>
              <w:t>33</w:t>
            </w:r>
          </w:hyperlink>
        </w:p>
        <w:p>
          <w:pPr>
            <w:pStyle w:val="TOC2"/>
            <w:tabs>
              <w:tab w:val="clear" w:pos="8743"/>
              <w:tab w:val="right" w:pos="9025" w:leader="dot"/>
            </w:tabs>
            <w:rPr/>
          </w:pPr>
          <w:hyperlink w:anchor="__RefHeading___Toc1059_3359597930">
            <w:r>
              <w:rPr>
                <w:rStyle w:val="IndexLink"/>
              </w:rPr>
              <w:t>8.3 Financial Institution Readiness by Product</w:t>
              <w:tab/>
              <w:t>34</w:t>
            </w:r>
          </w:hyperlink>
        </w:p>
        <w:p>
          <w:pPr>
            <w:pStyle w:val="TOC1"/>
            <w:tabs>
              <w:tab w:val="clear" w:pos="9026"/>
              <w:tab w:val="right" w:pos="9025" w:leader="dot"/>
            </w:tabs>
            <w:rPr/>
          </w:pPr>
          <w:hyperlink w:anchor="__RefHeading___Toc1061_3359597930">
            <w:r>
              <w:rPr>
                <w:rStyle w:val="IndexLink"/>
              </w:rPr>
              <w:t>9. Scalable Women- and Youth-Led Models</w:t>
              <w:tab/>
              <w:t>35</w:t>
            </w:r>
          </w:hyperlink>
        </w:p>
        <w:p>
          <w:pPr>
            <w:pStyle w:val="TOC1"/>
            <w:tabs>
              <w:tab w:val="clear" w:pos="9026"/>
              <w:tab w:val="right" w:pos="9025" w:leader="dot"/>
            </w:tabs>
            <w:rPr/>
          </w:pPr>
          <w:hyperlink w:anchor="__RefHeading___Toc1063_3359597930">
            <w:r>
              <w:rPr>
                <w:rStyle w:val="IndexLink"/>
              </w:rPr>
              <w:t>10. Recommended Capacity-Building Interventions</w:t>
              <w:tab/>
              <w:t>37</w:t>
            </w:r>
          </w:hyperlink>
        </w:p>
        <w:p>
          <w:pPr>
            <w:pStyle w:val="TOC2"/>
            <w:tabs>
              <w:tab w:val="clear" w:pos="8743"/>
              <w:tab w:val="right" w:pos="9025" w:leader="dot"/>
            </w:tabs>
            <w:rPr/>
          </w:pPr>
          <w:hyperlink w:anchor="__RefHeading___Toc1065_3359597930">
            <w:r>
              <w:rPr>
                <w:rStyle w:val="IndexLink"/>
              </w:rPr>
              <w:t>10.1 A Tiered Readiness Pathway</w:t>
              <w:tab/>
              <w:t>37</w:t>
            </w:r>
          </w:hyperlink>
        </w:p>
        <w:p>
          <w:pPr>
            <w:pStyle w:val="TOC2"/>
            <w:tabs>
              <w:tab w:val="clear" w:pos="8743"/>
              <w:tab w:val="right" w:pos="9025" w:leader="dot"/>
            </w:tabs>
            <w:rPr/>
          </w:pPr>
          <w:hyperlink w:anchor="__RefHeading___Toc1067_3359597930">
            <w:r>
              <w:rPr>
                <w:rStyle w:val="IndexLink"/>
              </w:rPr>
              <w:t>10.2 Gender-Transformative Approaches</w:t>
              <w:tab/>
              <w:t>37</w:t>
            </w:r>
          </w:hyperlink>
        </w:p>
        <w:p>
          <w:pPr>
            <w:pStyle w:val="TOC2"/>
            <w:tabs>
              <w:tab w:val="clear" w:pos="8743"/>
              <w:tab w:val="right" w:pos="9025" w:leader="dot"/>
            </w:tabs>
            <w:rPr/>
          </w:pPr>
          <w:hyperlink w:anchor="__RefHeading___Toc1069_3359597930">
            <w:r>
              <w:rPr>
                <w:rStyle w:val="IndexLink"/>
              </w:rPr>
              <w:t>10.3 Youth-Focused Incubation</w:t>
              <w:tab/>
              <w:t>38</w:t>
            </w:r>
          </w:hyperlink>
        </w:p>
        <w:p>
          <w:pPr>
            <w:pStyle w:val="TOC2"/>
            <w:tabs>
              <w:tab w:val="clear" w:pos="8743"/>
              <w:tab w:val="right" w:pos="9025" w:leader="dot"/>
            </w:tabs>
            <w:rPr/>
          </w:pPr>
          <w:hyperlink w:anchor="__RefHeading___Toc1071_3359597930">
            <w:r>
              <w:rPr>
                <w:rStyle w:val="IndexLink"/>
              </w:rPr>
              <w:t>10.4 Blended Support Packages</w:t>
              <w:tab/>
              <w:t>38</w:t>
            </w:r>
          </w:hyperlink>
        </w:p>
        <w:p>
          <w:pPr>
            <w:pStyle w:val="TOC2"/>
            <w:tabs>
              <w:tab w:val="clear" w:pos="8743"/>
              <w:tab w:val="right" w:pos="9025" w:leader="dot"/>
            </w:tabs>
            <w:rPr/>
          </w:pPr>
          <w:hyperlink w:anchor="__RefHeading___Toc1073_3359597930">
            <w:r>
              <w:rPr>
                <w:rStyle w:val="IndexLink"/>
              </w:rPr>
              <w:t>10.5 BSO Strengthening</w:t>
              <w:tab/>
              <w:t>38</w:t>
            </w:r>
          </w:hyperlink>
        </w:p>
        <w:p>
          <w:pPr>
            <w:pStyle w:val="TOC2"/>
            <w:tabs>
              <w:tab w:val="clear" w:pos="8743"/>
              <w:tab w:val="right" w:pos="9025" w:leader="dot"/>
            </w:tabs>
            <w:rPr/>
          </w:pPr>
          <w:hyperlink w:anchor="__RefHeading___Toc1075_3359597930">
            <w:r>
              <w:rPr>
                <w:rStyle w:val="IndexLink"/>
              </w:rPr>
              <w:t>10.6 Financial Institution Strengthening</w:t>
              <w:tab/>
              <w:t>39</w:t>
            </w:r>
          </w:hyperlink>
        </w:p>
        <w:p>
          <w:pPr>
            <w:pStyle w:val="TOC2"/>
            <w:tabs>
              <w:tab w:val="clear" w:pos="8743"/>
              <w:tab w:val="right" w:pos="9025" w:leader="dot"/>
            </w:tabs>
            <w:rPr/>
          </w:pPr>
          <w:hyperlink w:anchor="__RefHeading___Toc1077_3359597930">
            <w:r>
              <w:rPr>
                <w:rStyle w:val="IndexLink"/>
              </w:rPr>
              <w:t>10.7 Enabling Environment and Market Linkage Actions</w:t>
              <w:tab/>
              <w:t>39</w:t>
            </w:r>
          </w:hyperlink>
        </w:p>
        <w:p>
          <w:pPr>
            <w:pStyle w:val="TOC2"/>
            <w:tabs>
              <w:tab w:val="clear" w:pos="8743"/>
              <w:tab w:val="right" w:pos="9025" w:leader="dot"/>
            </w:tabs>
            <w:rPr/>
          </w:pPr>
          <w:hyperlink w:anchor="__RefHeading___Toc1079_3359597930">
            <w:r>
              <w:rPr>
                <w:rStyle w:val="IndexLink"/>
              </w:rPr>
              <w:t>10.8 Pathways to Financing</w:t>
              <w:tab/>
              <w:t>40</w:t>
            </w:r>
          </w:hyperlink>
        </w:p>
        <w:p>
          <w:pPr>
            <w:pStyle w:val="TOC2"/>
            <w:tabs>
              <w:tab w:val="clear" w:pos="8743"/>
              <w:tab w:val="right" w:pos="9025" w:leader="dot"/>
            </w:tabs>
            <w:rPr/>
          </w:pPr>
          <w:hyperlink w:anchor="__RefHeading___Toc1081_3359597930">
            <w:r>
              <w:rPr>
                <w:rStyle w:val="IndexLink"/>
              </w:rPr>
              <w:t>10.9 Priorities and Next Steps</w:t>
              <w:tab/>
              <w:t>40</w:t>
            </w:r>
          </w:hyperlink>
        </w:p>
        <w:p>
          <w:pPr>
            <w:pStyle w:val="TOC1"/>
            <w:tabs>
              <w:tab w:val="clear" w:pos="9026"/>
              <w:tab w:val="right" w:pos="9025" w:leader="dot"/>
            </w:tabs>
            <w:rPr/>
          </w:pPr>
          <w:hyperlink w:anchor="__RefHeading___Toc1083_3359597930">
            <w:r>
              <w:rPr>
                <w:rStyle w:val="IndexLink"/>
              </w:rPr>
              <w:t>Annex A: Evidence Map</w:t>
              <w:tab/>
              <w:t>41</w:t>
            </w:r>
          </w:hyperlink>
        </w:p>
        <w:p>
          <w:pPr>
            <w:pStyle w:val="TOC1"/>
            <w:tabs>
              <w:tab w:val="clear" w:pos="9026"/>
              <w:tab w:val="right" w:pos="9025" w:leader="dot"/>
            </w:tabs>
            <w:rPr/>
          </w:pPr>
          <w:hyperlink w:anchor="__RefHeading___Toc1085_3359597930">
            <w:r>
              <w:rPr>
                <w:rStyle w:val="IndexLink"/>
              </w:rPr>
              <w:t>Annex B: Closing the Gender and Age Data Gap</w:t>
              <w:tab/>
              <w:t>42</w:t>
            </w:r>
          </w:hyperlink>
        </w:p>
        <w:p>
          <w:pPr>
            <w:pStyle w:val="TOC1"/>
            <w:tabs>
              <w:tab w:val="clear" w:pos="9026"/>
              <w:tab w:val="right" w:pos="9025" w:leader="dot"/>
            </w:tabs>
            <w:rPr/>
          </w:pPr>
          <w:hyperlink w:anchor="__RefHeading___Toc1087_3359597930">
            <w:r>
              <w:rPr>
                <w:rStyle w:val="IndexLink"/>
              </w:rPr>
              <w:t>References</w:t>
              <w:tab/>
              <w:t>43</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p>
      <w:pPr>
        <w:pStyle w:val="Normal"/>
        <w:tabs>
          <w:tab w:val="clear" w:pos="720"/>
          <w:tab w:val="left" w:pos="1700" w:leader="none"/>
        </w:tabs>
        <w:spacing w:before="0" w:after="60"/>
        <w:ind w:hanging="1700" w:left="1700"/>
        <w:rPr/>
      </w:pPr>
      <w:r>
        <w:rPr>
          <w:b/>
          <w:bCs/>
        </w:rPr>
        <w:t>AFAWA</w:t>
      </w:r>
      <w:r>
        <w:rPr/>
        <w:tab/>
        <w:t>Affirmative Finance Action for Women in Africa (AfDB)</w:t>
      </w:r>
    </w:p>
    <w:p>
      <w:pPr>
        <w:pStyle w:val="Normal"/>
        <w:tabs>
          <w:tab w:val="clear" w:pos="720"/>
          <w:tab w:val="left" w:pos="1700" w:leader="none"/>
        </w:tabs>
        <w:spacing w:before="0" w:after="60"/>
        <w:ind w:hanging="1700" w:left="1700"/>
        <w:rPr/>
      </w:pPr>
      <w:r>
        <w:rPr>
          <w:b/>
          <w:bCs/>
        </w:rPr>
        <w:t>AFI</w:t>
      </w:r>
      <w:r>
        <w:rPr/>
        <w:tab/>
        <w:t>Alliance for Financial Inclusion</w:t>
      </w:r>
    </w:p>
    <w:p>
      <w:pPr>
        <w:pStyle w:val="Normal"/>
        <w:tabs>
          <w:tab w:val="clear" w:pos="720"/>
          <w:tab w:val="left" w:pos="1700" w:leader="none"/>
        </w:tabs>
        <w:spacing w:before="0" w:after="60"/>
        <w:ind w:hanging="1700" w:left="1700"/>
        <w:rPr/>
      </w:pPr>
      <w:r>
        <w:rPr>
          <w:b/>
          <w:bCs/>
        </w:rPr>
        <w:t>AGF</w:t>
      </w:r>
      <w:r>
        <w:rPr/>
        <w:tab/>
        <w:t>African Guarantee Fund</w:t>
      </w:r>
    </w:p>
    <w:p>
      <w:pPr>
        <w:pStyle w:val="Normal"/>
        <w:tabs>
          <w:tab w:val="clear" w:pos="720"/>
          <w:tab w:val="left" w:pos="1700" w:leader="none"/>
        </w:tabs>
        <w:spacing w:before="0" w:after="60"/>
        <w:ind w:hanging="1700" w:left="1700"/>
        <w:rPr/>
      </w:pPr>
      <w:r>
        <w:rPr>
          <w:b/>
          <w:bCs/>
        </w:rPr>
        <w:t>AIPEX</w:t>
      </w:r>
      <w:r>
        <w:rPr/>
        <w:tab/>
        <w:t>Agência de Investimento Privado e Promoção das Exportações (Angola)</w:t>
      </w:r>
    </w:p>
    <w:p>
      <w:pPr>
        <w:pStyle w:val="Normal"/>
        <w:tabs>
          <w:tab w:val="clear" w:pos="720"/>
          <w:tab w:val="left" w:pos="1700" w:leader="none"/>
        </w:tabs>
        <w:spacing w:before="0" w:after="60"/>
        <w:ind w:hanging="1700" w:left="1700"/>
        <w:rPr/>
      </w:pPr>
      <w:r>
        <w:rPr>
          <w:b/>
          <w:bCs/>
        </w:rPr>
        <w:t>B-READY</w:t>
      </w:r>
      <w:r>
        <w:rPr/>
        <w:tab/>
        <w:t>Business Ready (World Bank successor to Doing Business)</w:t>
      </w:r>
    </w:p>
    <w:p>
      <w:pPr>
        <w:pStyle w:val="Normal"/>
        <w:tabs>
          <w:tab w:val="clear" w:pos="720"/>
          <w:tab w:val="left" w:pos="1700" w:leader="none"/>
        </w:tabs>
        <w:spacing w:before="0" w:after="60"/>
        <w:ind w:hanging="1700" w:left="1700"/>
        <w:rPr/>
      </w:pPr>
      <w:r>
        <w:rPr>
          <w:b/>
          <w:bCs/>
        </w:rPr>
        <w:t>BDC</w:t>
      </w:r>
      <w:r>
        <w:rPr/>
        <w:tab/>
        <w:t>Botswana Development Corporation</w:t>
      </w:r>
    </w:p>
    <w:p>
      <w:pPr>
        <w:pStyle w:val="Normal"/>
        <w:tabs>
          <w:tab w:val="clear" w:pos="720"/>
          <w:tab w:val="left" w:pos="1700" w:leader="none"/>
        </w:tabs>
        <w:spacing w:before="0" w:after="60"/>
        <w:ind w:hanging="1700" w:left="1700"/>
        <w:rPr/>
      </w:pPr>
      <w:r>
        <w:rPr>
          <w:b/>
          <w:bCs/>
        </w:rPr>
        <w:t>BDS</w:t>
      </w:r>
      <w:r>
        <w:rPr/>
        <w:tab/>
        <w:t>Business development services</w:t>
      </w:r>
    </w:p>
    <w:p>
      <w:pPr>
        <w:pStyle w:val="Normal"/>
        <w:tabs>
          <w:tab w:val="clear" w:pos="720"/>
          <w:tab w:val="left" w:pos="1700" w:leader="none"/>
        </w:tabs>
        <w:spacing w:before="0" w:after="60"/>
        <w:ind w:hanging="1700" w:left="1700"/>
        <w:rPr/>
      </w:pPr>
      <w:r>
        <w:rPr>
          <w:b/>
          <w:bCs/>
        </w:rPr>
        <w:t>BIPA</w:t>
      </w:r>
      <w:r>
        <w:rPr/>
        <w:tab/>
        <w:t>Business and Intellectual Property Authority (Namibia)</w:t>
      </w:r>
    </w:p>
    <w:p>
      <w:pPr>
        <w:pStyle w:val="Normal"/>
        <w:tabs>
          <w:tab w:val="clear" w:pos="720"/>
          <w:tab w:val="left" w:pos="1700" w:leader="none"/>
        </w:tabs>
        <w:spacing w:before="0" w:after="60"/>
        <w:ind w:hanging="1700" w:left="1700"/>
        <w:rPr/>
      </w:pPr>
      <w:r>
        <w:rPr>
          <w:b/>
          <w:bCs/>
        </w:rPr>
        <w:t>BRRA</w:t>
      </w:r>
      <w:r>
        <w:rPr/>
        <w:tab/>
        <w:t>Business Regulatory Review Agency (Zambia)</w:t>
      </w:r>
    </w:p>
    <w:p>
      <w:pPr>
        <w:pStyle w:val="Normal"/>
        <w:tabs>
          <w:tab w:val="clear" w:pos="720"/>
          <w:tab w:val="left" w:pos="1700" w:leader="none"/>
        </w:tabs>
        <w:spacing w:before="0" w:after="60"/>
        <w:ind w:hanging="1700" w:left="1700"/>
        <w:rPr/>
      </w:pPr>
      <w:r>
        <w:rPr>
          <w:b/>
          <w:bCs/>
        </w:rPr>
        <w:t>BSO</w:t>
      </w:r>
      <w:r>
        <w:rPr/>
        <w:tab/>
        <w:t>Business support organisation</w:t>
      </w:r>
    </w:p>
    <w:p>
      <w:pPr>
        <w:pStyle w:val="Normal"/>
        <w:tabs>
          <w:tab w:val="clear" w:pos="720"/>
          <w:tab w:val="left" w:pos="1700" w:leader="none"/>
        </w:tabs>
        <w:spacing w:before="0" w:after="60"/>
        <w:ind w:hanging="1700" w:left="1700"/>
        <w:rPr/>
      </w:pPr>
      <w:r>
        <w:rPr>
          <w:b/>
          <w:bCs/>
        </w:rPr>
        <w:t>BTO</w:t>
      </w:r>
      <w:r>
        <w:rPr/>
        <w:tab/>
        <w:t>Botswana Tourism Organisation</w:t>
      </w:r>
    </w:p>
    <w:p>
      <w:pPr>
        <w:pStyle w:val="Normal"/>
        <w:tabs>
          <w:tab w:val="clear" w:pos="720"/>
          <w:tab w:val="left" w:pos="1700" w:leader="none"/>
        </w:tabs>
        <w:spacing w:before="0" w:after="60"/>
        <w:ind w:hanging="1700" w:left="1700"/>
        <w:rPr/>
      </w:pPr>
      <w:r>
        <w:rPr>
          <w:b/>
          <w:bCs/>
        </w:rPr>
        <w:t>BUE</w:t>
      </w:r>
      <w:r>
        <w:rPr/>
        <w:tab/>
        <w:t>Balcão Único do Empreendedor (Angola)</w:t>
      </w:r>
    </w:p>
    <w:p>
      <w:pPr>
        <w:pStyle w:val="Normal"/>
        <w:tabs>
          <w:tab w:val="clear" w:pos="720"/>
          <w:tab w:val="left" w:pos="1700" w:leader="none"/>
        </w:tabs>
        <w:spacing w:before="0" w:after="60"/>
        <w:ind w:hanging="1700" w:left="1700"/>
        <w:rPr/>
      </w:pPr>
      <w:r>
        <w:rPr>
          <w:b/>
          <w:bCs/>
        </w:rPr>
        <w:t>BWP</w:t>
      </w:r>
      <w:r>
        <w:rPr/>
        <w:tab/>
        <w:t>Botswana pula</w:t>
      </w:r>
    </w:p>
    <w:p>
      <w:pPr>
        <w:pStyle w:val="Normal"/>
        <w:tabs>
          <w:tab w:val="clear" w:pos="720"/>
          <w:tab w:val="left" w:pos="1700" w:leader="none"/>
        </w:tabs>
        <w:spacing w:before="0" w:after="60"/>
        <w:ind w:hanging="1700" w:left="1700"/>
        <w:rPr/>
      </w:pPr>
      <w:r>
        <w:rPr>
          <w:b/>
          <w:bCs/>
        </w:rPr>
        <w:t>CAMPFIRE</w:t>
      </w:r>
      <w:r>
        <w:rPr/>
        <w:tab/>
        <w:t>Communal Areas Management Programme for Indigenous Resources (Zimbabwe)</w:t>
      </w:r>
    </w:p>
    <w:p>
      <w:pPr>
        <w:pStyle w:val="Normal"/>
        <w:tabs>
          <w:tab w:val="clear" w:pos="720"/>
          <w:tab w:val="left" w:pos="1700" w:leader="none"/>
        </w:tabs>
        <w:spacing w:before="0" w:after="60"/>
        <w:ind w:hanging="1700" w:left="1700"/>
        <w:rPr/>
      </w:pPr>
      <w:r>
        <w:rPr>
          <w:b/>
          <w:bCs/>
        </w:rPr>
        <w:t>CBNRM</w:t>
      </w:r>
      <w:r>
        <w:rPr/>
        <w:tab/>
        <w:t>Community-based natural resource management</w:t>
      </w:r>
    </w:p>
    <w:p>
      <w:pPr>
        <w:pStyle w:val="Normal"/>
        <w:tabs>
          <w:tab w:val="clear" w:pos="720"/>
          <w:tab w:val="left" w:pos="1700" w:leader="none"/>
        </w:tabs>
        <w:spacing w:before="0" w:after="60"/>
        <w:ind w:hanging="1700" w:left="1700"/>
        <w:rPr/>
      </w:pPr>
      <w:r>
        <w:rPr>
          <w:b/>
          <w:bCs/>
        </w:rPr>
        <w:t>CBO</w:t>
      </w:r>
      <w:r>
        <w:rPr/>
        <w:tab/>
        <w:t>Community-based organisation</w:t>
      </w:r>
    </w:p>
    <w:p>
      <w:pPr>
        <w:pStyle w:val="Normal"/>
        <w:tabs>
          <w:tab w:val="clear" w:pos="720"/>
          <w:tab w:val="left" w:pos="1700" w:leader="none"/>
        </w:tabs>
        <w:spacing w:before="0" w:after="60"/>
        <w:ind w:hanging="1700" w:left="1700"/>
        <w:rPr/>
      </w:pPr>
      <w:r>
        <w:rPr>
          <w:b/>
          <w:bCs/>
        </w:rPr>
        <w:t>CEDA</w:t>
      </w:r>
      <w:r>
        <w:rPr/>
        <w:tab/>
        <w:t>Citizen Entrepreneurial Development Agency (Botswana)</w:t>
      </w:r>
    </w:p>
    <w:p>
      <w:pPr>
        <w:pStyle w:val="Normal"/>
        <w:tabs>
          <w:tab w:val="clear" w:pos="720"/>
          <w:tab w:val="left" w:pos="1700" w:leader="none"/>
        </w:tabs>
        <w:spacing w:before="0" w:after="60"/>
        <w:ind w:hanging="1700" w:left="1700"/>
        <w:rPr/>
      </w:pPr>
      <w:r>
        <w:rPr>
          <w:b/>
          <w:bCs/>
        </w:rPr>
        <w:t>CEEC</w:t>
      </w:r>
      <w:r>
        <w:rPr/>
        <w:tab/>
        <w:t>Citizens Economic Empowerment Commission (Zambia)</w:t>
      </w:r>
    </w:p>
    <w:p>
      <w:pPr>
        <w:pStyle w:val="Normal"/>
        <w:tabs>
          <w:tab w:val="clear" w:pos="720"/>
          <w:tab w:val="left" w:pos="1700" w:leader="none"/>
        </w:tabs>
        <w:spacing w:before="0" w:after="60"/>
        <w:ind w:hanging="1700" w:left="1700"/>
        <w:rPr/>
      </w:pPr>
      <w:r>
        <w:rPr>
          <w:b/>
          <w:bCs/>
        </w:rPr>
        <w:t>CGS</w:t>
      </w:r>
      <w:r>
        <w:rPr/>
        <w:tab/>
        <w:t>Credit Guarantee Scheme (Namibia)</w:t>
      </w:r>
    </w:p>
    <w:p>
      <w:pPr>
        <w:pStyle w:val="Normal"/>
        <w:tabs>
          <w:tab w:val="clear" w:pos="720"/>
          <w:tab w:val="left" w:pos="1700" w:leader="none"/>
        </w:tabs>
        <w:spacing w:before="0" w:after="60"/>
        <w:ind w:hanging="1700" w:left="1700"/>
        <w:rPr/>
      </w:pPr>
      <w:r>
        <w:rPr>
          <w:b/>
          <w:bCs/>
        </w:rPr>
        <w:t>CIPA</w:t>
      </w:r>
      <w:r>
        <w:rPr/>
        <w:tab/>
        <w:t>Companies and Intellectual Property Authority (Botswana)</w:t>
      </w:r>
    </w:p>
    <w:p>
      <w:pPr>
        <w:pStyle w:val="Normal"/>
        <w:tabs>
          <w:tab w:val="clear" w:pos="720"/>
          <w:tab w:val="left" w:pos="1700" w:leader="none"/>
        </w:tabs>
        <w:spacing w:before="0" w:after="60"/>
        <w:ind w:hanging="1700" w:left="1700"/>
        <w:rPr/>
      </w:pPr>
      <w:r>
        <w:rPr>
          <w:b/>
          <w:bCs/>
        </w:rPr>
        <w:t>COMESA</w:t>
      </w:r>
      <w:r>
        <w:rPr/>
        <w:tab/>
        <w:t>Common Market for Eastern and Southern Africa</w:t>
      </w:r>
    </w:p>
    <w:p>
      <w:pPr>
        <w:pStyle w:val="Normal"/>
        <w:tabs>
          <w:tab w:val="clear" w:pos="720"/>
          <w:tab w:val="left" w:pos="1700" w:leader="none"/>
        </w:tabs>
        <w:spacing w:before="0" w:after="60"/>
        <w:ind w:hanging="1700" w:left="1700"/>
        <w:rPr/>
      </w:pPr>
      <w:r>
        <w:rPr>
          <w:b/>
          <w:bCs/>
        </w:rPr>
        <w:t>DB</w:t>
      </w:r>
      <w:r>
        <w:rPr/>
        <w:tab/>
        <w:t>Doing Business (World Bank report series, 2004-2020)</w:t>
      </w:r>
    </w:p>
    <w:p>
      <w:pPr>
        <w:pStyle w:val="Normal"/>
        <w:tabs>
          <w:tab w:val="clear" w:pos="720"/>
          <w:tab w:val="left" w:pos="1700" w:leader="none"/>
        </w:tabs>
        <w:spacing w:before="0" w:after="60"/>
        <w:ind w:hanging="1700" w:left="1700"/>
        <w:rPr/>
      </w:pPr>
      <w:r>
        <w:rPr>
          <w:b/>
          <w:bCs/>
        </w:rPr>
        <w:t>DBN</w:t>
      </w:r>
      <w:r>
        <w:rPr/>
        <w:tab/>
        <w:t>Development Bank of Namibia</w:t>
      </w:r>
    </w:p>
    <w:p>
      <w:pPr>
        <w:pStyle w:val="Normal"/>
        <w:tabs>
          <w:tab w:val="clear" w:pos="720"/>
          <w:tab w:val="left" w:pos="1700" w:leader="none"/>
        </w:tabs>
        <w:spacing w:before="0" w:after="60"/>
        <w:ind w:hanging="1700" w:left="1700"/>
        <w:rPr/>
      </w:pPr>
      <w:r>
        <w:rPr>
          <w:b/>
          <w:bCs/>
        </w:rPr>
        <w:t>DFI</w:t>
      </w:r>
      <w:r>
        <w:rPr/>
        <w:tab/>
        <w:t>Development finance institution</w:t>
      </w:r>
    </w:p>
    <w:p>
      <w:pPr>
        <w:pStyle w:val="Normal"/>
        <w:tabs>
          <w:tab w:val="clear" w:pos="720"/>
          <w:tab w:val="left" w:pos="1700" w:leader="none"/>
        </w:tabs>
        <w:spacing w:before="0" w:after="60"/>
        <w:ind w:hanging="1700" w:left="1700"/>
        <w:rPr/>
      </w:pPr>
      <w:r>
        <w:rPr>
          <w:b/>
          <w:bCs/>
        </w:rPr>
        <w:t>DMC</w:t>
      </w:r>
      <w:r>
        <w:rPr/>
        <w:tab/>
        <w:t>Destination management company</w:t>
      </w:r>
    </w:p>
    <w:p>
      <w:pPr>
        <w:pStyle w:val="Normal"/>
        <w:tabs>
          <w:tab w:val="clear" w:pos="720"/>
          <w:tab w:val="left" w:pos="1700" w:leader="none"/>
        </w:tabs>
        <w:spacing w:before="0" w:after="60"/>
        <w:ind w:hanging="1700" w:left="1700"/>
        <w:rPr/>
      </w:pPr>
      <w:r>
        <w:rPr>
          <w:b/>
          <w:bCs/>
        </w:rPr>
        <w:t>ECGC</w:t>
      </w:r>
      <w:r>
        <w:rPr/>
        <w:tab/>
        <w:t>Export Credit Guarantee Company (Zimbabwe)</w:t>
      </w:r>
    </w:p>
    <w:p>
      <w:pPr>
        <w:pStyle w:val="Normal"/>
        <w:tabs>
          <w:tab w:val="clear" w:pos="720"/>
          <w:tab w:val="left" w:pos="1700" w:leader="none"/>
        </w:tabs>
        <w:spacing w:before="0" w:after="60"/>
        <w:ind w:hanging="1700" w:left="1700"/>
        <w:rPr/>
      </w:pPr>
      <w:r>
        <w:rPr>
          <w:b/>
          <w:bCs/>
        </w:rPr>
        <w:t>EIF</w:t>
      </w:r>
      <w:r>
        <w:rPr/>
        <w:tab/>
        <w:t>Environmental Investment Fund (Namibia)</w:t>
      </w:r>
    </w:p>
    <w:p>
      <w:pPr>
        <w:pStyle w:val="Normal"/>
        <w:tabs>
          <w:tab w:val="clear" w:pos="720"/>
          <w:tab w:val="left" w:pos="1700" w:leader="none"/>
        </w:tabs>
        <w:spacing w:before="0" w:after="60"/>
        <w:ind w:hanging="1700" w:left="1700"/>
        <w:rPr/>
      </w:pPr>
      <w:r>
        <w:rPr>
          <w:b/>
          <w:bCs/>
        </w:rPr>
        <w:t>FENATA</w:t>
      </w:r>
      <w:r>
        <w:rPr/>
        <w:tab/>
        <w:t>Federation of Namibian Tourism Associations</w:t>
      </w:r>
    </w:p>
    <w:p>
      <w:pPr>
        <w:pStyle w:val="Normal"/>
        <w:tabs>
          <w:tab w:val="clear" w:pos="720"/>
          <w:tab w:val="left" w:pos="1700" w:leader="none"/>
        </w:tabs>
        <w:spacing w:before="0" w:after="60"/>
        <w:ind w:hanging="1700" w:left="1700"/>
        <w:rPr/>
      </w:pPr>
      <w:r>
        <w:rPr>
          <w:b/>
          <w:bCs/>
        </w:rPr>
        <w:t>FGC</w:t>
      </w:r>
      <w:r>
        <w:rPr/>
        <w:tab/>
        <w:t>Fundo de Garantia de Crédito (Angola)</w:t>
      </w:r>
    </w:p>
    <w:p>
      <w:pPr>
        <w:pStyle w:val="Normal"/>
        <w:tabs>
          <w:tab w:val="clear" w:pos="720"/>
          <w:tab w:val="left" w:pos="1700" w:leader="none"/>
        </w:tabs>
        <w:spacing w:before="0" w:after="60"/>
        <w:ind w:hanging="1700" w:left="1700"/>
        <w:rPr/>
      </w:pPr>
      <w:r>
        <w:rPr>
          <w:b/>
          <w:bCs/>
        </w:rPr>
        <w:t>GIZ</w:t>
      </w:r>
      <w:r>
        <w:rPr/>
        <w:tab/>
        <w:t>Deutsche Gesellschaft für Internationale Zusammenarbeit</w:t>
      </w:r>
    </w:p>
    <w:p>
      <w:pPr>
        <w:pStyle w:val="Normal"/>
        <w:tabs>
          <w:tab w:val="clear" w:pos="720"/>
          <w:tab w:val="left" w:pos="1700" w:leader="none"/>
        </w:tabs>
        <w:spacing w:before="0" w:after="60"/>
        <w:ind w:hanging="1700" w:left="1700"/>
        <w:rPr/>
      </w:pPr>
      <w:r>
        <w:rPr>
          <w:b/>
          <w:bCs/>
        </w:rPr>
        <w:t>HAN</w:t>
      </w:r>
      <w:r>
        <w:rPr/>
        <w:tab/>
        <w:t>Hospitality Association of Namibia</w:t>
      </w:r>
    </w:p>
    <w:p>
      <w:pPr>
        <w:pStyle w:val="Normal"/>
        <w:tabs>
          <w:tab w:val="clear" w:pos="720"/>
          <w:tab w:val="left" w:pos="1700" w:leader="none"/>
        </w:tabs>
        <w:spacing w:before="0" w:after="60"/>
        <w:ind w:hanging="1700" w:left="1700"/>
        <w:rPr/>
      </w:pPr>
      <w:r>
        <w:rPr>
          <w:b/>
          <w:bCs/>
        </w:rPr>
        <w:t>HATAB</w:t>
      </w:r>
      <w:r>
        <w:rPr/>
        <w:tab/>
        <w:t>Hospitality and Tourism Association of Botswana</w:t>
      </w:r>
    </w:p>
    <w:p>
      <w:pPr>
        <w:pStyle w:val="Normal"/>
        <w:tabs>
          <w:tab w:val="clear" w:pos="720"/>
          <w:tab w:val="left" w:pos="1700" w:leader="none"/>
        </w:tabs>
        <w:spacing w:before="0" w:after="60"/>
        <w:ind w:hanging="1700" w:left="1700"/>
        <w:rPr/>
      </w:pPr>
      <w:r>
        <w:rPr>
          <w:b/>
          <w:bCs/>
        </w:rPr>
        <w:t>IDBZ</w:t>
      </w:r>
      <w:r>
        <w:rPr/>
        <w:tab/>
        <w:t>Infrastructure Development Bank of Zimbabwe</w:t>
      </w:r>
    </w:p>
    <w:p>
      <w:pPr>
        <w:pStyle w:val="Normal"/>
        <w:tabs>
          <w:tab w:val="clear" w:pos="720"/>
          <w:tab w:val="left" w:pos="1700" w:leader="none"/>
        </w:tabs>
        <w:spacing w:before="0" w:after="60"/>
        <w:ind w:hanging="1700" w:left="1700"/>
        <w:rPr/>
      </w:pPr>
      <w:r>
        <w:rPr>
          <w:b/>
          <w:bCs/>
        </w:rPr>
        <w:t>INAPEM</w:t>
      </w:r>
      <w:r>
        <w:rPr/>
        <w:tab/>
        <w:t>Instituto Nacional de Apoio às Micro, Pequenas e Médias Empresas (Angola)</w:t>
      </w:r>
    </w:p>
    <w:p>
      <w:pPr>
        <w:pStyle w:val="Normal"/>
        <w:tabs>
          <w:tab w:val="clear" w:pos="720"/>
          <w:tab w:val="left" w:pos="1700" w:leader="none"/>
        </w:tabs>
        <w:spacing w:before="0" w:after="60"/>
        <w:ind w:hanging="1700" w:left="1700"/>
        <w:rPr/>
      </w:pPr>
      <w:r>
        <w:rPr>
          <w:b/>
          <w:bCs/>
        </w:rPr>
        <w:t>JV</w:t>
      </w:r>
      <w:r>
        <w:rPr/>
        <w:tab/>
        <w:t>Joint venture</w:t>
      </w:r>
    </w:p>
    <w:p>
      <w:pPr>
        <w:pStyle w:val="Normal"/>
        <w:tabs>
          <w:tab w:val="clear" w:pos="720"/>
          <w:tab w:val="left" w:pos="1700" w:leader="none"/>
        </w:tabs>
        <w:spacing w:before="0" w:after="60"/>
        <w:ind w:hanging="1700" w:left="1700"/>
        <w:rPr/>
      </w:pPr>
      <w:r>
        <w:rPr>
          <w:b/>
          <w:bCs/>
        </w:rPr>
        <w:t>KAZA TFCA</w:t>
      </w:r>
      <w:r>
        <w:rPr/>
        <w:tab/>
        <w:t>Kavango Zambezi Transfrontier Conservation Area</w:t>
      </w:r>
    </w:p>
    <w:p>
      <w:pPr>
        <w:pStyle w:val="Normal"/>
        <w:tabs>
          <w:tab w:val="clear" w:pos="720"/>
          <w:tab w:val="left" w:pos="1700" w:leader="none"/>
        </w:tabs>
        <w:spacing w:before="0" w:after="60"/>
        <w:ind w:hanging="1700" w:left="1700"/>
        <w:rPr/>
      </w:pPr>
      <w:r>
        <w:rPr>
          <w:b/>
          <w:bCs/>
        </w:rPr>
        <w:t>LEA</w:t>
      </w:r>
      <w:r>
        <w:rPr/>
        <w:tab/>
        <w:t>Local Enterprise Authority (Botswana)</w:t>
      </w:r>
    </w:p>
    <w:p>
      <w:pPr>
        <w:pStyle w:val="Normal"/>
        <w:tabs>
          <w:tab w:val="clear" w:pos="720"/>
          <w:tab w:val="left" w:pos="1700" w:leader="none"/>
        </w:tabs>
        <w:spacing w:before="0" w:after="60"/>
        <w:ind w:hanging="1700" w:left="1700"/>
        <w:rPr/>
      </w:pPr>
      <w:r>
        <w:rPr>
          <w:b/>
          <w:bCs/>
        </w:rPr>
        <w:t>MD</w:t>
      </w:r>
      <w:r>
        <w:rPr/>
        <w:tab/>
        <w:t>KAZA R-NBT Macro Diagnostic Report</w:t>
      </w:r>
    </w:p>
    <w:p>
      <w:pPr>
        <w:pStyle w:val="Normal"/>
        <w:tabs>
          <w:tab w:val="clear" w:pos="720"/>
          <w:tab w:val="left" w:pos="1700" w:leader="none"/>
        </w:tabs>
        <w:spacing w:before="0" w:after="60"/>
        <w:ind w:hanging="1700" w:left="1700"/>
        <w:rPr/>
      </w:pPr>
      <w:r>
        <w:rPr>
          <w:b/>
          <w:bCs/>
        </w:rPr>
        <w:t>MFI</w:t>
      </w:r>
      <w:r>
        <w:rPr/>
        <w:tab/>
        <w:t>Microfinance institution</w:t>
      </w:r>
    </w:p>
    <w:p>
      <w:pPr>
        <w:pStyle w:val="Normal"/>
        <w:tabs>
          <w:tab w:val="clear" w:pos="720"/>
          <w:tab w:val="left" w:pos="1700" w:leader="none"/>
        </w:tabs>
        <w:spacing w:before="0" w:after="60"/>
        <w:ind w:hanging="1700" w:left="1700"/>
        <w:rPr/>
      </w:pPr>
      <w:r>
        <w:rPr>
          <w:b/>
          <w:bCs/>
        </w:rPr>
        <w:t>MSME</w:t>
      </w:r>
      <w:r>
        <w:rPr/>
        <w:tab/>
        <w:t>Micro, small and medium-sized enterprise</w:t>
      </w:r>
    </w:p>
    <w:p>
      <w:pPr>
        <w:pStyle w:val="Normal"/>
        <w:tabs>
          <w:tab w:val="clear" w:pos="720"/>
          <w:tab w:val="left" w:pos="1700" w:leader="none"/>
        </w:tabs>
        <w:spacing w:before="0" w:after="60"/>
        <w:ind w:hanging="1700" w:left="1700"/>
        <w:rPr/>
      </w:pPr>
      <w:r>
        <w:rPr>
          <w:b/>
          <w:bCs/>
        </w:rPr>
        <w:t>NACSO</w:t>
      </w:r>
      <w:r>
        <w:rPr/>
        <w:tab/>
        <w:t>Namibian Association of CBNRM Support Organisations</w:t>
      </w:r>
    </w:p>
    <w:p>
      <w:pPr>
        <w:pStyle w:val="Normal"/>
        <w:tabs>
          <w:tab w:val="clear" w:pos="720"/>
          <w:tab w:val="left" w:pos="1700" w:leader="none"/>
        </w:tabs>
        <w:spacing w:before="0" w:after="60"/>
        <w:ind w:hanging="1700" w:left="1700"/>
        <w:rPr/>
      </w:pPr>
      <w:r>
        <w:rPr>
          <w:b/>
          <w:bCs/>
        </w:rPr>
        <w:t>NEET</w:t>
      </w:r>
      <w:r>
        <w:rPr/>
        <w:tab/>
        <w:t>Not in employment, education or training</w:t>
      </w:r>
    </w:p>
    <w:p>
      <w:pPr>
        <w:pStyle w:val="Normal"/>
        <w:tabs>
          <w:tab w:val="clear" w:pos="720"/>
          <w:tab w:val="left" w:pos="1700" w:leader="none"/>
        </w:tabs>
        <w:spacing w:before="0" w:after="60"/>
        <w:ind w:hanging="1700" w:left="1700"/>
        <w:rPr/>
      </w:pPr>
      <w:r>
        <w:rPr>
          <w:b/>
          <w:bCs/>
        </w:rPr>
        <w:t>NIPDB</w:t>
      </w:r>
      <w:r>
        <w:rPr/>
        <w:tab/>
        <w:t>Namibia Investment Promotion and Development Board</w:t>
      </w:r>
    </w:p>
    <w:p>
      <w:pPr>
        <w:pStyle w:val="Normal"/>
        <w:tabs>
          <w:tab w:val="clear" w:pos="720"/>
          <w:tab w:val="left" w:pos="1700" w:leader="none"/>
        </w:tabs>
        <w:spacing w:before="0" w:after="60"/>
        <w:ind w:hanging="1700" w:left="1700"/>
        <w:rPr/>
      </w:pPr>
      <w:r>
        <w:rPr>
          <w:b/>
          <w:bCs/>
        </w:rPr>
        <w:t>NTB</w:t>
      </w:r>
      <w:r>
        <w:rPr/>
        <w:tab/>
        <w:t>Namibia Tourism Board</w:t>
      </w:r>
    </w:p>
    <w:p>
      <w:pPr>
        <w:pStyle w:val="Normal"/>
        <w:tabs>
          <w:tab w:val="clear" w:pos="720"/>
          <w:tab w:val="left" w:pos="1700" w:leader="none"/>
        </w:tabs>
        <w:spacing w:before="0" w:after="60"/>
        <w:ind w:hanging="1700" w:left="1700"/>
        <w:rPr/>
      </w:pPr>
      <w:r>
        <w:rPr>
          <w:b/>
          <w:bCs/>
        </w:rPr>
        <w:t>OSISC</w:t>
      </w:r>
      <w:r>
        <w:rPr/>
        <w:tab/>
        <w:t>One Stop Investment Services Centre (ZIDA, Zimbabwe)</w:t>
      </w:r>
    </w:p>
    <w:p>
      <w:pPr>
        <w:pStyle w:val="Normal"/>
        <w:tabs>
          <w:tab w:val="clear" w:pos="720"/>
          <w:tab w:val="left" w:pos="1700" w:leader="none"/>
        </w:tabs>
        <w:spacing w:before="0" w:after="60"/>
        <w:ind w:hanging="1700" w:left="1700"/>
        <w:rPr/>
      </w:pPr>
      <w:r>
        <w:rPr>
          <w:b/>
          <w:bCs/>
        </w:rPr>
        <w:t>R-NBT</w:t>
      </w:r>
      <w:r>
        <w:rPr/>
        <w:tab/>
        <w:t>Regenerative nature-based tourism</w:t>
      </w:r>
    </w:p>
    <w:p>
      <w:pPr>
        <w:pStyle w:val="Normal"/>
        <w:tabs>
          <w:tab w:val="clear" w:pos="720"/>
          <w:tab w:val="left" w:pos="1700" w:leader="none"/>
        </w:tabs>
        <w:spacing w:before="0" w:after="60"/>
        <w:ind w:hanging="1700" w:left="1700"/>
        <w:rPr/>
      </w:pPr>
      <w:r>
        <w:rPr>
          <w:b/>
          <w:bCs/>
        </w:rPr>
        <w:t>SADC</w:t>
      </w:r>
      <w:r>
        <w:rPr/>
        <w:tab/>
        <w:t>Southern African Development Community</w:t>
      </w:r>
    </w:p>
    <w:p>
      <w:pPr>
        <w:pStyle w:val="Normal"/>
        <w:tabs>
          <w:tab w:val="clear" w:pos="720"/>
          <w:tab w:val="left" w:pos="1700" w:leader="none"/>
        </w:tabs>
        <w:spacing w:before="0" w:after="60"/>
        <w:ind w:hanging="1700" w:left="1700"/>
        <w:rPr/>
      </w:pPr>
      <w:r>
        <w:rPr>
          <w:b/>
          <w:bCs/>
        </w:rPr>
        <w:t>SMEDCO</w:t>
      </w:r>
      <w:r>
        <w:rPr/>
        <w:tab/>
        <w:t>Small and Medium Enterprises Development Corporation (Zimbabwe)</w:t>
      </w:r>
    </w:p>
    <w:p>
      <w:pPr>
        <w:pStyle w:val="Normal"/>
        <w:tabs>
          <w:tab w:val="clear" w:pos="720"/>
          <w:tab w:val="left" w:pos="1700" w:leader="none"/>
        </w:tabs>
        <w:spacing w:before="0" w:after="60"/>
        <w:ind w:hanging="1700" w:left="1700"/>
        <w:rPr/>
      </w:pPr>
      <w:r>
        <w:rPr>
          <w:b/>
          <w:bCs/>
        </w:rPr>
        <w:t>STR</w:t>
      </w:r>
      <w:r>
        <w:rPr/>
        <w:tab/>
        <w:t>Simplified Trade Regime</w:t>
      </w:r>
    </w:p>
    <w:p>
      <w:pPr>
        <w:pStyle w:val="Normal"/>
        <w:tabs>
          <w:tab w:val="clear" w:pos="720"/>
          <w:tab w:val="left" w:pos="1700" w:leader="none"/>
        </w:tabs>
        <w:spacing w:before="0" w:after="60"/>
        <w:ind w:hanging="1700" w:left="1700"/>
        <w:rPr/>
      </w:pPr>
      <w:r>
        <w:rPr>
          <w:b/>
          <w:bCs/>
        </w:rPr>
        <w:t>TA</w:t>
      </w:r>
      <w:r>
        <w:rPr/>
        <w:tab/>
        <w:t>Technical assistance</w:t>
      </w:r>
    </w:p>
    <w:p>
      <w:pPr>
        <w:pStyle w:val="Normal"/>
        <w:tabs>
          <w:tab w:val="clear" w:pos="720"/>
          <w:tab w:val="left" w:pos="1700" w:leader="none"/>
        </w:tabs>
        <w:spacing w:before="0" w:after="60"/>
        <w:ind w:hanging="1700" w:left="1700"/>
        <w:rPr/>
      </w:pPr>
      <w:r>
        <w:rPr>
          <w:b/>
          <w:bCs/>
        </w:rPr>
        <w:t>TBCZ</w:t>
      </w:r>
      <w:r>
        <w:rPr/>
        <w:tab/>
        <w:t>Tourism Business Council of Zimbabwe</w:t>
      </w:r>
    </w:p>
    <w:p>
      <w:pPr>
        <w:pStyle w:val="Normal"/>
        <w:tabs>
          <w:tab w:val="clear" w:pos="720"/>
          <w:tab w:val="left" w:pos="1700" w:leader="none"/>
        </w:tabs>
        <w:spacing w:before="0" w:after="60"/>
        <w:ind w:hanging="1700" w:left="1700"/>
        <w:rPr/>
      </w:pPr>
      <w:r>
        <w:rPr>
          <w:b/>
          <w:bCs/>
        </w:rPr>
        <w:t>TCZ</w:t>
      </w:r>
      <w:r>
        <w:rPr/>
        <w:tab/>
        <w:t>Tourism Council of Zambia</w:t>
      </w:r>
    </w:p>
    <w:p>
      <w:pPr>
        <w:pStyle w:val="Normal"/>
        <w:tabs>
          <w:tab w:val="clear" w:pos="720"/>
          <w:tab w:val="left" w:pos="1700" w:leader="none"/>
        </w:tabs>
        <w:spacing w:before="0" w:after="60"/>
        <w:ind w:hanging="1700" w:left="1700"/>
        <w:rPr/>
      </w:pPr>
      <w:r>
        <w:rPr>
          <w:b/>
          <w:bCs/>
        </w:rPr>
        <w:t>VSLA</w:t>
      </w:r>
      <w:r>
        <w:rPr/>
        <w:tab/>
        <w:t>Village savings and loan association</w:t>
      </w:r>
    </w:p>
    <w:p>
      <w:pPr>
        <w:pStyle w:val="Normal"/>
        <w:tabs>
          <w:tab w:val="clear" w:pos="720"/>
          <w:tab w:val="left" w:pos="1700" w:leader="none"/>
        </w:tabs>
        <w:spacing w:before="0" w:after="60"/>
        <w:ind w:hanging="1700" w:left="1700"/>
        <w:rPr/>
      </w:pPr>
      <w:r>
        <w:rPr>
          <w:b/>
          <w:bCs/>
        </w:rPr>
        <w:t>WIBA</w:t>
      </w:r>
      <w:r>
        <w:rPr/>
        <w:tab/>
        <w:t>Women in Business Association (Botswana)</w:t>
      </w:r>
    </w:p>
    <w:p>
      <w:pPr>
        <w:pStyle w:val="Normal"/>
        <w:tabs>
          <w:tab w:val="clear" w:pos="720"/>
          <w:tab w:val="left" w:pos="1700" w:leader="none"/>
        </w:tabs>
        <w:spacing w:before="0" w:after="60"/>
        <w:ind w:hanging="1700" w:left="1700"/>
        <w:rPr/>
      </w:pPr>
      <w:r>
        <w:rPr>
          <w:b/>
          <w:bCs/>
        </w:rPr>
        <w:t>YDF</w:t>
      </w:r>
      <w:r>
        <w:rPr/>
        <w:tab/>
        <w:t>Youth Development Fund (Botswana)</w:t>
      </w:r>
    </w:p>
    <w:p>
      <w:pPr>
        <w:pStyle w:val="Normal"/>
        <w:tabs>
          <w:tab w:val="clear" w:pos="720"/>
          <w:tab w:val="left" w:pos="1700" w:leader="none"/>
        </w:tabs>
        <w:spacing w:before="0" w:after="60"/>
        <w:ind w:hanging="1700" w:left="1700"/>
        <w:rPr/>
      </w:pPr>
      <w:r>
        <w:rPr>
          <w:b/>
          <w:bCs/>
        </w:rPr>
        <w:t>ZCGS</w:t>
      </w:r>
      <w:r>
        <w:rPr/>
        <w:tab/>
        <w:t>Zambia Credit Guarantee Scheme</w:t>
      </w:r>
    </w:p>
    <w:p>
      <w:pPr>
        <w:pStyle w:val="Normal"/>
        <w:tabs>
          <w:tab w:val="clear" w:pos="720"/>
          <w:tab w:val="left" w:pos="1700" w:leader="none"/>
        </w:tabs>
        <w:spacing w:before="0" w:after="60"/>
        <w:ind w:hanging="1700" w:left="1700"/>
        <w:rPr/>
      </w:pPr>
      <w:r>
        <w:rPr>
          <w:b/>
          <w:bCs/>
        </w:rPr>
        <w:t>ZCSMBA</w:t>
      </w:r>
      <w:r>
        <w:rPr/>
        <w:tab/>
        <w:t>Zambia Chamber of Small and Medium Business Associations</w:t>
      </w:r>
    </w:p>
    <w:p>
      <w:pPr>
        <w:pStyle w:val="Normal"/>
        <w:tabs>
          <w:tab w:val="clear" w:pos="720"/>
          <w:tab w:val="left" w:pos="1700" w:leader="none"/>
        </w:tabs>
        <w:spacing w:before="0" w:after="60"/>
        <w:ind w:hanging="1700" w:left="1700"/>
        <w:rPr/>
      </w:pPr>
      <w:r>
        <w:rPr>
          <w:b/>
          <w:bCs/>
        </w:rPr>
        <w:t>ZDA</w:t>
      </w:r>
      <w:r>
        <w:rPr/>
        <w:tab/>
        <w:t>Zambia Development Agency</w:t>
      </w:r>
    </w:p>
    <w:p>
      <w:pPr>
        <w:pStyle w:val="Normal"/>
        <w:tabs>
          <w:tab w:val="clear" w:pos="720"/>
          <w:tab w:val="left" w:pos="1700" w:leader="none"/>
        </w:tabs>
        <w:spacing w:before="0" w:after="60"/>
        <w:ind w:hanging="1700" w:left="1700"/>
        <w:rPr/>
      </w:pPr>
      <w:r>
        <w:rPr>
          <w:b/>
          <w:bCs/>
        </w:rPr>
        <w:t>ZEEX</w:t>
      </w:r>
      <w:r>
        <w:rPr/>
        <w:tab/>
        <w:t>Zimbabwe Entrepreneurship Exchange</w:t>
      </w:r>
    </w:p>
    <w:p>
      <w:pPr>
        <w:pStyle w:val="Normal"/>
        <w:tabs>
          <w:tab w:val="clear" w:pos="720"/>
          <w:tab w:val="left" w:pos="1700" w:leader="none"/>
        </w:tabs>
        <w:spacing w:before="0" w:after="60"/>
        <w:ind w:hanging="1700" w:left="1700"/>
        <w:rPr/>
      </w:pPr>
      <w:r>
        <w:rPr>
          <w:b/>
          <w:bCs/>
        </w:rPr>
        <w:t>ZIDA</w:t>
      </w:r>
      <w:r>
        <w:rPr/>
        <w:tab/>
        <w:t>Zimbabwe Investment and Development Agency</w:t>
      </w:r>
    </w:p>
    <w:p>
      <w:pPr>
        <w:pStyle w:val="Normal"/>
        <w:tabs>
          <w:tab w:val="clear" w:pos="720"/>
          <w:tab w:val="left" w:pos="1700" w:leader="none"/>
        </w:tabs>
        <w:spacing w:before="0" w:after="60"/>
        <w:ind w:hanging="1700" w:left="1700"/>
        <w:rPr/>
      </w:pPr>
      <w:r>
        <w:rPr>
          <w:b/>
          <w:bCs/>
        </w:rPr>
        <w:t>ZIMRA</w:t>
      </w:r>
      <w:r>
        <w:rPr/>
        <w:tab/>
        <w:t>Zimbabwe Revenue Authority</w:t>
      </w:r>
    </w:p>
    <w:p>
      <w:pPr>
        <w:pStyle w:val="Normal"/>
        <w:tabs>
          <w:tab w:val="clear" w:pos="720"/>
          <w:tab w:val="left" w:pos="1700" w:leader="none"/>
        </w:tabs>
        <w:spacing w:before="0" w:after="60"/>
        <w:ind w:hanging="1700" w:left="1700"/>
        <w:rPr/>
      </w:pPr>
      <w:r>
        <w:rPr>
          <w:b/>
          <w:bCs/>
        </w:rPr>
        <w:t>ZMW</w:t>
      </w:r>
      <w:r>
        <w:rPr/>
        <w:tab/>
        <w:t>Zambian kwacha</w:t>
      </w:r>
      <w:r>
        <w:br w:type="page"/>
      </w:r>
    </w:p>
    <w:p>
      <w:pPr>
        <w:pStyle w:val="Heading1"/>
        <w:spacing w:before="0" w:after="240"/>
        <w:rPr/>
      </w:pPr>
      <w:bookmarkStart w:id="0" w:name="__RefHeading___Toc991_3359597930"/>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993_3359597930"/>
      <w:bookmarkEnd w:id="1"/>
      <w:r>
        <w:rPr/>
        <w:t>1. Introduction and Methodology</w:t>
      </w:r>
    </w:p>
    <w:p>
      <w:pPr>
        <w:pStyle w:val="Heading2"/>
        <w:rPr/>
      </w:pPr>
      <w:bookmarkStart w:id="2" w:name="__RefHeading___Toc995_3359597930"/>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997_3359597930"/>
      <w:bookmarkEnd w:id="3"/>
      <w:r>
        <w:rPr/>
        <w:t>1.2 Evidence Base</w:t>
      </w:r>
    </w:p>
    <w:p>
      <w:pPr>
        <w:pStyle w:val="Normal"/>
        <w:jc w:val="both"/>
        <w:rPr/>
      </w:pPr>
      <w:r>
        <w:rPr/>
        <w:t>The assessment draws on four sources of evidence, graded by confidence:</w:t>
      </w:r>
    </w:p>
    <w:p>
      <w:pPr>
        <w:pStyle w:val="Normal"/>
        <w:jc w:val="both"/>
        <w:rPr/>
      </w:pPr>
      <w:r>
        <w:rPr>
          <w:b/>
          <w:bCs/>
        </w:rPr>
        <w:t>Primary evidence: the Macro Diagnostic.</w:t>
      </w:r>
      <w:r>
        <w:rPr/>
        <w:t xml:space="preserve"> The main source is the KAZA R-NBT Macro Diagnostic Report prepared by SIGMA International for GIZ (draft, September 2026), used through an extract on priority value chains. It provides the value chains, the buyer and enterprise evidence, a survey of 71 MSMEs, destination and corridor findings, and the conditions the report attaches to supplier development. Its findings are draft and preliminary; some rest on single interviews, and Namibia (7 of the 71 survey responses) and Angola (no survey responses) are thinly covered.</w:t>
      </w:r>
    </w:p>
    <w:p>
      <w:pPr>
        <w:pStyle w:val="Normal"/>
        <w:jc w:val="both"/>
        <w:rPr/>
      </w:pPr>
      <w:r>
        <w:rPr>
          <w:b/>
          <w:bCs/>
        </w:rPr>
        <w:t>The KAZA Financial Landscape Analysis</w:t>
      </w:r>
      <w:r>
        <w:rPr/>
        <w:t xml:space="preserve"> (October 2026) supplies the supply-side picture: financial actors and products, guarantee schemes, BSOs and indicative institutional ratings for each country. It is a desk review, so its ratings are indicative.</w:t>
      </w:r>
    </w:p>
    <w:p>
      <w:pPr>
        <w:pStyle w:val="Normal"/>
        <w:jc w:val="both"/>
        <w:rPr/>
      </w:pPr>
      <w:r>
        <w:rPr>
          <w:b/>
          <w:bCs/>
        </w:rPr>
        <w:t>The World Bank's Doing Business 2020 economy profiles</w:t>
      </w:r>
      <w:r>
        <w:rPr/>
        <w:t xml:space="preserve"> for the five states, supplemented by evidence on reforms since 2019 and by the first findings of the World Bank's Business Ready (B-READY) project, are used to compare business regulation. They are comparable across countries but dated (data to May 2019), measured in each country's largest business city for a standard limited company, and the series was discontinued in 2021. They are therefore used to indicate relative regulatory burden rather than current conditions in KAZA.</w:t>
      </w:r>
    </w:p>
    <w:p>
      <w:pPr>
        <w:pStyle w:val="Normal"/>
        <w:jc w:val="both"/>
        <w:rPr/>
      </w:pPr>
      <w:r>
        <w:rPr>
          <w:b/>
          <w:bCs/>
        </w:rPr>
        <w:t>Secondary national, sector and company data</w:t>
      </w:r>
      <w:r>
        <w:rPr/>
        <w:t xml:space="preserve"> include the FinScope MSME surveys, World Bank, AFI and UN Women studies, census labour data, operator reports, academic studies and agency and press reports. They inform the analysis of gender, age, informality and record-keeping, tourism demand, anchor procurement and BSO programmes. Most are not specific to KAZA and operator figures are self-reported, so each figure is attributed to its source.</w:t>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999_3359597930"/>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jc w:val="both"/>
        <w:rPr/>
      </w:pPr>
      <w:r>
        <w:rPr/>
        <w:t xml:space="preserve">The </w:t>
      </w:r>
      <w:r>
        <w:rPr>
          <w:b/>
          <w:bCs/>
        </w:rPr>
        <w:t>business model</w:t>
      </w:r>
      <w:r>
        <w:rPr/>
        <w:t xml:space="preserve"> dimension looks at how clear the product and customer are, how the enterprise earns revenue, its margins and scalability, and how well it withstands seasonality and shocks. </w:t>
      </w:r>
      <w:r>
        <w:rPr>
          <w:b/>
          <w:bCs/>
        </w:rPr>
        <w:t>Market linkage</w:t>
      </w:r>
      <w:r>
        <w:rPr/>
        <w:t xml:space="preserve"> asks whether there is a credible buyer, whether there are repeat orders or contracts, and whether the enterprise can meet quality, volume and reliability standards. </w:t>
      </w:r>
      <w:r>
        <w:rPr>
          <w:b/>
          <w:bCs/>
        </w:rPr>
        <w:t>Financial practices</w:t>
      </w:r>
      <w:r>
        <w:rPr/>
        <w:t xml:space="preserve"> cover the separation of business and household money, saving, the use of formal and informal finance, pricing and costing, and the management of working capital.</w:t>
      </w:r>
    </w:p>
    <w:p>
      <w:pPr>
        <w:pStyle w:val="Normal"/>
        <w:jc w:val="both"/>
        <w:rPr/>
      </w:pPr>
      <w:r>
        <w:rPr>
          <w:b/>
          <w:bCs/>
        </w:rPr>
        <w:t>Record-keeping</w:t>
      </w:r>
      <w:r>
        <w:rPr/>
        <w:t xml:space="preserve"> concerns sales, cost and cash records, the existence of a bank or mobile-money trail, and the ability to produce management accounts or financial statements. </w:t>
      </w:r>
      <w:r>
        <w:rPr>
          <w:b/>
          <w:bCs/>
        </w:rPr>
        <w:t>Formality and compliance</w:t>
      </w:r>
      <w:r>
        <w:rPr/>
        <w:t xml:space="preserve"> cover business registration, tax clearance and VAT status, licences, and the insurance and certification that buyers require. </w:t>
      </w:r>
      <w:r>
        <w:rPr>
          <w:b/>
          <w:bCs/>
        </w:rPr>
        <w:t>Management and governance</w:t>
      </w:r>
      <w:r>
        <w:rPr/>
        <w:t xml:space="preserve"> look at the owner's or group's capacity to plan and to manage staff and suppliers and, for cooperatives and community enterprises, at governance and benefit-sharing rules.</w:t>
      </w:r>
    </w:p>
    <w:p>
      <w:pPr>
        <w:pStyle w:val="Normal"/>
        <w:jc w:val="both"/>
        <w:rPr/>
      </w:pPr>
      <w:r>
        <w:rPr/>
        <w:t>These dimensions combine into four readiness tiers, used throughout the report:</w:t>
      </w:r>
    </w:p>
    <w:p>
      <w:pPr>
        <w:pStyle w:val="Normal"/>
        <w:jc w:val="both"/>
        <w:rPr/>
      </w:pPr>
      <w:r>
        <w:rPr>
          <w:b/>
          <w:bCs/>
        </w:rPr>
        <w:t>Tier 0 (pre-enterprise)</w:t>
      </w:r>
      <w:r>
        <w:rPr/>
        <w:t xml:space="preserve"> describes an individual or group income activity that is not registered, keeps no records and sells informally or through a hub; its members often belong to a savings group. Appropriate finance at this stage is savings-group credit, grants and in-kind support.</w:t>
      </w:r>
    </w:p>
    <w:p>
      <w:pPr>
        <w:pStyle w:val="Normal"/>
        <w:jc w:val="both"/>
        <w:rPr/>
      </w:pPr>
      <w:r>
        <w:rPr>
          <w:b/>
          <w:bCs/>
        </w:rPr>
        <w:t>Tier 1 (emerging)</w:t>
      </w:r>
      <w:r>
        <w:rPr/>
        <w:t xml:space="preserve"> is an operating micro-enterprise that is informal or only partly registered, keeps basic records or none, and sells irregularly to tourists or lodges. It can use savings-linked micro-loans, small asset loans and matching grants.</w:t>
      </w:r>
    </w:p>
    <w:p>
      <w:pPr>
        <w:pStyle w:val="Normal"/>
        <w:jc w:val="both"/>
        <w:rPr/>
      </w:pPr>
      <w:r>
        <w:rPr>
          <w:b/>
          <w:bCs/>
        </w:rPr>
        <w:t>Tier 2 (supplier-ready)</w:t>
      </w:r>
      <w:r>
        <w:rPr/>
        <w:t xml:space="preserve"> is a registered enterprise that is tax-compliant or close to it, keeps simple records and has repeat orders or a contract with an anchor buyer. It is ready for contract-backed working capital, receivables finance, asset finance and leasing, and guaranteed bank loans.</w:t>
      </w:r>
    </w:p>
    <w:p>
      <w:pPr>
        <w:pStyle w:val="Normal"/>
        <w:jc w:val="both"/>
        <w:rPr/>
      </w:pPr>
      <w:r>
        <w:rPr>
          <w:b/>
          <w:bCs/>
        </w:rPr>
        <w:t>Tier 3 (investment-ready)</w:t>
      </w:r>
      <w:r>
        <w:rPr/>
        <w:t xml:space="preserve"> is a formal enterprise with management accounts, several buyers, a growth plan and governance in place. It can use term loans, guaranteed lending, quasi-equity and revenue-based finance, and a few such enterprises can take equity.</w:t>
      </w:r>
    </w:p>
    <w:p>
      <w:pPr>
        <w:pStyle w:val="Heading2"/>
        <w:rPr/>
      </w:pPr>
      <w:bookmarkStart w:id="5" w:name="__RefHeading___Toc1001_3359597930"/>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1003_3359597930"/>
      <w:bookmarkEnd w:id="6"/>
      <w:r>
        <w:rPr/>
        <w:t>2. Priority Value Chains and Value Chain Nodes</w:t>
      </w:r>
    </w:p>
    <w:p>
      <w:pPr>
        <w:pStyle w:val="Heading2"/>
        <w:rPr/>
      </w:pPr>
      <w:bookmarkStart w:id="7" w:name="__RefHeading___Toc1005_3359597930"/>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1007_3359597930"/>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jc w:val="both"/>
        <w:rPr/>
      </w:pPr>
      <w:r>
        <w:rPr>
          <w:b/>
          <w:bCs/>
        </w:rPr>
        <w:t>Node A, the primary producer,</w:t>
      </w:r>
      <w:r>
        <w:rPr/>
        <w:t xml:space="preserve"> grows, harvests or makes a product, usually as an individual or household; in KAZA this means market gardeners, beekeepers, forest-product harvesters and artisans. </w:t>
      </w:r>
      <w:r>
        <w:rPr>
          <w:b/>
          <w:bCs/>
        </w:rPr>
        <w:t>Node B, the aggregator or processor,</w:t>
      </w:r>
      <w:r>
        <w:rPr/>
        <w:t xml:space="preserve"> collects, processes, packages or adds value for several producers, as craft hubs, produce cooperatives, oil-pressing cooperatives and recycling workshops do. </w:t>
      </w:r>
      <w:r>
        <w:rPr>
          <w:b/>
          <w:bCs/>
        </w:rPr>
        <w:t>Node C, the supplier to anchor buyers,</w:t>
      </w:r>
      <w:r>
        <w:rPr/>
        <w:t xml:space="preserve"> sells regularly to lodges, hotels, DMCs or retailers against orders or contracts; examples are fresh-produce suppliers, décor and furniture makers, and building-material and cleaning suppliers.</w:t>
      </w:r>
    </w:p>
    <w:p>
      <w:pPr>
        <w:pStyle w:val="Normal"/>
        <w:jc w:val="both"/>
        <w:rPr/>
      </w:pPr>
      <w:r>
        <w:rPr>
          <w:b/>
          <w:bCs/>
        </w:rPr>
        <w:t>Node D, the direct tourism service enterprise,</w:t>
      </w:r>
      <w:r>
        <w:rPr/>
        <w:t xml:space="preserve"> sells experiences or services to visitors or operators, as guides, mokoro polers, transfer operators and cultural-tour operators do. </w:t>
      </w:r>
      <w:r>
        <w:rPr>
          <w:b/>
          <w:bCs/>
        </w:rPr>
        <w:t>Node E, the community enterprise,</w:t>
      </w:r>
      <w:r>
        <w:rPr/>
        <w:t xml:space="preserve"> is owned by a conservancy, trust, CBO or CAMPFIRE ward and carries benefit-sharing obligations; community campsites, JV lodge partners and community craft markets are typical.</w:t>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1009_3359597930"/>
      <w:bookmarkEnd w:id="9"/>
      <w:r>
        <w:rPr/>
        <w:t>3. MSME Business Models</w:t>
      </w:r>
    </w:p>
    <w:p>
      <w:pPr>
        <w:pStyle w:val="Heading2"/>
        <w:rPr/>
      </w:pPr>
      <w:bookmarkStart w:id="10" w:name="__RefHeading___Toc1011_3359597930"/>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1013_3359597930"/>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1015_3359597930"/>
      <w:bookmarkEnd w:id="12"/>
      <w:r>
        <w:rPr/>
        <w:t>4. Financial Practices, Record-Keeping and Informality</w:t>
      </w:r>
    </w:p>
    <w:p>
      <w:pPr>
        <w:pStyle w:val="Heading2"/>
        <w:rPr/>
      </w:pPr>
      <w:bookmarkStart w:id="13" w:name="__RefHeading___Toc1017_3359597930"/>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1019_3359597930"/>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1021_3359597930"/>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1023_3359597930"/>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jc w:val="both"/>
        <w:rPr/>
      </w:pPr>
      <w:r>
        <w:rPr>
          <w:b/>
          <w:bCs/>
        </w:rPr>
        <w:t>Three chains sit mostly in Tiers 0 and 1.</w:t>
      </w:r>
      <w:r>
        <w:rPr/>
        <w:t xml:space="preserve"> In </w:t>
      </w:r>
      <w:r>
        <w:rPr>
          <w:b/>
          <w:bCs/>
        </w:rPr>
        <w:t>food and agricultural supply</w:t>
      </w:r>
      <w:r>
        <w:rPr/>
        <w:t xml:space="preserve">, the business model and market linkage are of medium strength, because lodges want local produce, but financial practices, records, formality and management are all low; the typical producer is a Tier 0 or Tier 1 enterprise. </w:t>
      </w:r>
      <w:r>
        <w:rPr>
          <w:b/>
          <w:bCs/>
        </w:rPr>
        <w:t>Crafts and cultural products</w:t>
      </w:r>
      <w:r>
        <w:rPr/>
        <w:t xml:space="preserve"> are the weakest chain: the business model, market linkage, financial practices, records and formality are all low, and only management and governance reach low to medium where artisans are organised in hubs. </w:t>
      </w:r>
      <w:r>
        <w:rPr>
          <w:b/>
          <w:bCs/>
        </w:rPr>
        <w:t>Waste and recycling</w:t>
      </w:r>
      <w:r>
        <w:rPr/>
        <w:t xml:space="preserve"> enterprises are rated low to medium on business model, market linkage and formality, low on financial practices and records, and medium on governance, reflecting their community-trust origins; they too sit in Tiers 0 and 1.</w:t>
      </w:r>
    </w:p>
    <w:p>
      <w:pPr>
        <w:pStyle w:val="Normal"/>
        <w:jc w:val="both"/>
        <w:rPr/>
      </w:pPr>
      <w:r>
        <w:rPr>
          <w:b/>
          <w:bCs/>
        </w:rPr>
        <w:t>Five chains sit mostly in Tiers 1 and 2.</w:t>
      </w:r>
      <w:r>
        <w:rPr/>
        <w:t xml:space="preserve"> </w:t>
      </w:r>
      <w:r>
        <w:rPr>
          <w:b/>
          <w:bCs/>
        </w:rPr>
        <w:t>Lodge-linked goods</w:t>
      </w:r>
      <w:r>
        <w:rPr/>
        <w:t xml:space="preserve"> score medium on business model, market linkage, formality and management, and low to medium on financial practices and records. </w:t>
      </w:r>
      <w:r>
        <w:rPr>
          <w:b/>
          <w:bCs/>
        </w:rPr>
        <w:t>Guiding and activities</w:t>
      </w:r>
      <w:r>
        <w:rPr/>
        <w:t xml:space="preserve"> are medium on business model, market linkage, formality and management, low to medium on financial practices and low on records. </w:t>
      </w:r>
      <w:r>
        <w:rPr>
          <w:b/>
          <w:bCs/>
        </w:rPr>
        <w:t>Transport and transfers</w:t>
      </w:r>
      <w:r>
        <w:rPr/>
        <w:t xml:space="preserve"> are the most consistent performers, with medium to high market linkage because of sub-hire contracts and medium ratings on every other dimension. </w:t>
      </w:r>
      <w:r>
        <w:rPr>
          <w:b/>
          <w:bCs/>
        </w:rPr>
        <w:t>Nature-positive products</w:t>
      </w:r>
      <w:r>
        <w:rPr/>
        <w:t xml:space="preserve"> combine a medium business model with medium to high market linkage, because demand exceeds supply, medium formality and governance, and low to medium financial practices and records. </w:t>
      </w:r>
      <w:r>
        <w:rPr>
          <w:b/>
          <w:bCs/>
        </w:rPr>
        <w:t>Community accommodation</w:t>
      </w:r>
      <w:r>
        <w:rPr/>
        <w:t xml:space="preserve"> is medium on business model, market linkage, records and formality, but only low to medium on financial practices and governance.</w:t>
      </w:r>
      <w:r>
        <w:br w:type="page"/>
      </w:r>
    </w:p>
    <w:p>
      <w:pPr>
        <w:pStyle w:val="Heading1"/>
        <w:spacing w:before="0" w:after="240"/>
        <w:rPr/>
      </w:pPr>
      <w:bookmarkStart w:id="17" w:name="__RefHeading___Toc1025_3359597930"/>
      <w:bookmarkEnd w:id="17"/>
      <w:r>
        <w:rPr/>
        <w:t>5. Variation by Gender, Age and Value Chain Node</w:t>
      </w:r>
    </w:p>
    <w:p>
      <w:pPr>
        <w:pStyle w:val="Heading2"/>
        <w:rPr/>
      </w:pPr>
      <w:bookmarkStart w:id="18" w:name="__RefHeading___Toc1027_3359597930"/>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1029_3359597930"/>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1031_3359597930"/>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1033_3359597930"/>
      <w:bookmarkEnd w:id="21"/>
      <w:r>
        <w:rPr/>
        <w:t>5.4 Value Chain Node</w:t>
      </w:r>
    </w:p>
    <w:p>
      <w:pPr>
        <w:pStyle w:val="Normal"/>
        <w:jc w:val="both"/>
        <w:rPr/>
      </w:pPr>
      <w:r>
        <w:rPr/>
        <w:t>Node is the strongest predictor of readiness in the evidence. Readiness and finance needs vary by node as follows.</w:t>
      </w:r>
    </w:p>
    <w:p>
      <w:pPr>
        <w:pStyle w:val="Normal"/>
        <w:jc w:val="both"/>
        <w:rPr/>
      </w:pPr>
      <w:r>
        <w:rPr>
          <w:b/>
          <w:bCs/>
        </w:rPr>
        <w:t>Primary producers (node A)</w:t>
      </w:r>
      <w:r>
        <w:rPr/>
        <w:t xml:space="preserve"> are typically in Tiers 0 and 1. Their binding constraints are scale, quality, access to inputs and distance to market, and their finance needs are small: inputs, tools, irrigation and savings-group credit. Women and older producers appear to be prominent at this node in food and crafts. </w:t>
      </w:r>
      <w:r>
        <w:rPr>
          <w:b/>
          <w:bCs/>
        </w:rPr>
        <w:t>Aggregators and processors (node B)</w:t>
      </w:r>
      <w:r>
        <w:rPr/>
        <w:t xml:space="preserve"> are typically in Tiers 1 and 2 and are held back by governance, working capital, certification and equipment, which is also what they need to finance, often with certification grants. Women-led cooperatives such as the Zambian forest-products cooperative sit here, although the gender profile is mixed.</w:t>
      </w:r>
    </w:p>
    <w:p>
      <w:pPr>
        <w:pStyle w:val="Normal"/>
        <w:jc w:val="both"/>
        <w:rPr/>
      </w:pPr>
      <w:r>
        <w:rPr>
          <w:b/>
          <w:bCs/>
        </w:rPr>
        <w:t>Suppliers to anchor buyers (node C)</w:t>
      </w:r>
      <w:r>
        <w:rPr/>
        <w:t xml:space="preserve"> are the most ready, in Tiers 2 and 3. Their constraints are reliability, volume, tax compliance and the working capital needed between delivery and payment, so contract-backed working capital and receivables and asset finance fit them best. By inference, they are more often owned by older men. </w:t>
      </w:r>
      <w:r>
        <w:rPr>
          <w:b/>
          <w:bCs/>
        </w:rPr>
        <w:t>Direct tourism service enterprises (node D)</w:t>
      </w:r>
      <w:r>
        <w:rPr/>
        <w:t xml:space="preserve"> are in Tiers 1 and 2; skills and quality, equipment, visibility and seasonality constrain them, and they need asset finance and leasing and help with licensing and insurance costs. Young people are prominent in guiding, while transport is more often male. </w:t>
      </w:r>
      <w:r>
        <w:rPr>
          <w:b/>
          <w:bCs/>
        </w:rPr>
        <w:t>Community enterprises (node E)</w:t>
      </w:r>
      <w:r>
        <w:rPr/>
        <w:t xml:space="preserve"> are in Tiers 1 and 2 and depend on governance, benefit-sharing, tenure and leadership; grants, revolving funds and blended finance suit them, and women and youth are often under-represented in their leadership.</w:t>
      </w:r>
      <w:r>
        <w:br w:type="page"/>
      </w:r>
    </w:p>
    <w:p>
      <w:pPr>
        <w:pStyle w:val="Heading1"/>
        <w:spacing w:before="0" w:after="240"/>
        <w:rPr/>
      </w:pPr>
      <w:bookmarkStart w:id="22" w:name="__RefHeading___Toc1035_3359597930"/>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w:t>
      </w:r>
    </w:p>
    <w:p>
      <w:pPr>
        <w:pStyle w:val="Heading2"/>
        <w:rPr/>
      </w:pPr>
      <w:bookmarkStart w:id="23" w:name="__RefHeading___Toc1037_3359597930"/>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w:t>
      </w:r>
    </w:p>
    <w:p>
      <w:pPr>
        <w:pStyle w:val="ListParagraph"/>
        <w:numPr>
          <w:ilvl w:val="0"/>
          <w:numId w:val="44"/>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5"/>
        </w:numPr>
        <w:rPr/>
      </w:pPr>
      <w:r>
        <w:rPr>
          <w:b/>
          <w:bCs/>
        </w:rPr>
        <w:t>Financial management:</w:t>
      </w:r>
      <w:r>
        <w:rPr/>
        <w:t xml:space="preserve"> separating business and household money, simple bookkeeping, costing and pricing, cash-flow planning across the season, using mobile money to build a trail.</w:t>
      </w:r>
    </w:p>
    <w:p>
      <w:pPr>
        <w:pStyle w:val="ListParagraph"/>
        <w:numPr>
          <w:ilvl w:val="0"/>
          <w:numId w:val="46"/>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7"/>
        </w:numPr>
        <w:rPr/>
      </w:pPr>
      <w:r>
        <w:rPr>
          <w:b/>
          <w:bCs/>
        </w:rPr>
        <w:t>Contracting:</w:t>
      </w:r>
      <w:r>
        <w:rPr/>
        <w:t xml:space="preserve"> understanding and negotiating supply agreements, payment terms and delivery obligations, which matters more where courts are slow to enforce contracts (Section 7.1).</w:t>
      </w:r>
    </w:p>
    <w:p>
      <w:pPr>
        <w:pStyle w:val="ListParagraph"/>
        <w:numPr>
          <w:ilvl w:val="0"/>
          <w:numId w:val="48"/>
        </w:numPr>
        <w:rPr/>
      </w:pPr>
      <w:r>
        <w:rPr>
          <w:b/>
          <w:bCs/>
        </w:rPr>
        <w:t>Marketing and visibility:</w:t>
      </w:r>
      <w:r>
        <w:rPr/>
        <w:t xml:space="preserve"> digital listing, trade shows and operator familiarisation (MD p. 75).</w:t>
      </w:r>
    </w:p>
    <w:p>
      <w:pPr>
        <w:pStyle w:val="ListParagraph"/>
        <w:numPr>
          <w:ilvl w:val="0"/>
          <w:numId w:val="49"/>
        </w:numPr>
        <w:rPr/>
      </w:pPr>
      <w:r>
        <w:rPr>
          <w:b/>
          <w:bCs/>
        </w:rPr>
        <w:t>Technical and service skills:</w:t>
      </w:r>
      <w:r>
        <w:rPr/>
        <w:t xml:space="preserve"> guiding quality (MD p. 84), hospitality, vehicle and boat maintenance, recycling technology.</w:t>
      </w:r>
    </w:p>
    <w:p>
      <w:pPr>
        <w:pStyle w:val="ListParagraph"/>
        <w:numPr>
          <w:ilvl w:val="0"/>
          <w:numId w:val="50"/>
        </w:numPr>
        <w:rPr/>
      </w:pPr>
      <w:r>
        <w:rPr>
          <w:b/>
          <w:bCs/>
        </w:rPr>
        <w:t>Investment readiness:</w:t>
      </w:r>
      <w:r>
        <w:rPr/>
        <w:t xml:space="preserve"> preparing a business plan and loan application, understanding product terms, negotiating with lenders.</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jc w:val="both"/>
        <w:rPr/>
      </w:pPr>
      <w:r>
        <w:rPr>
          <w:b/>
          <w:bCs/>
        </w:rPr>
        <w:t>Food and agricultural supply.</w:t>
      </w:r>
      <w:r>
        <w:rPr/>
        <w:t xml:space="preserve"> Producers need to aggregate, deliver consistent quality and volume, meet food-safety and packaging standards, obtain VAT registration and tax clearance, and bridge the cash-flow gap between delivery and payment. The recommended response is producer-group formation, irrigation and post-harvest support, supply agreements with lodges and contract-backed working capital, delivered by anchor lodges with LEA, SMEDCO, CEEC, agricultural extension services and conservancies.</w:t>
      </w:r>
    </w:p>
    <w:p>
      <w:pPr>
        <w:pStyle w:val="Normal"/>
        <w:jc w:val="both"/>
        <w:rPr/>
      </w:pPr>
      <w:r>
        <w:rPr>
          <w:b/>
          <w:bCs/>
        </w:rPr>
        <w:t>Lodge-linked goods.</w:t>
      </w:r>
      <w:r>
        <w:rPr/>
        <w:t xml:space="preserve"> Makers need to design to lodge specifications, improve consistency and finishing, cost their products against imports and finance materials ahead of delivery. Design and quality coaching with lodge procurement teams, tooling and equipment finance and order-backed working capital address these gaps, with anchor operators, NIPDB, LEA, ZimTrade, ZDA and training institutions as delivery partners.</w:t>
      </w:r>
    </w:p>
    <w:p>
      <w:pPr>
        <w:pStyle w:val="Normal"/>
        <w:jc w:val="both"/>
        <w:rPr/>
      </w:pPr>
      <w:r>
        <w:rPr>
          <w:b/>
          <w:bCs/>
        </w:rPr>
        <w:t>Crafts and cultural products.</w:t>
      </w:r>
      <w:r>
        <w:rPr/>
        <w:t xml:space="preserve"> The gaps are product differentiation, buyer relationships, pricing and export compliance. Market-led design, buyer brokerage and curated retail, and e-commerce listing should come first, with finance offered only once orders exist. Craft hubs, BTO, the Namibia Tourism Board, ZimTrade and tourism associations are the natural partners.</w:t>
      </w:r>
    </w:p>
    <w:p>
      <w:pPr>
        <w:pStyle w:val="Normal"/>
        <w:jc w:val="both"/>
        <w:rPr/>
      </w:pPr>
      <w:r>
        <w:rPr>
          <w:b/>
          <w:bCs/>
        </w:rPr>
        <w:t>Guiding and activities.</w:t>
      </w:r>
      <w:r>
        <w:rPr/>
        <w:t xml:space="preserve"> Guides need quality improvements and certification, equipment, online visibility and help managing seasonal cash flow. Guide certification, lease-to-own equipment, digital marketing support and seasonal or revenue-linked repayment respond to these needs, delivered with guides associations, training institutions, DMCs and youth funds.</w:t>
      </w:r>
    </w:p>
    <w:p>
      <w:pPr>
        <w:pStyle w:val="Normal"/>
        <w:jc w:val="both"/>
        <w:rPr/>
      </w:pPr>
      <w:r>
        <w:rPr>
          <w:b/>
          <w:bCs/>
        </w:rPr>
        <w:t>Transport and transfers.</w:t>
      </w:r>
      <w:r>
        <w:rPr/>
        <w:t xml:space="preserve"> Operators need tax clearance, insurance, vehicle maintenance skills and sub-hire contracts. Compliance support through one-stop centres, asset finance on seasonal schedules and standard sub-hire contract templates are recommended, working with ZIDA, CIPA, ZDA, banks' asset-finance units and DMCs.</w:t>
      </w:r>
    </w:p>
    <w:p>
      <w:pPr>
        <w:pStyle w:val="Normal"/>
        <w:jc w:val="both"/>
        <w:rPr/>
      </w:pPr>
      <w:r>
        <w:rPr>
          <w:b/>
          <w:bCs/>
        </w:rPr>
        <w:t>Waste, recycling and cleaning.</w:t>
      </w:r>
      <w:r>
        <w:rPr/>
        <w:t xml:space="preserve"> Enterprises need a viable business model, service contracts, equipment and health and safety practices. Brokering service contracts with lodges and towns, equipment grants and youth incubation are recommended, delivered with local authorities, anchor lodges, NGOs and incubators.</w:t>
      </w:r>
    </w:p>
    <w:p>
      <w:pPr>
        <w:pStyle w:val="Normal"/>
        <w:jc w:val="both"/>
        <w:rPr/>
      </w:pPr>
      <w:r>
        <w:rPr>
          <w:b/>
          <w:bCs/>
        </w:rPr>
        <w:t>Nature-positive products.</w:t>
      </w:r>
      <w:r>
        <w:rPr/>
        <w:t xml:space="preserve"> The gaps are supply volume, certification, governance and export readiness. Certification grants, processing equipment, governance support and finance against export orders are recommended, with conservancies, CBNRM NGOs, CEEC, ZDA and export promotion bodies as partners.</w:t>
      </w:r>
    </w:p>
    <w:p>
      <w:pPr>
        <w:pStyle w:val="Normal"/>
        <w:jc w:val="both"/>
        <w:rPr/>
      </w:pPr>
      <w:r>
        <w:rPr>
          <w:b/>
          <w:bCs/>
        </w:rPr>
        <w:t>Community accommodation.</w:t>
      </w:r>
      <w:r>
        <w:rPr/>
        <w:t xml:space="preserve"> Community enterprises need stronger governance, better JV negotiation, higher service standards and secure tenure. Governance and JV advisory support, grading and service training and blended finance are recommended, delivered with BTO, the Namibia Tourism Board, the Zimbabwe Tourism Authority, NACSO and the CAMPFIRE Association.</w:t>
      </w:r>
    </w:p>
    <w:p>
      <w:pPr>
        <w:pStyle w:val="Heading2"/>
        <w:rPr/>
      </w:pPr>
      <w:bookmarkStart w:id="24" w:name="__RefHeading___Toc1039_3359597930"/>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1"/>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2"/>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3"/>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4"/>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5"/>
        </w:numPr>
        <w:rPr/>
      </w:pPr>
      <w:r>
        <w:rPr>
          <w:b/>
          <w:bCs/>
        </w:rPr>
        <w:t>No diagnostic or tracking tools.</w:t>
      </w:r>
      <w:r>
        <w:rPr/>
        <w:t xml:space="preserve"> BSOs lack a common readiness diagnostic and do not track MSMEs' progress from tier to tier.</w:t>
      </w:r>
    </w:p>
    <w:p>
      <w:pPr>
        <w:pStyle w:val="ListParagraph"/>
        <w:numPr>
          <w:ilvl w:val="0"/>
          <w:numId w:val="56"/>
        </w:numPr>
        <w:rPr/>
      </w:pPr>
      <w:r>
        <w:rPr>
          <w:b/>
          <w:bCs/>
        </w:rPr>
        <w:t>Gender and youth capacity.</w:t>
      </w:r>
      <w:r>
        <w:rPr/>
        <w:t xml:space="preserve"> Few BSOs have staff or methods for gender-transformative or youth-specific support.</w:t>
      </w:r>
    </w:p>
    <w:p>
      <w:pPr>
        <w:pStyle w:val="ListParagraph"/>
        <w:numPr>
          <w:ilvl w:val="0"/>
          <w:numId w:val="57"/>
        </w:numPr>
        <w:rPr/>
      </w:pPr>
      <w:r>
        <w:rPr>
          <w:b/>
          <w:bCs/>
        </w:rPr>
        <w:t>Funding.</w:t>
      </w:r>
      <w:r>
        <w:rPr/>
        <w:t xml:space="preserve"> The 2025 wind-down of USAID programmes removed grant and technical-assistance funding for many community enterprise programmes (Financial Landscape Analysis).</w:t>
      </w:r>
    </w:p>
    <w:p>
      <w:pPr>
        <w:pStyle w:val="Heading2"/>
        <w:rPr/>
      </w:pPr>
      <w:bookmarkStart w:id="25" w:name="__RefHeading___Toc1041_3359597930"/>
      <w:bookmarkEnd w:id="25"/>
      <w:r>
        <w:rPr/>
        <w:t>6.3 Financial Institutions</w:t>
      </w:r>
    </w:p>
    <w:p>
      <w:pPr>
        <w:pStyle w:val="ListParagraph"/>
        <w:numPr>
          <w:ilvl w:val="0"/>
          <w:numId w:val="58"/>
        </w:numPr>
        <w:rPr/>
      </w:pPr>
      <w:r>
        <w:rPr>
          <w:b/>
          <w:bCs/>
        </w:rPr>
        <w:t>Seasonal cash-flow lending:</w:t>
      </w:r>
      <w:r>
        <w:rPr/>
        <w:t xml:space="preserve"> structuring repayment around tourism and agricultural seasons rather than monthly amortisation.</w:t>
      </w:r>
    </w:p>
    <w:p>
      <w:pPr>
        <w:pStyle w:val="ListParagraph"/>
        <w:numPr>
          <w:ilvl w:val="0"/>
          <w:numId w:val="59"/>
        </w:numPr>
        <w:rPr/>
      </w:pPr>
      <w:r>
        <w:rPr>
          <w:b/>
          <w:bCs/>
        </w:rPr>
        <w:t>Sector knowledge:</w:t>
      </w:r>
      <w:r>
        <w:rPr/>
        <w:t xml:space="preserve"> understanding R-NBT business models, anchor-buyer contracts, concessions and JV arrangements.</w:t>
      </w:r>
    </w:p>
    <w:p>
      <w:pPr>
        <w:pStyle w:val="ListParagraph"/>
        <w:numPr>
          <w:ilvl w:val="0"/>
          <w:numId w:val="60"/>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1"/>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2"/>
        </w:numPr>
        <w:rPr/>
      </w:pPr>
      <w:r>
        <w:rPr>
          <w:b/>
          <w:bCs/>
        </w:rPr>
        <w:t>Guarantee use:</w:t>
      </w:r>
      <w:r>
        <w:rPr/>
        <w:t xml:space="preserve"> many banks under-use existing credit guarantee schemes; staff need to understand when and how to use them.</w:t>
      </w:r>
    </w:p>
    <w:p>
      <w:pPr>
        <w:pStyle w:val="ListParagraph"/>
        <w:numPr>
          <w:ilvl w:val="0"/>
          <w:numId w:val="63"/>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4"/>
        </w:numPr>
        <w:rPr/>
      </w:pPr>
      <w:r>
        <w:rPr>
          <w:b/>
          <w:bCs/>
        </w:rPr>
        <w:t>Regenerative screening:</w:t>
      </w:r>
      <w:r>
        <w:rPr/>
        <w:t xml:space="preserve"> applying simple environmental and social criteria consistent with a KAZA R-NBT eligibility framework.</w:t>
      </w:r>
    </w:p>
    <w:p>
      <w:pPr>
        <w:pStyle w:val="Normal"/>
        <w:jc w:val="both"/>
        <w:rPr/>
      </w:pPr>
      <w:r>
        <w:rPr>
          <w:b/>
          <w:bCs/>
        </w:rPr>
        <w:t>In summary,</w:t>
      </w:r>
      <w:r>
        <w:rPr/>
        <w:t xml:space="preserve"> four groups have high-priority capacity gaps. Producers at node A need aggregation, better quality, basic records and savings discipline, above all in food, crafts and nature-positive products. Suppliers and service enterprises at nodes C and D need reliability, compliance, contracting skills, cash-flow planning and investment readiness, particularly in lodge-linked goods, food, transport and guiding. Cooperatives and community enterprises at nodes B and E need governance, benefit-sharing rules, certification and leadership that includes women and youth, especially in nature-positive products, crafts and accommodation. BSOs, across all chains, need sector-specific supplier development, a readiness diagnostic, finance brokerage, outreach in the KAZA hubs and gender and youth methods.</w:t>
      </w:r>
    </w:p>
    <w:p>
      <w:pPr>
        <w:pStyle w:val="Normal"/>
        <w:jc w:val="both"/>
        <w:rPr/>
      </w:pPr>
      <w:r>
        <w:rPr/>
        <w:t>Financial institutions' gaps are of medium to high priority and affect all chains, especially supply chains: seasonal structuring, alternative collateral, guarantee use and gender-disaggregated data. Anchor buyers' gaps are of medium priority but matter for food, lodge-linked goods and transport: a commitment to supplier development, payment terms that support MSME cash flow, and standard contract templates.</w:t>
      </w:r>
      <w:r>
        <w:br w:type="page"/>
      </w:r>
    </w:p>
    <w:p>
      <w:pPr>
        <w:pStyle w:val="Heading1"/>
        <w:spacing w:before="0" w:after="240"/>
        <w:rPr/>
      </w:pPr>
      <w:bookmarkStart w:id="26" w:name="__RefHeading___Toc1043_3359597930"/>
      <w:bookmarkEnd w:id="26"/>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7" w:name="__RefHeading___Toc1045_3359597930"/>
      <w:bookmarkEnd w:id="27"/>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jc w:val="both"/>
        <w:rPr/>
      </w:pPr>
      <w:r>
        <w:rPr>
          <w:b/>
          <w:bCs/>
        </w:rPr>
        <w:t>Overall rankings.</w:t>
      </w:r>
      <w:r>
        <w:rPr/>
        <w:t xml:space="preserve"> Of 190 economies, Zambia ranked 85th (score 66.9 out of 100) and Botswana 87th (66.2), the two easiest places to do business among the KAZA states. Namibia followed at 104th (61.4), Zimbabwe at 140th (54.5) and Angola at 177th (41.3).</w:t>
      </w:r>
    </w:p>
    <w:p>
      <w:pPr>
        <w:pStyle w:val="Normal"/>
        <w:jc w:val="both"/>
        <w:rPr/>
      </w:pPr>
      <w:r>
        <w:rPr>
          <w:b/>
          <w:bCs/>
        </w:rPr>
        <w:t>Topic rankings by country.</w:t>
      </w:r>
      <w:r>
        <w:rPr/>
        <w:t xml:space="preserve"> </w:t>
      </w:r>
      <w:r>
        <w:rPr>
          <w:b/>
          <w:bCs/>
        </w:rPr>
        <w:t>Angola</w:t>
      </w:r>
      <w:r>
        <w:rPr/>
        <w:t xml:space="preserve"> ranked 146th for starting a business, 120th for construction permits, 156th for getting electricity, 167th for registering property, 185th for getting credit, 147th for protecting minority investors, 106th for paying taxes, 174th for trading across borders, 186th for enforcing contracts and 168th for resolving insolvency. </w:t>
      </w:r>
      <w:r>
        <w:rPr>
          <w:b/>
          <w:bCs/>
        </w:rPr>
        <w:t>Botswana</w:t>
      </w:r>
      <w:r>
        <w:rPr/>
        <w:t xml:space="preserve"> ranked 159th for starting a business, 44th for construction permits, 139th for electricity, 82nd for property, 80th for credit, 72nd for minority investors, 59th for taxes, 55th for trading across borders, 137th for enforcing contracts and 84th for insolvency. </w:t>
      </w:r>
      <w:r>
        <w:rPr>
          <w:b/>
          <w:bCs/>
        </w:rPr>
        <w:t>Namibia</w:t>
      </w:r>
      <w:r>
        <w:rPr/>
        <w:t xml:space="preserve"> ranked 165th for starting a business, 84th for construction permits, 76th for electricity, 173rd for property, 80th for credit, 88th for minority investors, 138th for trading across borders, 64th for enforcing contracts and 127th for insolvency; its paying-taxes score was 74.5, but its rank could not be confirmed. </w:t>
      </w:r>
      <w:r>
        <w:rPr>
          <w:b/>
          <w:bCs/>
        </w:rPr>
        <w:t>Zambia</w:t>
      </w:r>
      <w:r>
        <w:rPr/>
        <w:t xml:space="preserve"> ranked 117th for starting a business, 67th for construction permits, 129th for electricity, 149th for property, 4th for credit, 72nd for minority investors, 17th for taxes, 155th for trading across borders, 130th for enforcing contracts and 79th for insolvency. </w:t>
      </w:r>
      <w:r>
        <w:rPr>
          <w:b/>
          <w:bCs/>
        </w:rPr>
        <w:t>Zimbabwe</w:t>
      </w:r>
      <w:r>
        <w:rPr/>
        <w:t xml:space="preserve"> ranked 167th for starting a business, 140th for construction permits, 167th for electricity, 109th for property, 67th for credit, 97th for minority investors, 146th for taxes, 159th for trading across borders, 169th for enforcing contracts and 142nd for insolvency.</w:t>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65"/>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66"/>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67"/>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68"/>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69"/>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jc w:val="both"/>
        <w:rPr/>
      </w:pPr>
      <w:r>
        <w:rPr>
          <w:b/>
          <w:bCs/>
        </w:rPr>
        <w:t>In Botswana</w:t>
      </w:r>
      <w:r>
        <w:rPr/>
        <w:t>, fresh-produce and general-dealer retail licences are reserved for citizens, small-scale food and beverage manufacturing is closed to foreign shareholding (MD p. 31), foreign equity is banned in touristic transfer companies (MD p. 32, 34) and guesthouses are reserved for citizens (MD p. 34), while the Economic Inclusion Act 2021 promotes the participation of targeted citizens. Together these rules protect MSME space and create demand for citizen suppliers, but they close processing, distribution and transport to outside capital, so growth depends on domestic finance and lodge or DMC contracts.</w:t>
      </w:r>
    </w:p>
    <w:p>
      <w:pPr>
        <w:pStyle w:val="Normal"/>
        <w:jc w:val="both"/>
        <w:rPr/>
      </w:pPr>
      <w:r>
        <w:rPr>
          <w:b/>
          <w:bCs/>
        </w:rPr>
        <w:t>In Zambia</w:t>
      </w:r>
      <w:r>
        <w:rPr/>
        <w:t xml:space="preserve">, road service licences require at least 25% Zambian membership and all-Zambian directors unless the applicant holds a ZDA licence (MD p. 44). This favours local transport MSMEs but limits joint ventures with foreign partners, and the general licensing burden falls heavily on micro-enterprises, which is why omnibus licensing for accommodation is under discussion. </w:t>
      </w:r>
      <w:r>
        <w:rPr>
          <w:b/>
          <w:bCs/>
        </w:rPr>
        <w:t>In Angola</w:t>
      </w:r>
      <w:r>
        <w:rPr/>
        <w:t>, foreign shareholding is capped at 49% in road passenger transport and 50% in road freight (MD p. 26), which requires local partners in a province where the local enterprise base is thin, and the INAPEM certificate that banks request adds a step before finance.</w:t>
      </w:r>
    </w:p>
    <w:p>
      <w:pPr>
        <w:pStyle w:val="Normal"/>
        <w:jc w:val="both"/>
        <w:rPr/>
      </w:pPr>
      <w:r>
        <w:rPr>
          <w:b/>
          <w:bCs/>
        </w:rPr>
        <w:t>In Zimbabwe</w:t>
      </w:r>
      <w:r>
        <w:rPr/>
        <w:t xml:space="preserve">, an anchor operator reports a 30% withholding tax on payments to suppliers without tax clearance (MD p. 74), a strong penalty on informality that makes tax clearance a precondition for supplying anchors. Passenger transport and local arts and crafts are reserved for citizens, and SI 215 of 2025 tightened the rules on foreign participation, protecting MSME space in these chains while deterring foreign JV capital. </w:t>
      </w:r>
      <w:r>
        <w:rPr>
          <w:b/>
          <w:bCs/>
        </w:rPr>
        <w:t>In Namibia</w:t>
      </w:r>
      <w:r>
        <w:rPr/>
        <w:t xml:space="preserve">, the conservancy JV framework is mature but MSME value capture is low, the end of visa-free travel for 31 countries in April 2025 has shifted some demand (MD p. 117-118), which affects supplier viability, and slow company registration delays formalisation. </w:t>
      </w:r>
      <w:r>
        <w:rPr>
          <w:b/>
          <w:bCs/>
        </w:rPr>
        <w:t>At regional level</w:t>
      </w:r>
      <w:r>
        <w:rPr/>
        <w:t>, the KAZA Univisa and the COMESA Simplified Trade Regime both cover only Zambia and Zimbabwe, and cross-border supply chains are less evidenced than visitor flows (MD p. 117-118), which limits cross-border sourcing and multi-country itineraries for MSMEs.</w:t>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28" w:name="__RefHeading___Toc1047_3359597930"/>
      <w:bookmarkEnd w:id="28"/>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70"/>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71"/>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72"/>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73"/>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74"/>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29" w:name="__RefHeading___Toc1049_3359597930"/>
      <w:bookmarkEnd w:id="29"/>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jc w:val="both"/>
        <w:rPr/>
      </w:pPr>
      <w:r>
        <w:rPr>
          <w:b/>
          <w:bCs/>
        </w:rPr>
        <w:t>Comparing the five countries,</w:t>
      </w:r>
      <w:r>
        <w:rPr/>
        <w:t xml:space="preserve"> Angola's main BSOs (INAPEM, the BUE, AIPEX, the chamber of commerce and MINTUR) provide certification, registration, training and an incubator network still under development; their presence in the KAZA area is low and they mainly serve Tier 0 and Tier 1 enterprises. Botswana's BSOs (LEA, CEDA, BTO, HATAB, WIBA and the Wilderness supplier programme) offer BDS, mentoring, supplier readiness, citizen finance and product development, have a medium presence in Maun and Kasane, and serve Tiers 1 and 2. Namibia's BSOs (NIPDB, BIPA, the chamber of commerce, the Namibia Tourism Board, FENATA and HAN, the conservancy support organisations and DBN) cover MSME coordination, the High Potential Pool, the SME fund and conservancy enterprise support; their presence is medium for conservancies but low for MSME BDS, and they serve Tiers 0 to 2.</w:t>
      </w:r>
    </w:p>
    <w:p>
      <w:pPr>
        <w:pStyle w:val="Normal"/>
        <w:jc w:val="both"/>
        <w:rPr/>
      </w:pPr>
      <w:r>
        <w:rPr/>
        <w:t>Zambia's BSOs (ZDA, CEEC, the BRRA, the SME chamber, the Tourism Council, the Livingstone Tourism Association and the UNDP youth programme) provide BDS linked to finance, licensing reform and youth MSME training, have a medium presence in Livingstone and serve Tiers 1 and 2. Zimbabwe's BSOs (SMEDCO, ZIDA, ZimTrade, the Zimbabwe Tourism Authority, the Tourism Business Council and the CAMPFIRE Association) offer lending and capacity building, MSME infrastructure, one-stop registration and export linkages; their presence in Victoria Falls and Hwange is low to medium and they serve Tiers 1 and 2.</w:t>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0" w:name="__RefHeading___Toc1051_3359597930"/>
      <w:bookmarkEnd w:id="30"/>
      <w:r>
        <w:rPr/>
        <w:t>7.4 Policy Conditions</w:t>
      </w:r>
    </w:p>
    <w:p>
      <w:pPr>
        <w:pStyle w:val="ListParagraph"/>
        <w:numPr>
          <w:ilvl w:val="0"/>
          <w:numId w:val="75"/>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76"/>
        </w:numPr>
        <w:rPr/>
      </w:pPr>
      <w:r>
        <w:rPr/>
        <w:t>Credit guarantee schemes operate in Namibia, Zambia, Zimbabwe and Angola; Botswana has no operational national scheme (Financial Landscape Analysis).</w:t>
      </w:r>
    </w:p>
    <w:p>
      <w:pPr>
        <w:pStyle w:val="ListParagraph"/>
        <w:numPr>
          <w:ilvl w:val="0"/>
          <w:numId w:val="77"/>
        </w:numPr>
        <w:rPr/>
      </w:pPr>
      <w:r>
        <w:rPr/>
        <w:t>Currency instability in Zimbabwe, Zambia and Angola complicates lending to MSMEs whose revenue may be in foreign currency while costs are local, or the reverse.</w:t>
      </w:r>
    </w:p>
    <w:p>
      <w:pPr>
        <w:pStyle w:val="ListParagraph"/>
        <w:numPr>
          <w:ilvl w:val="0"/>
          <w:numId w:val="78"/>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79"/>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1" w:name="__RefHeading___Toc1053_3359597930"/>
      <w:bookmarkEnd w:id="31"/>
      <w:r>
        <w:rPr/>
        <w:t>8. Readiness for Financial Products</w:t>
      </w:r>
    </w:p>
    <w:p>
      <w:pPr>
        <w:pStyle w:val="Heading2"/>
        <w:rPr/>
      </w:pPr>
      <w:bookmarkStart w:id="32" w:name="__RefHeading___Toc1055_3359597930"/>
      <w:bookmarkEnd w:id="32"/>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jc w:val="both"/>
        <w:rPr/>
      </w:pPr>
      <w:r>
        <w:rPr/>
        <w:t xml:space="preserve">Consider a guiding and transfer enterprise that borrows USD 20,000. Under a </w:t>
      </w:r>
      <w:r>
        <w:rPr>
          <w:b/>
          <w:bCs/>
        </w:rPr>
        <w:t>standard amortising loan</w:t>
      </w:r>
      <w:r>
        <w:rPr/>
        <w:t xml:space="preserve"> of 24 monthly instalments at 20% a year, it pays USD 1,018 every month. In a peak month with revenue of USD 9,000, that is 11% of revenue; in a low-season month with revenue of about USD 2,140, it is 48%. The enterprise repays USD 24,430 over 24 months and bears the full risk of a bad season.</w:t>
      </w:r>
    </w:p>
    <w:p>
      <w:pPr>
        <w:pStyle w:val="Normal"/>
        <w:jc w:val="both"/>
        <w:rPr/>
      </w:pPr>
      <w:r>
        <w:rPr/>
        <w:t xml:space="preserve">Under </w:t>
      </w:r>
      <w:r>
        <w:rPr>
          <w:b/>
          <w:bCs/>
        </w:rPr>
        <w:t>seasonal amortisation</w:t>
      </w:r>
      <w:r>
        <w:rPr/>
        <w:t xml:space="preserve"> with the same total cost, payments are made only in the five peak months of two seasons. Each peak-month payment is USD 2,443, or 27% of revenue, and nothing is due in the low season. The total repaid is again USD 24,430, over two peak seasons. The borrower still bears the risk of a bad season, but the lender collects cash when the enterprise has it.</w:t>
      </w:r>
    </w:p>
    <w:p>
      <w:pPr>
        <w:pStyle w:val="Normal"/>
        <w:jc w:val="both"/>
        <w:rPr/>
      </w:pPr>
      <w:r>
        <w:rPr/>
        <w:t xml:space="preserve">Under </w:t>
      </w:r>
      <w:r>
        <w:rPr>
          <w:b/>
          <w:bCs/>
        </w:rPr>
        <w:t>revenue-based finance</w:t>
      </w:r>
      <w:r>
        <w:rPr/>
        <w:t>, the enterprise pays 15% of monthly revenue until it has repaid 1.3 times the amount borrowed: USD 1,350 in a peak month and USD 321 in a low-season month. It repays USD 26,000 in total, over about 35 months if revenue stays constant, and the financier shares the risk of a bad season.</w:t>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3" w:name="__RefHeading___Toc1057_3359597930"/>
      <w:bookmarkEnd w:id="33"/>
      <w:r>
        <w:rPr/>
        <w:t>8.2 MSME Readiness by Product</w:t>
      </w:r>
    </w:p>
    <w:p>
      <w:pPr>
        <w:pStyle w:val="Normal"/>
        <w:jc w:val="both"/>
        <w:rPr/>
      </w:pPr>
      <w:r>
        <w:rPr>
          <w:b/>
          <w:bCs/>
        </w:rPr>
        <w:t>For Tiers 0 and 1,</w:t>
      </w:r>
      <w:r>
        <w:rPr/>
        <w:t xml:space="preserve"> grants and matching grants are neutral with respect to seasonality and are appropriate for certification, equipment and pilots; they should be tied to milestones and, where possible, convert to repayable finance. Savings-group and micro-loans suit the same tiers and fit seasonality well if loan cycles follow the seasons; they are already used, especially by women, but are small and short, and linkage to MFIs can increase their size. </w:t>
      </w:r>
      <w:r>
        <w:rPr>
          <w:b/>
          <w:bCs/>
        </w:rPr>
        <w:t>Asset finance and leasing</w:t>
      </w:r>
      <w:r>
        <w:rPr/>
        <w:t xml:space="preserve"> suit Tiers 1 and 2 and fit guides, transport and processing equipment, with the asset as security, but their fit with seasonality is only medium unless repayment schedules are seasonal.</w:t>
      </w:r>
    </w:p>
    <w:p>
      <w:pPr>
        <w:pStyle w:val="Normal"/>
        <w:jc w:val="both"/>
        <w:rPr/>
      </w:pPr>
      <w:r>
        <w:rPr>
          <w:b/>
          <w:bCs/>
        </w:rPr>
        <w:t>For Tier 2,</w:t>
      </w:r>
      <w:r>
        <w:rPr/>
        <w:t xml:space="preserve"> contract-backed working capital and receivables finance are the best near-term fit for suppliers to anchors in food, lodge-linked goods, transport and cleaning, and fit seasonality well because repayment comes from the buyer's payment. Guaranteed loans suit Tiers 2 and 3; their fit with seasonality depends on the underlying loan, and they de-risk lenders rather than help MSMEs directly, so tourism windows in national schemes would widen access. Revenue-based finance, also for Tiers 2 and 3, fits seasonality very well and suits enterprises with observable revenue, but no KAZA lender yet offers it.</w:t>
      </w:r>
    </w:p>
    <w:p>
      <w:pPr>
        <w:pStyle w:val="Normal"/>
        <w:jc w:val="both"/>
        <w:rPr/>
      </w:pPr>
      <w:r>
        <w:rPr>
          <w:b/>
          <w:bCs/>
        </w:rPr>
        <w:t>For Tier 3,</w:t>
      </w:r>
      <w:r>
        <w:rPr/>
        <w:t xml:space="preserve"> standard term loans fit seasonality poorly when they are repaid in equal monthly instalments; few MSMEs are ready for them, and they become viable with a seasonal schedule and a guarantee. Quasi-equity and equity fit seasonality well because there is no fixed repayment, but they are relevant only to a small number of growth enterprises and cooperatives, transaction costs are high relative to ticket size, and ownership rules in Botswana and Zimbabwe limit foreign equity in some chains.</w:t>
      </w:r>
    </w:p>
    <w:p>
      <w:pPr>
        <w:pStyle w:val="Heading2"/>
        <w:rPr/>
      </w:pPr>
      <w:bookmarkStart w:id="34" w:name="__RefHeading___Toc1059_3359597930"/>
      <w:bookmarkEnd w:id="34"/>
      <w:r>
        <w:rPr/>
        <w:t>8.3 Financial Institution Readiness by Product</w:t>
      </w:r>
    </w:p>
    <w:p>
      <w:pPr>
        <w:pStyle w:val="Normal"/>
        <w:jc w:val="both"/>
        <w:rPr/>
      </w:pPr>
      <w:r>
        <w:rPr/>
        <w:t xml:space="preserve">Financial institutions are moderately ready for four products. </w:t>
      </w:r>
      <w:r>
        <w:rPr>
          <w:b/>
          <w:bCs/>
        </w:rPr>
        <w:t>Contract-backed supplier finance</w:t>
      </w:r>
      <w:r>
        <w:rPr/>
        <w:t xml:space="preserve"> could be offered by Stanbic in Botswana, Zambia and Zimbabwe and by other commercial banks; it needs replication of the Wilderness-Stanbic model, standard tripartite contract templates in which payment is ceded to the lender, and anchor commitment. </w:t>
      </w:r>
      <w:r>
        <w:rPr>
          <w:b/>
          <w:bCs/>
        </w:rPr>
        <w:t>Asset finance and leasing</w:t>
      </w:r>
      <w:r>
        <w:rPr/>
        <w:t xml:space="preserve">, through bank asset-finance units, leasing companies and green credit lines such as those of EIF and IDBZ, need smaller ticket sizes, vendor partnerships and seasonal schedules. </w:t>
      </w:r>
      <w:r>
        <w:rPr>
          <w:b/>
          <w:bCs/>
        </w:rPr>
        <w:t>Micro-loans and group lending</w:t>
      </w:r>
      <w:r>
        <w:rPr/>
        <w:t xml:space="preserve"> by MFIs, women's and youth banks and through savings-group linkage need linkage programmes, seasonal loan cycles and digital channels. </w:t>
      </w:r>
      <w:r>
        <w:rPr>
          <w:b/>
          <w:bCs/>
        </w:rPr>
        <w:t>Partial credit guarantees</w:t>
      </w:r>
      <w:r>
        <w:rPr/>
        <w:t xml:space="preserve"> from CGS Namibia, ZCGS, ECGC and FGC, and regionally from AGF, are also moderately ready, although Botswana has no national scheme; they need tourism or KAZA windows, acceptance of contracts and leaseholds as security, and seasonal grace periods.</w:t>
      </w:r>
    </w:p>
    <w:p>
      <w:pPr>
        <w:pStyle w:val="Normal"/>
        <w:jc w:val="both"/>
        <w:rPr/>
      </w:pPr>
      <w:r>
        <w:rPr/>
        <w:t xml:space="preserve">Readiness is lower for the remaining products. </w:t>
      </w:r>
      <w:r>
        <w:rPr>
          <w:b/>
          <w:bCs/>
        </w:rPr>
        <w:t>Seasonal working capital and term loans</w:t>
      </w:r>
      <w:r>
        <w:rPr/>
        <w:t xml:space="preserve"> from banks, CEDA, CEEC, DBN and MFIs are at low to medium readiness and need product redesign, staff training and risk-sharing for early portfolios. </w:t>
      </w:r>
      <w:r>
        <w:rPr>
          <w:b/>
          <w:bCs/>
        </w:rPr>
        <w:t>Revenue-based finance</w:t>
      </w:r>
      <w:r>
        <w:rPr/>
        <w:t xml:space="preserve">, which impact funds, fintechs and DFIs could offer through intermediaries, is at low readiness and needs a pilot vehicle, revenue data from payment platforms or anchors, and first-loss capital. </w:t>
      </w:r>
      <w:r>
        <w:rPr>
          <w:b/>
          <w:bCs/>
        </w:rPr>
        <w:t>Equity and quasi-equity</w:t>
      </w:r>
      <w:r>
        <w:rPr/>
        <w:t xml:space="preserve"> from BDC, CEDA Venture Capital, impact investors and, in Zimbabwe, the new ZEEX exchange are also at low readiness and need a pipeline of Tier 3 enterprises and a small-ticket fund or facility.</w:t>
      </w:r>
      <w:r>
        <w:br w:type="page"/>
      </w:r>
    </w:p>
    <w:p>
      <w:pPr>
        <w:pStyle w:val="Heading1"/>
        <w:spacing w:before="0" w:after="240"/>
        <w:rPr/>
      </w:pPr>
      <w:bookmarkStart w:id="35" w:name="__RefHeading___Toc1061_3359597930"/>
      <w:bookmarkEnd w:id="35"/>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Heading3"/>
        <w:rPr/>
      </w:pPr>
      <w:r>
        <w:rPr/>
        <w:t>Models with high investment potential</w:t>
      </w:r>
    </w:p>
    <w:p>
      <w:pPr>
        <w:pStyle w:val="Normal"/>
        <w:jc w:val="both"/>
        <w:rPr/>
      </w:pPr>
      <w:r>
        <w:rPr>
          <w:b/>
          <w:bCs/>
        </w:rPr>
        <w:t>Women's forest-products cooperative (Zambia).</w:t>
      </w:r>
      <w:r>
        <w:rPr/>
        <w:t xml:space="preserve"> </w:t>
      </w:r>
      <w:r>
        <w:rPr>
          <w:i/>
          <w:iCs/>
        </w:rPr>
        <w:t>Model type: women-led producer and processing cooperative in nature-positive products (node B).</w:t>
      </w:r>
      <w:r>
        <w:rPr/>
        <w:t xml:space="preserve"> The cooperative has 15 members, pays them to harvest rather than fell the forest, and sells mungongo oil and baobab coffee to Livingstone hotels and export buyers; it has received unsolicited bulk-oil export interest from Europe and South Africa (MD p. 73, 101). Its investment potential is high because demand already exceeds supply and it is women-led by definition. It needs a certification grant of about ZMW 30,000, processing equipment and export working capital; volumes, margins and governance should be verified.</w:t>
      </w:r>
    </w:p>
    <w:p>
      <w:pPr>
        <w:pStyle w:val="Normal"/>
        <w:jc w:val="both"/>
        <w:rPr/>
      </w:pPr>
      <w:r>
        <w:rPr>
          <w:b/>
          <w:bCs/>
        </w:rPr>
        <w:t>Produce aggregation for lodges (Hwange, Kasane and Livingstone).</w:t>
      </w:r>
      <w:r>
        <w:rPr/>
        <w:t xml:space="preserve"> </w:t>
      </w:r>
      <w:r>
        <w:rPr>
          <w:i/>
          <w:iCs/>
        </w:rPr>
        <w:t>Model type: producer cooperative supplying anchors under contract in food (nodes A to C).</w:t>
      </w:r>
      <w:r>
        <w:rPr/>
        <w:t xml:space="preserve"> Anchor lodges name irrigated produce supply as the clearest near-term opportunity, and aggregation would give producers volume and bargaining power (MD p. 68, 75). In Livingstone, a hotel already buys directly from smallholders, and a women's mushroom farm sells most of its produce to hotels under long-term contracts (operator-reported). The potential is high because anchors have confirmed demand and a working precedent exists. Contract-backed working capital and irrigation finance fit this model, which should be designed as women- or youth-led cooperatives; contract terms and prices should be verified.</w:t>
      </w:r>
    </w:p>
    <w:p>
      <w:pPr>
        <w:pStyle w:val="Normal"/>
        <w:jc w:val="both"/>
        <w:rPr/>
      </w:pPr>
      <w:r>
        <w:rPr>
          <w:b/>
          <w:bCs/>
        </w:rPr>
        <w:t>Citizen supplier development with an anchor (Botswana).</w:t>
      </w:r>
      <w:r>
        <w:rPr/>
        <w:t xml:space="preserve"> </w:t>
      </w:r>
      <w:r>
        <w:rPr>
          <w:i/>
          <w:iCs/>
        </w:rPr>
        <w:t>Model type: anchor-led supplier development programme spanning several chains (node C).</w:t>
      </w:r>
      <w:r>
        <w:rPr/>
        <w:t xml:space="preserve"> Wilderness's programme has enrolled 68 businesses, and its 2024 Local Supplier Expo led to more than BWP 6.2 million of new contracts for citizen-owned businesses, passing BWP 8 million by mid-2025; it is linked to Stanbic contract finance and LEA support. The potential is high because the model can be replicated with other operators. Contract-backed finance fits it; the share of women- and youth-led suppliers should be verified.</w:t>
      </w:r>
    </w:p>
    <w:p>
      <w:pPr>
        <w:pStyle w:val="Heading3"/>
        <w:rPr/>
      </w:pPr>
      <w:r>
        <w:rPr/>
        <w:t>Models with medium to high potential</w:t>
      </w:r>
    </w:p>
    <w:p>
      <w:pPr>
        <w:pStyle w:val="Normal"/>
        <w:jc w:val="both"/>
        <w:rPr/>
      </w:pPr>
      <w:r>
        <w:rPr>
          <w:b/>
          <w:bCs/>
        </w:rPr>
        <w:t>Youth guiding, activity and transfer enterprises (Victoria Falls-Chobe corridor).</w:t>
      </w:r>
      <w:r>
        <w:rPr/>
        <w:t xml:space="preserve"> </w:t>
      </w:r>
      <w:r>
        <w:rPr>
          <w:i/>
          <w:iCs/>
        </w:rPr>
        <w:t>Model type: owner-operator service micro-enterprise in guiding and transport (node D).</w:t>
      </w:r>
      <w:r>
        <w:rPr/>
        <w:t xml:space="preserve"> Guiding is the largest category in the MSME survey, and guiding, transport and cultural experiences are commonly combined (MD p. 61, 118). Low start-up costs and clear demand give medium to high potential. Skills certification, asset leasing and revenue-based finance fit these enterprises; the age profile of operators should be verified.</w:t>
      </w:r>
    </w:p>
    <w:p>
      <w:pPr>
        <w:pStyle w:val="Heading3"/>
        <w:rPr/>
      </w:pPr>
      <w:r>
        <w:rPr/>
        <w:t>Models with medium potential</w:t>
      </w:r>
    </w:p>
    <w:p>
      <w:pPr>
        <w:pStyle w:val="Normal"/>
        <w:jc w:val="both"/>
        <w:rPr/>
      </w:pPr>
      <w:r>
        <w:rPr>
          <w:b/>
          <w:bCs/>
        </w:rPr>
        <w:t>Craft hub aggregating rural artisans (Maun, Botswana).</w:t>
      </w:r>
      <w:r>
        <w:rPr/>
        <w:t xml:space="preserve"> </w:t>
      </w:r>
      <w:r>
        <w:rPr>
          <w:i/>
          <w:iCs/>
        </w:rPr>
        <w:t>Model type: artisan aggregation hub in crafts (node B).</w:t>
      </w:r>
      <w:r>
        <w:rPr/>
        <w:t xml:space="preserve"> The hub connects more than 100 rural artisans, holds export certifications and upcycles bottle tops and fabric into homeware, but has no committed international buyers (MD p. 69). Aggregation is in place but the buyer gap limits its potential, so buyer brokerage and product design should come before finance. The gender mix, probably women-majority, is not stated and should be verified.</w:t>
      </w:r>
    </w:p>
    <w:p>
      <w:pPr>
        <w:pStyle w:val="Normal"/>
        <w:jc w:val="both"/>
        <w:rPr/>
      </w:pPr>
      <w:r>
        <w:rPr>
          <w:b/>
          <w:bCs/>
        </w:rPr>
        <w:t>Elephant Aware Economy (Eastern Panhandle, Botswana).</w:t>
      </w:r>
      <w:r>
        <w:rPr/>
        <w:t xml:space="preserve"> </w:t>
      </w:r>
      <w:r>
        <w:rPr>
          <w:i/>
          <w:iCs/>
        </w:rPr>
        <w:t>Model type: community conservation enterprise cluster in nature-positive products (nodes A and B).</w:t>
      </w:r>
      <w:r>
        <w:rPr/>
        <w:t xml:space="preserve"> It combines a low-tillage farming cooperative selling at a premium, a honey enterprise that uses bees to deter elephants and dung paper, and honey tasting has been flagged as a high-opportunity niche (MD p. 69-70, 115). Premium positioning and a conservation story give it medium potential. Grants, blended finance and experience products fit it; its leadership and member profile should be verified.</w:t>
      </w:r>
    </w:p>
    <w:p>
      <w:pPr>
        <w:pStyle w:val="Normal"/>
        <w:jc w:val="both"/>
        <w:rPr/>
      </w:pPr>
      <w:r>
        <w:rPr>
          <w:b/>
          <w:bCs/>
        </w:rPr>
        <w:t>Community trust waste and upcycling enterprise (Namibia).</w:t>
      </w:r>
      <w:r>
        <w:rPr/>
        <w:t xml:space="preserve"> </w:t>
      </w:r>
      <w:r>
        <w:rPr>
          <w:i/>
          <w:iCs/>
        </w:rPr>
        <w:t>Model type: community-trust social enterprise in waste and the circular economy (nodes B and E).</w:t>
      </w:r>
      <w:r>
        <w:rPr/>
        <w:t xml:space="preserve"> It grew from a waste gap into a sewing workshop, a recycled-can aluminium workshop and a beehive initiative (MD p. 71, 115). Its diversified services and products give medium potential. It needs equipment, working capital and service contracts with lodges and towns; the roles of women and youth should be verified.</w:t>
      </w:r>
    </w:p>
    <w:p>
      <w:pPr>
        <w:pStyle w:val="Normal"/>
        <w:jc w:val="both"/>
        <w:rPr/>
      </w:pPr>
      <w:r>
        <w:rPr>
          <w:b/>
          <w:bCs/>
        </w:rPr>
        <w:t>Sijwa beehive project (Namibia).</w:t>
      </w:r>
      <w:r>
        <w:rPr/>
        <w:t xml:space="preserve"> </w:t>
      </w:r>
      <w:r>
        <w:rPr>
          <w:i/>
          <w:iCs/>
        </w:rPr>
        <w:t>Model type: conservancy-linked benefit-sharing enterprise in honey (nodes A and E).</w:t>
      </w:r>
      <w:r>
        <w:rPr/>
        <w:t xml:space="preserve"> It returns 12% of sales to the conservancy (MD p. 115), a replicable benefit-sharing model with medium potential. A revolving fund or group finance would fit it; volumes and buyers should be verified.</w:t>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6" w:name="__RefHeading___Toc1063_3359597930"/>
      <w:bookmarkEnd w:id="36"/>
      <w:r>
        <w:rPr/>
        <w:t>10. Recommended Capacity-Building Interventions</w:t>
      </w:r>
    </w:p>
    <w:p>
      <w:pPr>
        <w:pStyle w:val="Heading2"/>
        <w:rPr/>
      </w:pPr>
      <w:bookmarkStart w:id="37" w:name="__RefHeading___Toc1065_3359597930"/>
      <w:bookmarkEnd w:id="37"/>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w:t>
      </w:r>
    </w:p>
    <w:p>
      <w:pPr>
        <w:pStyle w:val="Normal"/>
        <w:jc w:val="both"/>
        <w:rPr/>
      </w:pPr>
      <w:r>
        <w:rPr>
          <w:b/>
          <w:bCs/>
        </w:rPr>
        <w:t>At Tier 0,</w:t>
      </w:r>
      <w:r>
        <w:rPr/>
        <w:t xml:space="preserve"> support focuses on group formation and governance, linkage to savings groups, financial literacy, and awareness of products and markets. Finance comes from savings groups, small grants and in-kind inputs. An enterprise graduates when it has regular sales and has kept group or individual records for six months.</w:t>
      </w:r>
    </w:p>
    <w:p>
      <w:pPr>
        <w:pStyle w:val="Normal"/>
        <w:jc w:val="both"/>
        <w:rPr/>
      </w:pPr>
      <w:r>
        <w:rPr>
          <w:b/>
          <w:bCs/>
        </w:rPr>
        <w:t>At Tier 1,</w:t>
      </w:r>
      <w:r>
        <w:rPr/>
        <w:t xml:space="preserve"> support covers bookkeeping and the use of mobile money, costing and pricing, quality and product development, and help with registration. Savings-linked micro-loans, matching grants and small asset leases provide finance. Graduation comes with registration, a first set of repeat orders from a buyer and basic records.</w:t>
      </w:r>
    </w:p>
    <w:p>
      <w:pPr>
        <w:pStyle w:val="Normal"/>
        <w:jc w:val="both"/>
        <w:rPr/>
      </w:pPr>
      <w:r>
        <w:rPr>
          <w:b/>
          <w:bCs/>
        </w:rPr>
        <w:t>At Tier 2,</w:t>
      </w:r>
      <w:r>
        <w:rPr/>
        <w:t xml:space="preserve"> support turns to supplier development with anchor buyers, compliance with tax, VAT, insurance and certification requirements, contracting and cash-flow planning. Contract-backed working capital, receivables and asset finance and guaranteed loans become available. An enterprise graduates once it holds a contract or repeat orders for a full season, has tax clearance and keeps simple accounts.</w:t>
      </w:r>
    </w:p>
    <w:p>
      <w:pPr>
        <w:pStyle w:val="Normal"/>
        <w:jc w:val="both"/>
        <w:rPr/>
      </w:pPr>
      <w:r>
        <w:rPr>
          <w:b/>
          <w:bCs/>
        </w:rPr>
        <w:t>At Tier 3,</w:t>
      </w:r>
      <w:r>
        <w:rPr/>
        <w:t xml:space="preserve"> support consists of business planning and investment-readiness coaching, governance and deal brokerage. Finance comes from term loans with seasonal schedules, revenue-based finance and quasi-equity. The milestone is finance secured and serviced.</w:t>
      </w:r>
    </w:p>
    <w:p>
      <w:pPr>
        <w:pStyle w:val="Heading2"/>
        <w:rPr/>
      </w:pPr>
      <w:bookmarkStart w:id="38" w:name="__RefHeading___Toc1067_3359597930"/>
      <w:bookmarkEnd w:id="38"/>
      <w:r>
        <w:rPr/>
        <w:t>10.2 Gender-Transformative Approaches</w:t>
      </w:r>
    </w:p>
    <w:p>
      <w:pPr>
        <w:pStyle w:val="ListParagraph"/>
        <w:numPr>
          <w:ilvl w:val="0"/>
          <w:numId w:val="80"/>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81"/>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82"/>
        </w:numPr>
        <w:rPr/>
      </w:pPr>
      <w:r>
        <w:rPr>
          <w:b/>
          <w:bCs/>
        </w:rPr>
        <w:t>Women's leadership</w:t>
      </w:r>
      <w:r>
        <w:rPr/>
        <w:t xml:space="preserve"> quotas and training in cooperatives, community enterprises and conservancy enterprise committees.</w:t>
      </w:r>
    </w:p>
    <w:p>
      <w:pPr>
        <w:pStyle w:val="ListParagraph"/>
        <w:numPr>
          <w:ilvl w:val="0"/>
          <w:numId w:val="83"/>
        </w:numPr>
        <w:rPr/>
      </w:pPr>
      <w:r>
        <w:rPr>
          <w:b/>
          <w:bCs/>
        </w:rPr>
        <w:t>Care-aware delivery</w:t>
      </w:r>
      <w:r>
        <w:rPr/>
        <w:t>: training scheduled and located to fit women's workloads, with childcare where needed, and mobile delivery in remote areas.</w:t>
      </w:r>
    </w:p>
    <w:p>
      <w:pPr>
        <w:pStyle w:val="ListParagraph"/>
        <w:numPr>
          <w:ilvl w:val="0"/>
          <w:numId w:val="84"/>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85"/>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86"/>
        </w:numPr>
        <w:rPr/>
      </w:pPr>
      <w:r>
        <w:rPr>
          <w:b/>
          <w:bCs/>
        </w:rPr>
        <w:t>Household dialogue</w:t>
      </w:r>
      <w:r>
        <w:rPr/>
        <w:t xml:space="preserve"> on control of income and decision-making where enterprise growth may otherwise shift control away from women.</w:t>
      </w:r>
    </w:p>
    <w:p>
      <w:pPr>
        <w:pStyle w:val="ListParagraph"/>
        <w:numPr>
          <w:ilvl w:val="0"/>
          <w:numId w:val="87"/>
        </w:numPr>
        <w:rPr/>
      </w:pPr>
      <w:r>
        <w:rPr>
          <w:b/>
          <w:bCs/>
        </w:rPr>
        <w:t>Diversification into higher-value chains</w:t>
      </w:r>
      <w:r>
        <w:rPr/>
        <w:t>: targeted support for women in lodge-linked goods, guiding and nature-positive products, not only crafts.</w:t>
      </w:r>
    </w:p>
    <w:p>
      <w:pPr>
        <w:pStyle w:val="Heading2"/>
        <w:rPr/>
      </w:pPr>
      <w:bookmarkStart w:id="39" w:name="__RefHeading___Toc1069_3359597930"/>
      <w:bookmarkEnd w:id="39"/>
      <w:r>
        <w:rPr/>
        <w:t>10.3 Youth-Focused Incubation</w:t>
      </w:r>
    </w:p>
    <w:p>
      <w:pPr>
        <w:pStyle w:val="ListParagraph"/>
        <w:numPr>
          <w:ilvl w:val="0"/>
          <w:numId w:val="88"/>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89"/>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90"/>
        </w:numPr>
        <w:rPr/>
      </w:pPr>
      <w:r>
        <w:rPr>
          <w:b/>
          <w:bCs/>
        </w:rPr>
        <w:t>Apprenticeships with anchor operators</w:t>
      </w:r>
      <w:r>
        <w:rPr/>
        <w:t xml:space="preserve"> that lead to sub-contracts and the two or three successful bookings needed to be listed (MD p. 75).</w:t>
      </w:r>
    </w:p>
    <w:p>
      <w:pPr>
        <w:pStyle w:val="ListParagraph"/>
        <w:numPr>
          <w:ilvl w:val="0"/>
          <w:numId w:val="91"/>
        </w:numPr>
        <w:rPr/>
      </w:pPr>
      <w:r>
        <w:rPr>
          <w:b/>
          <w:bCs/>
        </w:rPr>
        <w:t>Asset access</w:t>
      </w:r>
      <w:r>
        <w:rPr/>
        <w:t xml:space="preserve"> through lease-to-own schemes for vehicles, boats and equipment, linked to youth finance (YDF, EmpowerBank, bank youth windows).</w:t>
      </w:r>
    </w:p>
    <w:p>
      <w:pPr>
        <w:pStyle w:val="ListParagraph"/>
        <w:numPr>
          <w:ilvl w:val="0"/>
          <w:numId w:val="92"/>
        </w:numPr>
        <w:rPr/>
      </w:pPr>
      <w:r>
        <w:rPr>
          <w:b/>
          <w:bCs/>
        </w:rPr>
        <w:t>Seed grants converting to loans</w:t>
      </w:r>
      <w:r>
        <w:rPr/>
        <w:t xml:space="preserve"> on milestones, so young entrepreneurs build a credit history.</w:t>
      </w:r>
    </w:p>
    <w:p>
      <w:pPr>
        <w:pStyle w:val="ListParagraph"/>
        <w:numPr>
          <w:ilvl w:val="0"/>
          <w:numId w:val="93"/>
        </w:numPr>
        <w:rPr/>
      </w:pPr>
      <w:r>
        <w:rPr>
          <w:b/>
          <w:bCs/>
        </w:rPr>
        <w:t>Links to existing youth programmes</w:t>
      </w:r>
      <w:r>
        <w:rPr/>
        <w:t>, such as the UNDP youth-led MSME programme in Livingstone and the youth priority in Namibia's SME fund, to avoid duplication.</w:t>
      </w:r>
    </w:p>
    <w:p>
      <w:pPr>
        <w:pStyle w:val="Heading2"/>
        <w:rPr/>
      </w:pPr>
      <w:bookmarkStart w:id="40" w:name="__RefHeading___Toc1071_3359597930"/>
      <w:bookmarkEnd w:id="40"/>
      <w:r>
        <w:rPr/>
        <w:t>10.4 Blended Support Packages</w:t>
      </w:r>
    </w:p>
    <w:p>
      <w:pPr>
        <w:pStyle w:val="Normal"/>
        <w:jc w:val="both"/>
        <w:rPr/>
      </w:pPr>
      <w:r>
        <w:rPr/>
        <w:t>Finance and technical assistance should be delivered together and tied to a buyer. Three packages are proposed:</w:t>
      </w:r>
    </w:p>
    <w:p>
      <w:pPr>
        <w:pStyle w:val="Normal"/>
        <w:jc w:val="both"/>
        <w:rPr/>
      </w:pPr>
      <w:r>
        <w:rPr>
          <w:b/>
          <w:bCs/>
        </w:rPr>
        <w:t>The anchor supplier package</w:t>
      </w:r>
      <w:r>
        <w:rPr/>
        <w:t xml:space="preserve"> targets Tier 2 suppliers in food, lodge-linked goods, transport and cleaning. It combines supplier-development technical assistance, contract-backed working capital in which payment is ceded to the lender, a partial guarantee and a commitment from the anchor on payment terms, delivered with anchor operators, banks, guarantee schemes, LEA and other BSOs.</w:t>
      </w:r>
    </w:p>
    <w:p>
      <w:pPr>
        <w:pStyle w:val="Normal"/>
        <w:jc w:val="both"/>
        <w:rPr/>
      </w:pPr>
      <w:r>
        <w:rPr>
          <w:b/>
          <w:bCs/>
        </w:rPr>
        <w:t>The community enterprise package</w:t>
      </w:r>
      <w:r>
        <w:rPr/>
        <w:t xml:space="preserve"> targets cooperatives and community enterprises in nature-positive products and crafts. It provides governance and certification support, a grant for equipment, a revolving fund and buyer brokerage, working with conservancies, CBOs, NGOs, MFIs and community funds.</w:t>
      </w:r>
    </w:p>
    <w:p>
      <w:pPr>
        <w:pStyle w:val="Normal"/>
        <w:jc w:val="both"/>
        <w:rPr/>
      </w:pPr>
      <w:r>
        <w:rPr>
          <w:b/>
          <w:bCs/>
        </w:rPr>
        <w:t>The youth and women start-up package</w:t>
      </w:r>
      <w:r>
        <w:rPr/>
        <w:t xml:space="preserve"> targets Tier 0 and Tier 1 enterprises led by women and young people. It offers incubation, savings-group linkage, a matching grant that converts to a loan, asset leasing and help with registration, delivered with BSOs, youth and women's finance institutions and training institutions.</w:t>
      </w:r>
    </w:p>
    <w:p>
      <w:pPr>
        <w:pStyle w:val="Heading2"/>
        <w:rPr/>
      </w:pPr>
      <w:bookmarkStart w:id="41" w:name="__RefHeading___Toc1073_3359597930"/>
      <w:bookmarkEnd w:id="41"/>
      <w:r>
        <w:rPr/>
        <w:t>10.5 BSO Strengthening</w:t>
      </w:r>
    </w:p>
    <w:p>
      <w:pPr>
        <w:pStyle w:val="ListParagraph"/>
        <w:numPr>
          <w:ilvl w:val="0"/>
          <w:numId w:val="94"/>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95"/>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96"/>
        </w:numPr>
        <w:rPr/>
      </w:pPr>
      <w:r>
        <w:rPr/>
        <w:t xml:space="preserve">Establish </w:t>
      </w:r>
      <w:r>
        <w:rPr>
          <w:b/>
          <w:bCs/>
        </w:rPr>
        <w:t>BSO-financier referral agreements</w:t>
      </w:r>
      <w:r>
        <w:rPr/>
        <w:t xml:space="preserve"> so that BSO-assessed MSMEs receive faster processing.</w:t>
      </w:r>
    </w:p>
    <w:p>
      <w:pPr>
        <w:pStyle w:val="ListParagraph"/>
        <w:numPr>
          <w:ilvl w:val="0"/>
          <w:numId w:val="97"/>
        </w:numPr>
        <w:rPr/>
      </w:pPr>
      <w:r>
        <w:rPr/>
        <w:t xml:space="preserve">Extend outreach to KAZA hubs through </w:t>
      </w:r>
      <w:r>
        <w:rPr>
          <w:b/>
          <w:bCs/>
        </w:rPr>
        <w:t>satellite offices or mobile advisers</w:t>
      </w:r>
      <w:r>
        <w:rPr/>
        <w:t>.</w:t>
      </w:r>
    </w:p>
    <w:p>
      <w:pPr>
        <w:pStyle w:val="ListParagraph"/>
        <w:numPr>
          <w:ilvl w:val="0"/>
          <w:numId w:val="98"/>
        </w:numPr>
        <w:rPr/>
      </w:pPr>
      <w:r>
        <w:rPr/>
        <w:t xml:space="preserve">Build </w:t>
      </w:r>
      <w:r>
        <w:rPr>
          <w:b/>
          <w:bCs/>
        </w:rPr>
        <w:t>gender and youth capacity</w:t>
      </w:r>
      <w:r>
        <w:rPr/>
        <w:t xml:space="preserve"> within BSOs, including staff training and disaggregated client data.</w:t>
      </w:r>
    </w:p>
    <w:p>
      <w:pPr>
        <w:pStyle w:val="ListParagraph"/>
        <w:numPr>
          <w:ilvl w:val="0"/>
          <w:numId w:val="99"/>
        </w:numPr>
        <w:rPr/>
      </w:pPr>
      <w:r>
        <w:rPr/>
        <w:t xml:space="preserve">Use </w:t>
      </w:r>
      <w:r>
        <w:rPr>
          <w:b/>
          <w:bCs/>
        </w:rPr>
        <w:t>performance-based contracts</w:t>
      </w:r>
      <w:r>
        <w:rPr/>
        <w:t xml:space="preserve"> that pay BSOs for MSMEs graduating between tiers and accessing finance.</w:t>
      </w:r>
    </w:p>
    <w:p>
      <w:pPr>
        <w:pStyle w:val="Normal"/>
        <w:jc w:val="both"/>
        <w:rPr/>
      </w:pPr>
      <w:r>
        <w:rPr/>
        <w:t>The programme should work through existing BSOs rather than create new ones. A lead BSO and a first strengthening focus are proposed for each country, based on Section 7.3.</w:t>
      </w:r>
    </w:p>
    <w:p>
      <w:pPr>
        <w:pStyle w:val="Normal"/>
        <w:jc w:val="both"/>
        <w:rPr/>
      </w:pPr>
      <w:r>
        <w:rPr>
          <w:b/>
          <w:bCs/>
        </w:rPr>
        <w:t>In Angola,</w:t>
      </w:r>
      <w:r>
        <w:rPr/>
        <w:t xml:space="preserve"> INAPEM should lead, working with the provincial governments of Cuando and Cubango and conservation NGOs. The first focus would be a tourism and lodge-supply module in the incubator network, certification and registration help in Menongue, and building Angolan guiding and logistics capability, with the incubator network and Envolver+ as entry points. </w:t>
      </w:r>
      <w:r>
        <w:rPr>
          <w:b/>
          <w:bCs/>
        </w:rPr>
        <w:t>In Botswana,</w:t>
      </w:r>
      <w:r>
        <w:rPr/>
        <w:t xml:space="preserve"> LEA should lead with BTO, HATAB, WIBA and anchor operators, focusing on supplier development in Kasane and Maun, a readiness diagnostic, and links to CEDA and Stanbic finance; the Wilderness-LEA memorandum and the Wilderness-Stanbic facility are the entry points.</w:t>
      </w:r>
    </w:p>
    <w:p>
      <w:pPr>
        <w:pStyle w:val="Normal"/>
        <w:jc w:val="both"/>
        <w:rPr/>
      </w:pPr>
      <w:r>
        <w:rPr>
          <w:b/>
          <w:bCs/>
        </w:rPr>
        <w:t>In Namibia,</w:t>
      </w:r>
      <w:r>
        <w:rPr/>
        <w:t xml:space="preserve"> NIPDB should lead with NACSO, IRDNC, the Namibia Nature Foundation, the chamber's regional branches and lodge operators. The focus would be a KAZA window in the High Potential Pool and the SME fund, a pathway from conservancy enterprise to supplier, and registration support. </w:t>
      </w:r>
      <w:r>
        <w:rPr>
          <w:b/>
          <w:bCs/>
        </w:rPr>
        <w:t>In Zambia,</w:t>
      </w:r>
      <w:r>
        <w:rPr/>
        <w:t xml:space="preserve"> ZDA and CEEC should lead with the Livingstone Tourism Association and training institutions, focusing on tourism supplier development in Livingstone, seasonal terms in CEEC products and youth incubation, building on the ZDA-CEEC agreement and the UNDP youth MSME programme. </w:t>
      </w:r>
      <w:r>
        <w:rPr>
          <w:b/>
          <w:bCs/>
        </w:rPr>
        <w:t>In Zimbabwe,</w:t>
      </w:r>
      <w:r>
        <w:rPr/>
        <w:t xml:space="preserve"> SMEDCO should lead with ZIDA, the Zimbabwe Tourism Authority, the Tourism Business Council and the CAMPFIRE Association, focusing on supplier development in Victoria Falls and Hwange, tax-clearance support through ZIDA and investment readiness for ZEEX, building on SMEDCO's programmes and its stock exchange partnership.</w:t>
      </w:r>
    </w:p>
    <w:p>
      <w:pPr>
        <w:pStyle w:val="Heading2"/>
        <w:rPr/>
      </w:pPr>
      <w:bookmarkStart w:id="42" w:name="__RefHeading___Toc1075_3359597930"/>
      <w:bookmarkEnd w:id="42"/>
      <w:r>
        <w:rPr/>
        <w:t>10.6 Financial Institution Strengthening</w:t>
      </w:r>
    </w:p>
    <w:p>
      <w:pPr>
        <w:pStyle w:val="ListParagraph"/>
        <w:numPr>
          <w:ilvl w:val="0"/>
          <w:numId w:val="100"/>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01"/>
        </w:numPr>
        <w:rPr/>
      </w:pPr>
      <w:r>
        <w:rPr>
          <w:b/>
          <w:bCs/>
        </w:rPr>
        <w:t>Sector training</w:t>
      </w:r>
      <w:r>
        <w:rPr/>
        <w:t xml:space="preserve"> for credit officers on R-NBT business models, anchor contracts and concession arrangements.</w:t>
      </w:r>
    </w:p>
    <w:p>
      <w:pPr>
        <w:pStyle w:val="ListParagraph"/>
        <w:numPr>
          <w:ilvl w:val="0"/>
          <w:numId w:val="102"/>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03"/>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04"/>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05"/>
        </w:numPr>
        <w:rPr/>
      </w:pPr>
      <w:r>
        <w:rPr>
          <w:b/>
          <w:bCs/>
        </w:rPr>
        <w:t>Gender-disaggregated reporting</w:t>
      </w:r>
      <w:r>
        <w:rPr/>
        <w:t xml:space="preserve"> and gender-smart product design.</w:t>
      </w:r>
    </w:p>
    <w:p>
      <w:pPr>
        <w:pStyle w:val="Heading2"/>
        <w:rPr/>
      </w:pPr>
      <w:bookmarkStart w:id="43" w:name="__RefHeading___Toc1077_3359597930"/>
      <w:bookmarkEnd w:id="43"/>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06"/>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07"/>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08"/>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09"/>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10"/>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4" w:name="__RefHeading___Toc1079_3359597930"/>
      <w:bookmarkEnd w:id="44"/>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11"/>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12"/>
        </w:numPr>
        <w:rPr/>
      </w:pPr>
      <w:r>
        <w:rPr>
          <w:b/>
          <w:bCs/>
        </w:rPr>
        <w:t>Tier 1-2 to grant-to-loan finance:</w:t>
      </w:r>
      <w:r>
        <w:rPr/>
        <w:t xml:space="preserve"> readiness grants that convert to loans or guarantees on milestones.</w:t>
      </w:r>
    </w:p>
    <w:p>
      <w:pPr>
        <w:pStyle w:val="ListParagraph"/>
        <w:numPr>
          <w:ilvl w:val="0"/>
          <w:numId w:val="113"/>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14"/>
        </w:numPr>
        <w:rPr/>
      </w:pPr>
      <w:r>
        <w:rPr>
          <w:b/>
          <w:bCs/>
        </w:rPr>
        <w:t>Tier 3 to term finance, revenue-based finance and quasi-equity:</w:t>
      </w:r>
      <w:r>
        <w:rPr/>
        <w:t xml:space="preserve"> through banks, DFIs and impact investors, with seasonal repayment.</w:t>
      </w:r>
    </w:p>
    <w:p>
      <w:pPr>
        <w:pStyle w:val="Heading2"/>
        <w:rPr/>
      </w:pPr>
      <w:bookmarkStart w:id="45" w:name="__RefHeading___Toc1081_3359597930"/>
      <w:bookmarkEnd w:id="45"/>
      <w:r>
        <w:rPr/>
        <w:t>10.9 Priorities and Next Steps</w:t>
      </w:r>
    </w:p>
    <w:p>
      <w:pPr>
        <w:pStyle w:val="ListParagraph"/>
        <w:numPr>
          <w:ilvl w:val="0"/>
          <w:numId w:val="115"/>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16"/>
        </w:numPr>
        <w:rPr/>
      </w:pPr>
      <w:r>
        <w:rPr>
          <w:b/>
          <w:bCs/>
        </w:rPr>
        <w:t>Fix crafts through markets, not volume:</w:t>
      </w:r>
      <w:r>
        <w:rPr/>
        <w:t xml:space="preserve"> focus on product differentiation and buyer relationships before finance.</w:t>
      </w:r>
    </w:p>
    <w:p>
      <w:pPr>
        <w:pStyle w:val="ListParagraph"/>
        <w:numPr>
          <w:ilvl w:val="0"/>
          <w:numId w:val="117"/>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18"/>
        </w:numPr>
        <w:rPr/>
      </w:pPr>
      <w:r>
        <w:rPr>
          <w:b/>
          <w:bCs/>
        </w:rPr>
        <w:t>Close the gender and age data gap:</w:t>
      </w:r>
      <w:r>
        <w:rPr/>
        <w:t xml:space="preserve"> run a disaggregated MSME baseline in pilot destinations (Annex B).</w:t>
      </w:r>
    </w:p>
    <w:p>
      <w:pPr>
        <w:pStyle w:val="ListParagraph"/>
        <w:numPr>
          <w:ilvl w:val="0"/>
          <w:numId w:val="119"/>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20"/>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6" w:name="__RefHeading___Toc1083_3359597930"/>
      <w:bookmarkEnd w:id="46"/>
      <w:r>
        <w:rPr/>
        <w:t>Annex A: Evidence Map</w:t>
      </w:r>
    </w:p>
    <w:p>
      <w:pPr>
        <w:pStyle w:val="Normal"/>
        <w:jc w:val="both"/>
        <w:rPr/>
      </w:pPr>
      <w:r>
        <w:rPr/>
        <w:t>The Macro Diagnostic sections used in this assessment are listed below by topic.</w:t>
      </w:r>
    </w:p>
    <w:p>
      <w:pPr>
        <w:pStyle w:val="Normal"/>
        <w:jc w:val="both"/>
        <w:rPr/>
      </w:pPr>
      <w:r>
        <w:rPr/>
        <w:t>The survey of respondents by business activity comes from Section 10 of the Macro Diagnostic (page 61), and the stakeholder findings by country, which provide the buyer and enterprise evidence, from Section 11 (pages 65 to 76). Emerging themes and triangulation are in Section 12 (pages 77 to 85), the comparative value-chain table by country in Section 13 (pages 87 to 94), the MSME definition in Section 14 (pages 95 to 102) and destination prioritisation in Section 15 (pages 103 to 110).</w:t>
      </w:r>
    </w:p>
    <w:p>
      <w:pPr>
        <w:pStyle w:val="Normal"/>
        <w:jc w:val="both"/>
        <w:rPr/>
      </w:pPr>
      <w:r>
        <w:rPr/>
        <w:t>Regenerative practice and the enterprise cases are in Section 17 (pages 115 and 116), and cross-border corridors in Section 18 (pages 117 to 119). Local value capture, procurement and market readiness are covered in Section 20.7 (pages 128 and 129), the integrated preliminary conclusions in Section 21 (pages 131 to 135), data gaps and baseline indicators in Sections 22 and 23 (pages 139 to 142), and the recommendations on value capture and supplier development in Sections 24.1.5 and 24.1.7 (pages 146 to 148).</w:t>
      </w:r>
      <w:r>
        <w:br w:type="page"/>
      </w:r>
    </w:p>
    <w:p>
      <w:pPr>
        <w:pStyle w:val="Heading1"/>
        <w:spacing w:before="0" w:after="240"/>
        <w:rPr/>
      </w:pPr>
      <w:bookmarkStart w:id="47" w:name="__RefHeading___Toc1085_3359597930"/>
      <w:bookmarkEnd w:id="47"/>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jc w:val="both"/>
        <w:rPr/>
      </w:pPr>
      <w:r>
        <w:rPr>
          <w:b/>
          <w:bCs/>
        </w:rPr>
        <w:t>Owner and leadership:</w:t>
      </w:r>
      <w:r>
        <w:rPr/>
        <w:t xml:space="preserve"> the sex and age of the owner or owners and of the manager, and the share of ownership and of cooperative or committee leadership held by women and young people. </w:t>
      </w:r>
      <w:r>
        <w:rPr>
          <w:b/>
          <w:bCs/>
        </w:rPr>
        <w:t>Value chain position:</w:t>
      </w:r>
      <w:r>
        <w:rPr/>
        <w:t xml:space="preserve"> the value chain, the node (A to E), the main buyers and the share of sales going to anchor buyers. </w:t>
      </w:r>
      <w:r>
        <w:rPr>
          <w:b/>
          <w:bCs/>
        </w:rPr>
        <w:t>Business model:</w:t>
      </w:r>
      <w:r>
        <w:rPr/>
        <w:t xml:space="preserve"> products, revenue by month, employees by sex and age, and years in operation.</w:t>
      </w:r>
    </w:p>
    <w:p>
      <w:pPr>
        <w:pStyle w:val="Normal"/>
        <w:jc w:val="both"/>
        <w:rPr/>
      </w:pPr>
      <w:r>
        <w:rPr>
          <w:b/>
          <w:bCs/>
        </w:rPr>
        <w:t>Financial practices:</w:t>
      </w:r>
      <w:r>
        <w:rPr/>
        <w:t xml:space="preserve"> whether the enterprise has a separate business account, savings-group membership, the sources of start-up and working capital, loans applied for and received, and the reasons for not applying. </w:t>
      </w:r>
      <w:r>
        <w:rPr>
          <w:b/>
          <w:bCs/>
        </w:rPr>
        <w:t>Record-keeping:</w:t>
      </w:r>
      <w:r>
        <w:rPr/>
        <w:t xml:space="preserve"> the records kept (none, a notebook, a spreadsheet or accounting software) and the use of mobile money and bank accounts for the business. </w:t>
      </w:r>
      <w:r>
        <w:rPr>
          <w:b/>
          <w:bCs/>
        </w:rPr>
        <w:t>Formality:</w:t>
      </w:r>
      <w:r>
        <w:rPr/>
        <w:t xml:space="preserve"> registration, tax clearance, VAT, licences, insurance and certification, together with the time and cost taken to register and obtain tax clearance.</w:t>
      </w:r>
    </w:p>
    <w:p>
      <w:pPr>
        <w:pStyle w:val="Normal"/>
        <w:jc w:val="both"/>
        <w:rPr/>
      </w:pPr>
      <w:r>
        <w:rPr>
          <w:b/>
          <w:bCs/>
        </w:rPr>
        <w:t>Market access:</w:t>
      </w:r>
      <w:r>
        <w:rPr/>
        <w:t xml:space="preserve"> the number of anchor buyers, contracts held, payment terms and any cross-border sales. </w:t>
      </w:r>
      <w:r>
        <w:rPr>
          <w:b/>
          <w:bCs/>
        </w:rPr>
        <w:t>Constraints:</w:t>
      </w:r>
      <w:r>
        <w:rPr/>
        <w:t xml:space="preserve"> self-reported constraints, including land and collateral, time and care responsibilities, mobility and safety. </w:t>
      </w:r>
      <w:r>
        <w:rPr>
          <w:b/>
          <w:bCs/>
        </w:rPr>
        <w:t>Readiness tier:</w:t>
      </w:r>
      <w:r>
        <w:rPr/>
        <w:t xml:space="preserve"> the tier assigned using the common readiness diagnostic.</w:t>
      </w:r>
      <w:r>
        <w:br w:type="page"/>
      </w:r>
    </w:p>
    <w:p>
      <w:pPr>
        <w:pStyle w:val="Heading1"/>
        <w:spacing w:before="0" w:after="240"/>
        <w:rPr/>
      </w:pPr>
      <w:bookmarkStart w:id="48" w:name="__RefHeading___Toc1087_3359597930"/>
      <w:bookmarkEnd w:id="48"/>
      <w:r>
        <w:rPr/>
        <w:t>References</w:t>
      </w:r>
    </w:p>
    <w:p>
      <w:pPr>
        <w:pStyle w:val="Normal"/>
        <w:spacing w:before="0" w:after="160"/>
        <w:rPr/>
      </w:pPr>
      <w:r>
        <w:rPr>
          <w:i/>
          <w:iCs/>
          <w:color w:val="555555"/>
          <w:sz w:val="20"/>
          <w:szCs w:val="20"/>
        </w:rPr>
        <w:t>Each web source below was checked in October 2026 to confirm that it exists at the address given and contains the information attributed to it.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47</Pages>
  <Words>18611</Words>
  <Characters>113332</Characters>
  <CharactersWithSpaces>131286</CharactersWithSpaces>
  <Paragraphs>538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2026-10-15T11:02:17Z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2026-10-15T11:02:25Z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