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6A27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ascii="黑体" w:hAnsi="黑体" w:eastAsia="黑体"/>
          <w:color w:val="000000"/>
          <w:sz w:val="30"/>
        </w:rPr>
      </w:pPr>
      <w:r>
        <w:rPr>
          <w:rFonts w:hint="eastAsia"/>
          <w:lang w:val="en-US" w:eastAsia="zh-CN"/>
        </w:rPr>
        <w:t xml:space="preserve">4.3 </w:t>
      </w:r>
      <w:r>
        <w:t>具身智能基准测试</w:t>
      </w:r>
      <w:bookmarkStart w:id="0" w:name="_GoBack"/>
      <w:bookmarkEnd w:id="0"/>
    </w:p>
    <w:p w14:paraId="1A88B90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Style w:val="140"/>
          <w:b/>
          <w:bCs/>
        </w:rPr>
      </w:pPr>
      <w:r>
        <w:rPr>
          <w:rStyle w:val="140"/>
          <w:rFonts w:hint="eastAsia"/>
          <w:b/>
          <w:bCs/>
          <w:lang w:val="en-US" w:eastAsia="zh-CN"/>
        </w:rPr>
        <w:t xml:space="preserve">4.3.1 </w:t>
      </w:r>
      <w:r>
        <w:rPr>
          <w:rStyle w:val="140"/>
          <w:rFonts w:hint="eastAsia" w:eastAsia="黑体"/>
          <w:b/>
          <w:bCs/>
          <w:lang w:val="en-US" w:eastAsia="zh-CN"/>
        </w:rPr>
        <w:t>任务</w:t>
      </w:r>
      <w:r>
        <w:rPr>
          <w:rStyle w:val="140"/>
          <w:b/>
          <w:bCs/>
        </w:rPr>
        <w:t>概述</w:t>
      </w:r>
    </w:p>
    <w:p w14:paraId="16D128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本项目参加CVPR 2026 Foundation Models Meet Embodied Agents (FMEA) Workshop举办的EmbodiedBench Challenge，以队伍</w:t>
      </w:r>
      <w:r>
        <w:rPr>
          <w:rFonts w:hint="eastAsia"/>
          <w:lang w:val="en-US" w:eastAsia="zh-CN"/>
        </w:rPr>
        <w:t>“</w:t>
      </w:r>
      <w:r>
        <w:t>Ideal-Embody</w:t>
      </w:r>
      <w:r>
        <w:rPr>
          <w:rFonts w:hint="default"/>
          <w:lang w:val="en-US"/>
        </w:rPr>
        <w:t>”</w:t>
      </w:r>
      <w:r>
        <w:t>名义参赛，最终从全球多支队伍中脱颖而出，获得第二名</w:t>
      </w:r>
      <w:r>
        <w:rPr>
          <w:rFonts w:hint="eastAsia"/>
          <w:lang w:val="en-US" w:eastAsia="zh-CN"/>
        </w:rPr>
        <w:t>的成绩</w:t>
      </w:r>
      <w:r>
        <w:t>。课题方向为基于视觉语言模型的具身智能研究。</w:t>
      </w:r>
    </w:p>
    <w:p w14:paraId="73798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项目包含两大核心任务：ALFRED（家居操作任务）和Navigation（室内导航任务）。技术路线采用Qwen2.5-VL-3B作为基础视觉语言模型，通过监督微调（SFT）分别在两类任务数据上进行适配。ALFRED任务基于AI2-THOR仿真环境，要求智能体根据自然语言指令完成多步骤操作</w:t>
      </w:r>
      <w:r>
        <w:rPr>
          <w:rFonts w:hint="eastAsia"/>
          <w:lang w:val="en-US" w:eastAsia="zh-CN"/>
        </w:rPr>
        <w:t>(</w:t>
      </w:r>
      <w:r>
        <w:t>抓取、清洗</w:t>
      </w:r>
      <w:r>
        <w:rPr>
          <w:rFonts w:hint="eastAsia"/>
          <w:lang w:eastAsia="zh-CN"/>
        </w:rPr>
        <w:t>、</w:t>
      </w:r>
      <w:r>
        <w:t>放置等</w:t>
      </w:r>
      <w:r>
        <w:rPr>
          <w:rFonts w:hint="eastAsia"/>
          <w:lang w:val="en-US" w:eastAsia="zh-CN"/>
        </w:rPr>
        <w:t>)</w:t>
      </w:r>
      <w:r>
        <w:t>，包含六个评估子集；Navigation任务</w:t>
      </w:r>
      <w:r>
        <w:rPr>
          <w:rFonts w:hint="eastAsia"/>
          <w:lang w:val="en-US" w:eastAsia="zh-CN"/>
        </w:rPr>
        <w:t>也</w:t>
      </w:r>
      <w:r>
        <w:t>基于AI2-THOR仿真环境，要求智能体在室内空间中进行视觉导航，包含五个评估子集。</w:t>
      </w:r>
    </w:p>
    <w:p w14:paraId="1C7F3D86">
      <w:pPr>
        <w:pStyle w:val="5"/>
        <w:bidi w:val="0"/>
      </w:pPr>
      <w:r>
        <w:rPr>
          <w:rFonts w:hint="eastAsia"/>
          <w:lang w:val="en-US" w:eastAsia="zh-CN"/>
        </w:rPr>
        <w:t>4.3.</w:t>
      </w:r>
      <w:r>
        <w:t>2 技术方案</w:t>
      </w:r>
    </w:p>
    <w:p w14:paraId="5D445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两个任务均使用Qwen2.5-VL-3B作为基础模型（阿里巴巴通义千问团队开源，3B参数），以场景RGB图像和任务指令为输入，采用"感知—规划—执行—反馈"的闭环Agent架构，通过多轮VLM调用与环境交互完成长序列任务。微调后分别保存为Qwen2.5-VL-3B-ALF和Qwen2.5-VL-3B-NAV。</w:t>
      </w:r>
    </w:p>
    <w:p w14:paraId="3964F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1)ALFRED</w:t>
      </w:r>
    </w:p>
    <w:p w14:paraId="39AC9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用AI2-THORv2.1.0仿真环境，通过xvfb渲染500×500的RGB观测。模型在ALFRED训练数据上做SFT，将当前帧图像、指令文本和历史动作拼接为输入，直接预测高层操作（导航到目标、抓取物体、打开容器等）。推理时Agent维护核心历史记忆，每轮将当前观测与历史反馈拼接输入VLM，模型输出待调用的能力序列（目标定位 、探索引导、操作规划、场景描述、经验总结等），各能力模块依次执行后收集环境反馈并更新记忆，进入下一轮决策。评估指标为任务成功率和完成步数。</w:t>
      </w:r>
    </w:p>
    <w:p w14:paraId="3C4215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2)Navigation</w:t>
      </w:r>
    </w:p>
    <w:p w14:paraId="2FF3D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使用AI2-THOR v5.0.0仿真环境，通过xvfb渲染500×500的RGB观测，将前视图与BEV鸟瞰图水平拼接为1000×500输入。模型在Navigation训练数据上做SFT，结合目标检测框、多视角融合、导航线等视觉增强，直接预测离散导航动作（前进、后退、旋转等）。推理时Agent将拼接观测与动作历史构造提示词输入VLM ，模型输出多步动作序列，逐动作执行并验证有效性，失败时触发重规划；同时支持动作投影机制，将候选动作以箭头标注在观测图像上供VLM综合选择最优动作。评估指标为成功率和完成步数。</w:t>
      </w:r>
    </w:p>
    <w:p w14:paraId="2243F008">
      <w:pPr>
        <w:pStyle w:val="5"/>
        <w:bidi w:val="0"/>
      </w:pPr>
      <w:r>
        <w:rPr>
          <w:rFonts w:hint="eastAsia"/>
          <w:lang w:val="en-US" w:eastAsia="zh-CN"/>
        </w:rPr>
        <w:t>4.3.</w:t>
      </w:r>
      <w:r>
        <w:t>3 实验结果</w:t>
      </w:r>
    </w:p>
    <w:p w14:paraId="1D3D2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EmbodiedBench为ALFRED与Navigation分别设计了多个评估子集，从基础任务执行、常识推理、指令理解、长序列规划、空间感知以及视觉鲁棒性等维度，对决策框架在复杂具身场景下的表现进行细粒度诊断。两个任务的子集划分、各子集测试样本数量及考察重点汇总如下表所示。</w:t>
      </w:r>
    </w:p>
    <w:p w14:paraId="01F0A58E">
      <w:pPr>
        <w:pStyle w:val="15"/>
        <w:bidi w:val="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ALFRED各子集评估结果</w:t>
      </w:r>
    </w:p>
    <w:tbl>
      <w:tblPr>
        <w:tblStyle w:val="33"/>
        <w:tblW w:w="96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4472C4"/>
        <w:tblLayout w:type="autofit"/>
        <w:tblCellMar>
          <w:left w:w="108" w:type="dxa"/>
          <w:right w:w="108" w:type="dxa"/>
        </w:tblCellMar>
      </w:tblPr>
      <w:tblGrid>
        <w:gridCol w:w="1877"/>
        <w:gridCol w:w="999"/>
        <w:gridCol w:w="1605"/>
        <w:gridCol w:w="1605"/>
        <w:gridCol w:w="1235"/>
        <w:gridCol w:w="1235"/>
        <w:gridCol w:w="1058"/>
      </w:tblGrid>
      <w:tr w14:paraId="37865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4472C4"/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4472C4"/>
            <w:vAlign w:val="center"/>
          </w:tcPr>
          <w:p w14:paraId="7A08EAD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任务类别</w:t>
            </w:r>
          </w:p>
        </w:tc>
        <w:tc>
          <w:tcPr>
            <w:tcW w:w="999" w:type="dxa"/>
            <w:shd w:val="clear" w:color="auto" w:fill="4472C4"/>
            <w:vAlign w:val="center"/>
          </w:tcPr>
          <w:p w14:paraId="09B8B33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Base</w:t>
            </w:r>
          </w:p>
        </w:tc>
        <w:tc>
          <w:tcPr>
            <w:tcW w:w="1605" w:type="dxa"/>
            <w:shd w:val="clear" w:color="auto" w:fill="4472C4"/>
            <w:vAlign w:val="center"/>
          </w:tcPr>
          <w:p w14:paraId="55C3BDD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Commen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733C056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Complex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6C701B3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spatial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5224E04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Visual</w:t>
            </w:r>
          </w:p>
        </w:tc>
        <w:tc>
          <w:tcPr>
            <w:tcW w:w="1058" w:type="dxa"/>
            <w:shd w:val="clear" w:color="auto" w:fill="4472C4"/>
            <w:vAlign w:val="center"/>
          </w:tcPr>
          <w:p w14:paraId="48614B2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color w:val="FFFFFF" w:themeColor="background1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Long</w:t>
            </w:r>
          </w:p>
        </w:tc>
      </w:tr>
      <w:tr w14:paraId="1A420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7672FFE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ALFRED</w:t>
            </w:r>
          </w:p>
        </w:tc>
        <w:tc>
          <w:tcPr>
            <w:tcW w:w="999" w:type="dxa"/>
            <w:shd w:val="clear" w:color="auto" w:fill="FFFFFF" w:themeFill="background1"/>
            <w:vAlign w:val="center"/>
          </w:tcPr>
          <w:p w14:paraId="37C3785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596EAAC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BBCA56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D9E8F6F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92EA892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1058" w:type="dxa"/>
            <w:shd w:val="clear" w:color="auto" w:fill="FFFFFF" w:themeFill="background1"/>
            <w:vAlign w:val="center"/>
          </w:tcPr>
          <w:p w14:paraId="52A949C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</w:tr>
      <w:tr w14:paraId="36D9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7" w:type="dxa"/>
            <w:shd w:val="clear" w:color="auto" w:fill="D9E2F3"/>
            <w:vAlign w:val="center"/>
          </w:tcPr>
          <w:p w14:paraId="787FA0E5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Navigation</w:t>
            </w:r>
          </w:p>
        </w:tc>
        <w:tc>
          <w:tcPr>
            <w:tcW w:w="999" w:type="dxa"/>
            <w:shd w:val="clear" w:color="auto" w:fill="D9E2F3"/>
            <w:vAlign w:val="center"/>
          </w:tcPr>
          <w:p w14:paraId="5B5FAA2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605" w:type="dxa"/>
            <w:shd w:val="clear" w:color="auto" w:fill="D9E2F3"/>
            <w:vAlign w:val="center"/>
          </w:tcPr>
          <w:p w14:paraId="1876206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605" w:type="dxa"/>
            <w:shd w:val="clear" w:color="auto" w:fill="D9E2F3"/>
            <w:vAlign w:val="center"/>
          </w:tcPr>
          <w:p w14:paraId="2EA9ED0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235" w:type="dxa"/>
            <w:shd w:val="clear" w:color="auto" w:fill="D9E2F3"/>
            <w:vAlign w:val="center"/>
          </w:tcPr>
          <w:p w14:paraId="4729211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35" w:type="dxa"/>
            <w:shd w:val="clear" w:color="auto" w:fill="D9E2F3"/>
            <w:vAlign w:val="center"/>
          </w:tcPr>
          <w:p w14:paraId="72512583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058" w:type="dxa"/>
            <w:shd w:val="clear" w:color="auto" w:fill="D9E2F3"/>
            <w:vAlign w:val="center"/>
          </w:tcPr>
          <w:p w14:paraId="6EF88EBD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</w:tr>
    </w:tbl>
    <w:p w14:paraId="0231F1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/>
        <w:textAlignment w:val="auto"/>
        <w:rPr>
          <w:rFonts w:ascii="宋体" w:hAnsi="宋体" w:eastAsia="宋体"/>
          <w:b w:val="0"/>
          <w:color w:val="000000"/>
          <w:sz w:val="22"/>
        </w:rPr>
      </w:pPr>
    </w:p>
    <w:p w14:paraId="3BF52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 xml:space="preserve">  ALFRED在6个子集共300个episode上完成评估，整体成功率66.33%，平均任务进度72.58%。visual_appearance表现最好（78.00%），long_horizon（72.00%）和base（70.00%）紧随其后，验证了模型在长序列规划和基础操作上的稳定性。简单任务（≤8步）几乎全部成功，主要改进空间集中在常识推理和复杂指令场景下的误差累积问题。</w:t>
      </w:r>
    </w:p>
    <w:p w14:paraId="7C817F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</w:pPr>
      <w:r>
        <w:drawing>
          <wp:inline distT="0" distB="0" distL="114300" distR="114300">
            <wp:extent cx="2560320" cy="256032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0320" cy="256032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AE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  <w:rPr>
          <w:rFonts w:hint="eastAsia"/>
          <w:color w:val="000000"/>
          <w:sz w:val="18"/>
          <w:lang w:val="en-US" w:eastAsia="zh-CN"/>
        </w:rPr>
      </w:pPr>
      <w:r>
        <w:rPr>
          <w:rFonts w:ascii="Times New Roman" w:hAnsi="Times New Roman" w:eastAsia="宋体"/>
          <w:color w:val="000000"/>
          <w:sz w:val="18"/>
        </w:rPr>
        <w:t>图1：ALFRED</w:t>
      </w:r>
      <w:r>
        <w:rPr>
          <w:rFonts w:hint="eastAsia" w:ascii="Times New Roman" w:hAnsi="Times New Roman"/>
          <w:color w:val="000000"/>
          <w:sz w:val="18"/>
          <w:lang w:val="en-US" w:eastAsia="zh-CN"/>
        </w:rPr>
        <w:t>-</w:t>
      </w:r>
      <w:r>
        <w:rPr>
          <w:rFonts w:ascii="Times New Roman" w:hAnsi="Times New Roman" w:eastAsia="宋体"/>
          <w:color w:val="000000"/>
          <w:sz w:val="18"/>
        </w:rPr>
        <w:t>base</w:t>
      </w:r>
      <w:r>
        <w:rPr>
          <w:rFonts w:hint="eastAsia" w:ascii="Times New Roman" w:hAnsi="Times New Roman"/>
          <w:color w:val="000000"/>
          <w:sz w:val="18"/>
          <w:lang w:val="en-US" w:eastAsia="zh-CN"/>
        </w:rPr>
        <w:t>-</w:t>
      </w:r>
      <w:r>
        <w:rPr>
          <w:rFonts w:ascii="Times New Roman" w:hAnsi="Times New Roman" w:eastAsia="宋体"/>
          <w:color w:val="000000"/>
          <w:sz w:val="18"/>
        </w:rPr>
        <w:t>Episode4</w:t>
      </w:r>
      <w:r>
        <w:rPr>
          <w:rFonts w:hint="eastAsia"/>
          <w:color w:val="000000"/>
          <w:sz w:val="18"/>
          <w:lang w:val="en-US" w:eastAsia="zh-CN"/>
        </w:rPr>
        <w:t>任务过程</w:t>
      </w:r>
    </w:p>
    <w:p w14:paraId="4B3FB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图1展示了ALFRED base子集中一个典型操作任务的执行过程：左图为初始观测画面，模型需识别毛巾和浴缸的位置并规划操作序列；右图为任务完成后的场景，毛巾已正确放入浴缸。</w:t>
      </w:r>
    </w:p>
    <w:p w14:paraId="0F0A96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Navigation在5个子集共300个episode上完成评估，整体成功率56.00%。complex_instruction表现最好（73.33%），common_sense（71.67%）和visual_appearance（70.00%）次之，多数子集成功率集中在65%–75%区间。视觉增强（检测框、导航线、BEV）在</w:t>
      </w:r>
      <w:r>
        <w:rPr>
          <w:rFonts w:hint="eastAsia"/>
          <w:lang w:val="en-US" w:eastAsia="zh-CN"/>
        </w:rPr>
        <w:t>多</w:t>
      </w:r>
      <w:r>
        <w:rPr>
          <w:rFonts w:hint="eastAsia"/>
        </w:rPr>
        <w:t>视角融合下有效提升了模型的空间感知与避障能力，复杂场景下物体遮挡和长距离路径规划仍有改进空间。</w:t>
      </w:r>
    </w:p>
    <w:p w14:paraId="475DC8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</w:pPr>
      <w:r>
        <w:drawing>
          <wp:inline distT="0" distB="0" distL="114300" distR="114300">
            <wp:extent cx="411480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E7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  <w:rPr>
          <w:rFonts w:hint="default"/>
          <w:sz w:val="18"/>
          <w:szCs w:val="18"/>
          <w:lang w:val="en-US"/>
        </w:rPr>
      </w:pPr>
      <w:r>
        <w:rPr>
          <w:rFonts w:hint="eastAsia"/>
          <w:sz w:val="18"/>
          <w:szCs w:val="18"/>
          <w:lang w:val="en-US" w:eastAsia="zh-CN"/>
        </w:rPr>
        <w:t>图2：Navigation-base-Episode12 起始状态（1000×500，含检测框与导航线）</w:t>
      </w:r>
    </w:p>
    <w:p w14:paraId="64F1CA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/>
        <w:jc w:val="center"/>
        <w:textAlignment w:val="auto"/>
      </w:pPr>
      <w:r>
        <w:drawing>
          <wp:inline distT="0" distB="0" distL="114300" distR="114300">
            <wp:extent cx="4114800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8A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/>
        <w:jc w:val="center"/>
        <w:textAlignment w:val="auto"/>
        <w:rPr>
          <w:rFonts w:ascii="Times New Roman" w:hAnsi="Times New Roman" w:eastAsia="宋体"/>
          <w:color w:val="000000"/>
          <w:sz w:val="18"/>
        </w:rPr>
      </w:pPr>
      <w:r>
        <w:rPr>
          <w:rFonts w:ascii="Times New Roman" w:hAnsi="Times New Roman" w:eastAsia="宋体"/>
          <w:color w:val="000000"/>
          <w:sz w:val="18"/>
        </w:rPr>
        <w:t>图</w:t>
      </w:r>
      <w:r>
        <w:rPr>
          <w:rFonts w:hint="eastAsia"/>
          <w:color w:val="000000"/>
          <w:sz w:val="18"/>
          <w:lang w:val="en-US" w:eastAsia="zh-CN"/>
        </w:rPr>
        <w:t>3</w:t>
      </w:r>
      <w:r>
        <w:rPr>
          <w:rFonts w:ascii="Times New Roman" w:hAnsi="Times New Roman" w:eastAsia="宋体"/>
          <w:color w:val="000000"/>
          <w:sz w:val="18"/>
        </w:rPr>
        <w:t>：Navigation</w:t>
      </w:r>
      <w:r>
        <w:rPr>
          <w:rFonts w:hint="eastAsia" w:ascii="Times New Roman" w:hAnsi="Times New Roman"/>
          <w:color w:val="000000"/>
          <w:sz w:val="18"/>
          <w:lang w:val="en-US" w:eastAsia="zh-CN"/>
        </w:rPr>
        <w:t>-</w:t>
      </w:r>
      <w:r>
        <w:rPr>
          <w:rFonts w:ascii="Times New Roman" w:hAnsi="Times New Roman" w:eastAsia="宋体"/>
          <w:color w:val="000000"/>
          <w:sz w:val="18"/>
        </w:rPr>
        <w:t>base</w:t>
      </w:r>
      <w:r>
        <w:rPr>
          <w:rFonts w:hint="eastAsia" w:ascii="Times New Roman" w:hAnsi="Times New Roman"/>
          <w:color w:val="000000"/>
          <w:sz w:val="18"/>
          <w:lang w:val="en-US" w:eastAsia="zh-CN"/>
        </w:rPr>
        <w:t>-</w:t>
      </w:r>
      <w:r>
        <w:rPr>
          <w:rFonts w:ascii="Times New Roman" w:hAnsi="Times New Roman" w:eastAsia="宋体"/>
          <w:color w:val="000000"/>
          <w:sz w:val="18"/>
        </w:rPr>
        <w:t>Episode12 导航完成</w:t>
      </w:r>
    </w:p>
    <w:p w14:paraId="2C31E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图2</w:t>
      </w:r>
      <w:r>
        <w:rPr>
          <w:rFonts w:hint="eastAsia"/>
          <w:lang w:val="en-US" w:eastAsia="zh-CN"/>
        </w:rPr>
        <w:t>图3</w:t>
      </w:r>
      <w:r>
        <w:rPr>
          <w:rFonts w:hint="eastAsia"/>
        </w:rPr>
        <w:t>展示了Navigation base子集中一个导航任务示例：输入为BEV鸟瞰图与前视图水平拼接的1000×500图像，红色边界框标记目标物体（Kettle），红色导航线从智能体指向目标，蓝色箭头标注候选动作方向；</w:t>
      </w:r>
      <w:r>
        <w:rPr>
          <w:rFonts w:hint="eastAsia"/>
          <w:lang w:val="en-US" w:eastAsia="zh-CN"/>
        </w:rPr>
        <w:t>图2</w:t>
      </w:r>
      <w:r>
        <w:rPr>
          <w:rFonts w:hint="eastAsia"/>
        </w:rPr>
        <w:t>为起始状态，</w:t>
      </w:r>
      <w:r>
        <w:rPr>
          <w:rFonts w:hint="eastAsia"/>
          <w:lang w:val="en-US" w:eastAsia="zh-CN"/>
        </w:rPr>
        <w:t>图3</w:t>
      </w:r>
      <w:r>
        <w:rPr>
          <w:rFonts w:hint="eastAsia"/>
        </w:rPr>
        <w:t>为智能体成功抵达目标物体附近时的观测</w:t>
      </w:r>
      <w:r>
        <w:rPr>
          <w:rFonts w:hint="eastAsia"/>
          <w:lang w:val="en-US" w:eastAsia="zh-CN"/>
        </w:rPr>
        <w:t>状态</w:t>
      </w:r>
      <w:r>
        <w:rPr>
          <w:rFonts w:hint="eastAsia"/>
        </w:rPr>
        <w:t>。</w:t>
      </w:r>
    </w:p>
    <w:p w14:paraId="2163BC83">
      <w:pPr>
        <w:pStyle w:val="5"/>
        <w:bidi w:val="0"/>
      </w:pPr>
      <w:r>
        <w:rPr>
          <w:rFonts w:hint="eastAsia"/>
          <w:lang w:val="en-US" w:eastAsia="zh-CN"/>
        </w:rPr>
        <w:t>4.</w:t>
      </w:r>
      <w:r>
        <w:t>3.</w:t>
      </w:r>
      <w:r>
        <w:rPr>
          <w:rFonts w:hint="eastAsia"/>
          <w:lang w:val="en-US" w:eastAsia="zh-CN"/>
        </w:rPr>
        <w:t>4</w:t>
      </w:r>
      <w:r>
        <w:t xml:space="preserve">  综合对比</w:t>
      </w:r>
    </w:p>
    <w:p w14:paraId="7E7BC290">
      <w:pPr>
        <w:pStyle w:val="15"/>
        <w:bidi w:val="0"/>
        <w:jc w:val="center"/>
      </w:pPr>
      <w:r>
        <w:t xml:space="preserve">表 </w:t>
      </w:r>
      <w:r>
        <w:rPr>
          <w:rFonts w:hint="eastAsia"/>
          <w:lang w:val="en-US" w:eastAsia="zh-CN"/>
        </w:rPr>
        <w:t>3</w:t>
      </w:r>
      <w:r>
        <w:t>：ALFRED与Navigation综合对比</w:t>
      </w:r>
    </w:p>
    <w:p w14:paraId="5DFC7857">
      <w:pPr>
        <w:pStyle w:val="15"/>
      </w:pPr>
    </w:p>
    <w:tbl>
      <w:tblPr>
        <w:tblStyle w:val="33"/>
        <w:tblW w:w="96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1803"/>
        <w:gridCol w:w="2619"/>
        <w:gridCol w:w="2728"/>
      </w:tblGrid>
      <w:tr w14:paraId="0A762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4" w:type="dxa"/>
            <w:shd w:val="clear" w:color="auto" w:fill="4472C4"/>
            <w:vAlign w:val="center"/>
          </w:tcPr>
          <w:p w14:paraId="7173EB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24"/>
              </w:rPr>
              <w:t>任务</w:t>
            </w:r>
          </w:p>
        </w:tc>
        <w:tc>
          <w:tcPr>
            <w:tcW w:w="1803" w:type="dxa"/>
            <w:shd w:val="clear" w:color="auto" w:fill="4472C4"/>
            <w:vAlign w:val="center"/>
          </w:tcPr>
          <w:p w14:paraId="2890BF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24"/>
              </w:rPr>
              <w:t>子集数</w:t>
            </w:r>
          </w:p>
        </w:tc>
        <w:tc>
          <w:tcPr>
            <w:tcW w:w="2619" w:type="dxa"/>
            <w:shd w:val="clear" w:color="auto" w:fill="4472C4"/>
            <w:vAlign w:val="center"/>
          </w:tcPr>
          <w:p w14:paraId="227D9D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24"/>
              </w:rPr>
              <w:t>总Episode</w:t>
            </w:r>
          </w:p>
        </w:tc>
        <w:tc>
          <w:tcPr>
            <w:tcW w:w="2727" w:type="dxa"/>
            <w:shd w:val="clear" w:color="auto" w:fill="4472C4"/>
            <w:vAlign w:val="center"/>
          </w:tcPr>
          <w:p w14:paraId="73D966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FFFFFF"/>
                <w:sz w:val="24"/>
                <w:szCs w:val="24"/>
              </w:rPr>
              <w:t>平均成功率</w:t>
            </w:r>
          </w:p>
        </w:tc>
      </w:tr>
      <w:tr w14:paraId="2766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4" w:type="dxa"/>
            <w:vAlign w:val="center"/>
          </w:tcPr>
          <w:p w14:paraId="185092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ALFRED</w:t>
            </w:r>
          </w:p>
        </w:tc>
        <w:tc>
          <w:tcPr>
            <w:tcW w:w="1803" w:type="dxa"/>
            <w:vAlign w:val="center"/>
          </w:tcPr>
          <w:p w14:paraId="3B926B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19" w:type="dxa"/>
            <w:vAlign w:val="center"/>
          </w:tcPr>
          <w:p w14:paraId="19EB21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2727" w:type="dxa"/>
            <w:vAlign w:val="center"/>
          </w:tcPr>
          <w:p w14:paraId="085F5A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66.33%</w:t>
            </w:r>
          </w:p>
        </w:tc>
      </w:tr>
      <w:tr w14:paraId="6BC7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4" w:type="dxa"/>
            <w:shd w:val="clear" w:color="auto" w:fill="D9E2F3"/>
            <w:vAlign w:val="center"/>
          </w:tcPr>
          <w:p w14:paraId="13C45E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Navigation</w:t>
            </w:r>
          </w:p>
        </w:tc>
        <w:tc>
          <w:tcPr>
            <w:tcW w:w="1803" w:type="dxa"/>
            <w:shd w:val="clear" w:color="auto" w:fill="D9E2F3"/>
            <w:vAlign w:val="center"/>
          </w:tcPr>
          <w:p w14:paraId="6CED4D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19" w:type="dxa"/>
            <w:shd w:val="clear" w:color="auto" w:fill="D9E2F3"/>
            <w:vAlign w:val="center"/>
          </w:tcPr>
          <w:p w14:paraId="2CCEE8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2727" w:type="dxa"/>
            <w:shd w:val="clear" w:color="auto" w:fill="D9E2F3"/>
            <w:vAlign w:val="center"/>
          </w:tcPr>
          <w:p w14:paraId="7FEFAA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56.00%</w:t>
            </w:r>
          </w:p>
        </w:tc>
      </w:tr>
    </w:tbl>
    <w:p w14:paraId="42FC6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28CBC3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/>
        </w:rPr>
        <w:t>综合对比如表3所示。ALFRED整体成功率66.33%，平均任务进度72.58%，六类子集表现较为均衡；Navigation整体成功率56.00%，视觉增强策略在多数子集上带来了稳定的性能提升。从Agent架构来看，ALFRED采用多能力模块协作的方式，将复杂任务拆解为目标定位、探索引导、操作规划等子能力依次调度，适合多步骤操作场景；Navigation则以多步动作序列预测配合失败重规划和动作投影机制，在离散导航空间中实现高效决策。两项任务共同验证了"感知—规划—执行—反馈"的闭环Agent架构配合SFT微调在具身智能不同场景下的有效性。</w:t>
      </w:r>
    </w:p>
    <w:p w14:paraId="7AC63102">
      <w:pPr>
        <w:pStyle w:val="5"/>
        <w:bidi w:val="0"/>
      </w:pPr>
      <w:r>
        <w:rPr>
          <w:rFonts w:hint="eastAsia"/>
          <w:lang w:val="en-US" w:eastAsia="zh-CN"/>
        </w:rPr>
        <w:t>4.3.5</w:t>
      </w:r>
      <w:r>
        <w:t>竞赛获奖</w:t>
      </w:r>
    </w:p>
    <w:p w14:paraId="2E778F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</w:pPr>
      <w:r>
        <w:drawing>
          <wp:inline distT="0" distB="0" distL="114300" distR="114300">
            <wp:extent cx="3657600" cy="28263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AB36">
      <w:pPr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图5：CVPR 2026 EmbodiedBench Challenge 2nd Place 获奖证书</w:t>
      </w:r>
    </w:p>
    <w:p w14:paraId="5143B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2026年6月4日，项目以"Ideal-Embody"队名参加CVPR 2026 FMEA Workshop主办的EmbodiedBench  Challenge，在ALFRED与Navigation两项核心任务的综合评测中位列第二</w:t>
      </w:r>
      <w:r>
        <w:rPr>
          <w:rFonts w:hint="eastAsia"/>
          <w:lang w:eastAsia="zh-CN"/>
        </w:rPr>
        <w:t>。</w:t>
      </w:r>
    </w:p>
    <w:p w14:paraId="44E0E43C">
      <w:pPr>
        <w:pStyle w:val="5"/>
        <w:bidi w:val="0"/>
      </w:pPr>
      <w:r>
        <w:rPr>
          <w:rFonts w:hint="eastAsia"/>
          <w:lang w:val="en-US" w:eastAsia="zh-CN"/>
        </w:rPr>
        <w:t>4.3.6</w:t>
      </w:r>
      <w:r>
        <w:t xml:space="preserve"> </w:t>
      </w:r>
      <w:r>
        <w:rPr>
          <w:rFonts w:hint="eastAsia"/>
        </w:rPr>
        <w:t>主要成果</w:t>
      </w:r>
    </w:p>
    <w:p w14:paraId="7062A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本项目基于Qwen2.5-VL-3B分别适配ALFRED与Navigation两类具身智能任务，设计了"感知—规划—执行—反馈"的闭环Agent框架，其中ALFRED侧采用多能力模块协作调度应对多步骤操作，Navigation侧采用多步动作预测与失败重规划机制适配离散导航空间，验证了统一架构在不同动作空间与场景下的适用性。实验结果表明，ALFRED在6个子集上整体成功率66.33%、平均任务进度72.58%，Navigation在5个子集上整体成功率56.00%，视觉增强策略有效提升了空间推理与避障能力。项目以"Ideal-Embody"队名参加CVPR 2026 FMEA Workshop主办的EmbodiedBench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Challenge，在两项核心任务综合评测中获得第二名。目前完整实验环境已部署，Qwen2.5-VL-3B-ALF与Qwen2.5-VL-3B-NAV模型权重均已保存。</w:t>
      </w:r>
    </w:p>
    <w:sectPr>
      <w:pgSz w:w="12240" w:h="15840"/>
      <w:pgMar w:top="1134" w:right="1417" w:bottom="1134" w:left="141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B7CC7"/>
    <w:rsid w:val="056D1989"/>
    <w:rsid w:val="0F5B7EFD"/>
    <w:rsid w:val="10DF5C66"/>
    <w:rsid w:val="119B3CC3"/>
    <w:rsid w:val="193813AC"/>
    <w:rsid w:val="26BF01D9"/>
    <w:rsid w:val="27FE6547"/>
    <w:rsid w:val="2C787DDA"/>
    <w:rsid w:val="2FDF6824"/>
    <w:rsid w:val="425777D7"/>
    <w:rsid w:val="476E11A7"/>
    <w:rsid w:val="49DE7409"/>
    <w:rsid w:val="4C13682D"/>
    <w:rsid w:val="594900D1"/>
    <w:rsid w:val="66A344E3"/>
    <w:rsid w:val="68FA7910"/>
    <w:rsid w:val="692437D6"/>
    <w:rsid w:val="6E5A5E1F"/>
    <w:rsid w:val="6E832D31"/>
    <w:rsid w:val="7406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宋体" w:cstheme="minorBidi"/>
      <w:color w:val="000000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Times New Roman" w:hAnsi="Times New Roman" w:eastAsia="黑体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黑体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Times New Roman" w:hAnsi="Times New Roman" w:eastAsia="黑体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="Times New Roman" w:hAnsi="Times New Roman" w:eastAsia="黑体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1311</Words>
  <Characters>2351</Characters>
  <Lines>0</Lines>
  <Paragraphs>0</Paragraphs>
  <TotalTime>7</TotalTime>
  <ScaleCrop>false</ScaleCrop>
  <LinksUpToDate>false</LinksUpToDate>
  <CharactersWithSpaces>2422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苏璧梦杰</cp:lastModifiedBy>
  <dcterms:modified xsi:type="dcterms:W3CDTF">2026-06-17T03:37:13Z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eyJoZGlkIjoiMzk0ZDNjOWFlNTYwNjdmYjM5ZTAyYWNmMTY3MjFiMzQiLCJ1c2VySWQiOiI3ODkyMzYzOTEifQ==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14B3A954A8AC4F5BBD3E091A892F3694_12</vt:lpwstr>
  </property>
</Properties>
</file>