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40"/>
        <w:jc w:val="center"/>
      </w:pPr>
      <w:r>
        <w:rPr>
          <w:rFonts w:ascii="Calibri" w:cs="Calibri" w:eastAsia="Calibri" w:hAnsi="Calibri"/>
          <w:b/>
          <w:bCs/>
          <w:color w:val="583664"/>
          <w:sz w:val="56"/>
          <w:szCs w:val="56"/>
        </w:rPr>
        <w:t xml:space="preserve">RegenerativeRevival.com v2</w:t>
      </w:r>
    </w:p>
    <w:p>
      <w:pPr>
        <w:spacing w:after="360"/>
        <w:jc w:val="center"/>
      </w:pPr>
      <w:r>
        <w:rPr>
          <w:rFonts w:ascii="Calibri" w:cs="Calibri" w:eastAsia="Calibri" w:hAnsi="Calibri"/>
          <w:b/>
          <w:bCs/>
          <w:color w:val="583664"/>
          <w:sz w:val="44"/>
          <w:szCs w:val="44"/>
        </w:rPr>
        <w:t xml:space="preserve">Design Review &amp; Copy Rewrite</w:t>
      </w:r>
    </w:p>
    <w:p>
      <w:pPr>
        <w:spacing w:after="600"/>
        <w:jc w:val="center"/>
      </w:pPr>
      <w:r>
        <w:rPr>
          <w:rFonts w:ascii="Calibri" w:cs="Calibri" w:eastAsia="Calibri" w:hAnsi="Calibri"/>
          <w:i/>
          <w:iCs/>
          <w:color w:val="6D93DC"/>
          <w:sz w:val="32"/>
          <w:szCs w:val="32"/>
        </w:rPr>
        <w:t xml:space="preserve">Redline Feedback for ModFX Dev Team</w:t>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120"/>
        <w:jc w:val="center"/>
      </w:pPr>
      <w:r>
        <w:rPr>
          <w:rFonts w:ascii="Calibri" w:cs="Calibri" w:eastAsia="Calibri" w:hAnsi="Calibri"/>
          <w:color w:val="666666"/>
          <w:sz w:val="22"/>
          <w:szCs w:val="22"/>
        </w:rPr>
        <w:t xml:space="preserve">Prepared by</w:t>
      </w:r>
    </w:p>
    <w:p>
      <w:pPr>
        <w:spacing w:after="240"/>
        <w:jc w:val="center"/>
      </w:pPr>
      <w:r>
        <w:rPr>
          <w:rFonts w:ascii="Calibri" w:cs="Calibri" w:eastAsia="Calibri" w:hAnsi="Calibri"/>
          <w:b/>
          <w:bCs/>
          <w:color w:val="583664"/>
          <w:sz w:val="28"/>
          <w:szCs w:val="28"/>
        </w:rPr>
        <w:t xml:space="preserve">Regenerative Revival</w:t>
      </w:r>
    </w:p>
    <w:p>
      <w:pPr>
        <w:spacing w:after="120"/>
        <w:jc w:val="center"/>
      </w:pPr>
      <w:r>
        <w:rPr>
          <w:rFonts w:ascii="Calibri" w:cs="Calibri" w:eastAsia="Calibri" w:hAnsi="Calibri"/>
          <w:color w:val="666666"/>
          <w:sz w:val="22"/>
          <w:szCs w:val="22"/>
        </w:rPr>
        <w:t xml:space="preserve">Date</w:t>
      </w:r>
    </w:p>
    <w:p>
      <w:pPr>
        <w:jc w:val="center"/>
      </w:pPr>
      <w:r>
        <w:rPr>
          <w:rFonts w:ascii="Calibri" w:cs="Calibri" w:eastAsia="Calibri" w:hAnsi="Calibri"/>
          <w:b/>
          <w:bCs/>
          <w:color w:val="583664"/>
          <w:sz w:val="28"/>
          <w:szCs w:val="28"/>
        </w:rPr>
        <w:t xml:space="preserve">May 2026</w:t>
      </w:r>
    </w:p>
    <w:p>
      <w:r>
        <w:br w:type="page"/>
      </w:r>
    </w:p>
    <w:p>
      <w:pPr>
        <w:pStyle w:val="Heading1"/>
        <w:spacing w:after="180" w:before="360"/>
      </w:pPr>
      <w:r>
        <w:rPr>
          <w:rFonts w:ascii="Calibri" w:cs="Calibri" w:eastAsia="Calibri" w:hAnsi="Calibri"/>
          <w:b/>
          <w:bCs/>
          <w:color w:val="583664"/>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Calibri" w:cs="Calibri" w:eastAsia="Calibri" w:hAnsi="Calibri"/>
          <w:b/>
          <w:bCs/>
          <w:color w:val="583664"/>
          <w:sz w:val="36"/>
          <w:szCs w:val="36"/>
        </w:rPr>
        <w:t xml:space="preserve">Introduction</w:t>
      </w:r>
    </w:p>
    <w:p>
      <w:pPr>
        <w:spacing w:after="120" w:line="300"/>
      </w:pPr>
      <w:r>
        <w:rPr>
          <w:rFonts w:ascii="Calibri" w:cs="Calibri" w:eastAsia="Calibri" w:hAnsi="Calibri"/>
          <w:color w:val="222222"/>
          <w:sz w:val="22"/>
          <w:szCs w:val="22"/>
        </w:rPr>
        <w:t xml:space="preserve">Thanks for the v2 prototypes. This document covers (1) critical issues and changes needed before we move forward, (2) recommended design direction across the two home page variants and two product page color schemes, and (3) rewritten copy for the home hero and Semaglutide product page that you can paste directly into Figma. Please treat the Critical Compliance section as a hard blocker — nothing else moves until that’s resolved.</w:t>
      </w:r>
    </w:p>
    <w:p>
      <w:r>
        <w:br w:type="page"/>
      </w:r>
    </w:p>
    <w:p>
      <w:pPr>
        <w:pStyle w:val="Heading1"/>
        <w:spacing w:after="180" w:before="360"/>
      </w:pPr>
      <w:r>
        <w:rPr>
          <w:rFonts w:ascii="Calibri" w:cs="Calibri" w:eastAsia="Calibri" w:hAnsi="Calibri"/>
          <w:b/>
          <w:bCs/>
          <w:color w:val="583664"/>
          <w:sz w:val="36"/>
          <w:szCs w:val="36"/>
        </w:rPr>
        <w:t xml:space="preserve">Part 1: Prototypes Reviewed</w:t>
      </w:r>
    </w:p>
    <w:p>
      <w:pPr>
        <w:spacing w:after="120" w:line="300"/>
      </w:pPr>
      <w:r>
        <w:rPr>
          <w:rFonts w:ascii="Calibri" w:cs="Calibri" w:eastAsia="Calibri" w:hAnsi="Calibri"/>
          <w:color w:val="222222"/>
          <w:sz w:val="22"/>
          <w:szCs w:val="22"/>
        </w:rPr>
        <w:t xml:space="preserve">The following four ModFX prototype links were reviewed for this round of feedback:</w:t>
      </w:r>
    </w:p>
    <w:p>
      <w:pPr>
        <w:pStyle w:val="ListParagraph"/>
        <w:numPr>
          <w:ilvl w:val="0"/>
          <w:numId w:val="2"/>
        </w:numPr>
        <w:spacing w:after="80"/>
      </w:pPr>
      <w:r>
        <w:rPr>
          <w:rFonts w:ascii="Calibri" w:cs="Calibri" w:eastAsia="Calibri" w:hAnsi="Calibri"/>
          <w:color w:val="222222"/>
          <w:sz w:val="22"/>
          <w:szCs w:val="22"/>
        </w:rPr>
        <w:t xml:space="preserve">Prototype 1 (Node 52:15) — Home page v1, purple/blue gradient hero.</w:t>
      </w:r>
    </w:p>
    <w:p>
      <w:pPr>
        <w:pStyle w:val="ListParagraph"/>
        <w:numPr>
          <w:ilvl w:val="0"/>
          <w:numId w:val="2"/>
        </w:numPr>
        <w:spacing w:after="80"/>
      </w:pPr>
      <w:r>
        <w:rPr>
          <w:rFonts w:ascii="Calibri" w:cs="Calibri" w:eastAsia="Calibri" w:hAnsi="Calibri"/>
          <w:color w:val="222222"/>
          <w:sz w:val="22"/>
          <w:szCs w:val="22"/>
        </w:rPr>
        <w:t xml:space="preserve">Prototype 2 (Node 52:543) — Semaglutide product page, purple CTA.</w:t>
      </w:r>
    </w:p>
    <w:p>
      <w:pPr>
        <w:pStyle w:val="ListParagraph"/>
        <w:numPr>
          <w:ilvl w:val="0"/>
          <w:numId w:val="2"/>
        </w:numPr>
        <w:spacing w:after="80"/>
      </w:pPr>
      <w:r>
        <w:rPr>
          <w:rFonts w:ascii="Calibri" w:cs="Calibri" w:eastAsia="Calibri" w:hAnsi="Calibri"/>
          <w:color w:val="222222"/>
          <w:sz w:val="22"/>
          <w:szCs w:val="22"/>
        </w:rPr>
        <w:t xml:space="preserve">Prototype 3 (Node 209:15) — Home page v2, human body + health data overlay.</w:t>
      </w:r>
    </w:p>
    <w:p>
      <w:pPr>
        <w:pStyle w:val="ListParagraph"/>
        <w:numPr>
          <w:ilvl w:val="0"/>
          <w:numId w:val="2"/>
        </w:numPr>
        <w:spacing w:after="80"/>
      </w:pPr>
      <w:r>
        <w:rPr>
          <w:rFonts w:ascii="Calibri" w:cs="Calibri" w:eastAsia="Calibri" w:hAnsi="Calibri"/>
          <w:color w:val="222222"/>
          <w:sz w:val="22"/>
          <w:szCs w:val="22"/>
        </w:rPr>
        <w:t xml:space="preserve">Prototype 4 (Node 20:3467) — Semaglutide product page, navy CTA with magenta nav (essentially a color iteration of Prototype 2; the embedded home page is a duplicate of Prototype 1).</w:t>
      </w:r>
    </w:p>
    <w:p>
      <w:r>
        <w:t xml:space="preserve"/>
      </w:r>
    </w:p>
    <w:p>
      <w:pPr>
        <w:spacing w:after="120" w:line="300"/>
      </w:pPr>
      <w:r>
        <w:rPr>
          <w:rFonts w:ascii="Calibri" w:cs="Calibri" w:eastAsia="Calibri" w:hAnsi="Calibri"/>
          <w:i/>
          <w:iCs/>
          <w:color w:val="222222"/>
          <w:sz w:val="22"/>
          <w:szCs w:val="22"/>
        </w:rPr>
        <w:t xml:space="preserve">Net: 3 unique designs across 4 links. ModFX is asking for a decision between two home hero directions and two product page color schemes.</w:t>
      </w:r>
    </w:p>
    <w:p>
      <w:r>
        <w:br w:type="page"/>
      </w:r>
    </w:p>
    <w:p>
      <w:pPr>
        <w:pStyle w:val="Heading1"/>
        <w:spacing w:after="180" w:before="360"/>
      </w:pPr>
      <w:r>
        <w:rPr>
          <w:rFonts w:ascii="Calibri" w:cs="Calibri" w:eastAsia="Calibri" w:hAnsi="Calibri"/>
          <w:b/>
          <w:bCs/>
          <w:color w:val="583664"/>
          <w:sz w:val="36"/>
          <w:szCs w:val="36"/>
        </w:rPr>
        <w:t xml:space="preserve">Part 2: Critical Compliance Issue</w:t>
      </w:r>
    </w:p>
    <w:p>
      <w:pPr>
        <w:spacing w:after="120" w:line="300"/>
      </w:pPr>
      <w:r>
        <w:rPr>
          <w:rFonts w:ascii="Calibri" w:cs="Calibri" w:eastAsia="Calibri" w:hAnsi="Calibri"/>
          <w:color w:val="222222"/>
          <w:sz w:val="22"/>
          <w:szCs w:val="22"/>
        </w:rPr>
        <w:t xml:space="preserve">The single highest-priority item in this review is below. Nothing else proceeds until this is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5E5" w:sz="4"/>
              <w:left w:val="single" w:color="C2185B" w:sz="24"/>
              <w:bottom w:val="single" w:color="FFE5E5" w:sz="4"/>
              <w:right w:val="single" w:color="FFE5E5" w:sz="4"/>
            </w:tcBorders>
            <w:shd w:fill="FFE5E5" w:color="auto" w:val="clear"/>
            <w:tcMar>
              <w:top w:type="dxa" w:w="200"/>
              <w:left w:type="dxa" w:w="240"/>
              <w:bottom w:type="dxa" w:w="200"/>
              <w:right w:type="dxa" w:w="240"/>
            </w:tcMar>
          </w:tcPr>
          <w:p>
            <w:pPr>
              <w:spacing w:after="120"/>
            </w:pPr>
            <w:r>
              <w:rPr>
                <w:rFonts w:ascii="Calibri" w:cs="Calibri" w:eastAsia="Calibri" w:hAnsi="Calibri"/>
                <w:b/>
                <w:bCs/>
                <w:color w:val="8B0000"/>
                <w:sz w:val="26"/>
                <w:szCs w:val="26"/>
              </w:rPr>
              <w:t xml:space="preserve">CRITICAL — Product Label: "For Research Use Only / Not for Human Use" MUST BE REMOVED</w:t>
            </w:r>
          </w:p>
          <w:p>
            <w:pPr>
              <w:spacing w:after="100" w:line="280"/>
            </w:pPr>
            <w:r>
              <w:rPr>
                <w:rFonts w:ascii="Calibri" w:cs="Calibri" w:eastAsia="Calibri" w:hAnsi="Calibri"/>
                <w:color w:val="222222"/>
                <w:sz w:val="22"/>
                <w:szCs w:val="22"/>
              </w:rPr>
              <w:t xml:space="preserve">The Semaglutide product mockup shows a bottle label reading "For Research Use Only / Not for Human Use." This is the exact language used by gray-market and non-prescription peptide vendors to dodge FDA enforcement. It directly contradicts our physician-prescribed, Arora-overseen telehealth model and creates several serious problems:</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It misrepresents the product. Our Semaglutide is a physician-prescribed compounded medication, not a research chemical.</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It will fail Arora Health Group compliance review. Arora is the prescribing medical group; they will not allow this language on a product they are clinically responsible for.</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It exposes Regenerative Revival to FDA enforcement risk, state pharmacy board complaints, and potential cease-and-desist letters from compounding pharmacy partners.</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It undermines patient trust. Anyone who has done five minutes of research recognizes this phrase as gray-market peptide language.</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Required label text (replace with):</w:t>
            </w:r>
          </w:p>
          <w:p>
            <w:pPr>
              <w:spacing w:after="60" w:line="280"/>
              <w:ind w:left="360" w:hanging="220"/>
            </w:pPr>
            <w:r>
              <w:rPr>
                <w:rFonts w:ascii="Calibri" w:cs="Calibri" w:eastAsia="Calibri" w:hAnsi="Calibri"/>
                <w:sz w:val="22"/>
                <w:szCs w:val="22"/>
              </w:rPr>
              <w:t xml:space="preserve">•  </w:t>
            </w:r>
            <w:r>
              <w:rPr>
                <w:rFonts w:ascii="Calibri" w:cs="Calibri" w:eastAsia="Calibri" w:hAnsi="Calibri"/>
                <w:b/>
                <w:bCs/>
                <w:sz w:val="22"/>
                <w:szCs w:val="22"/>
              </w:rPr>
              <w:t xml:space="preserve">REGENERATIVE REVIVAL</w:t>
            </w:r>
          </w:p>
          <w:p>
            <w:pPr>
              <w:spacing w:after="60" w:line="280"/>
              <w:ind w:left="360" w:hanging="220"/>
            </w:pPr>
            <w:r>
              <w:rPr>
                <w:rFonts w:ascii="Calibri" w:cs="Calibri" w:eastAsia="Calibri" w:hAnsi="Calibri"/>
                <w:sz w:val="22"/>
                <w:szCs w:val="22"/>
              </w:rPr>
              <w:t xml:space="preserve">•  </w:t>
            </w:r>
            <w:r>
              <w:rPr>
                <w:rFonts w:ascii="Calibri" w:cs="Calibri" w:eastAsia="Calibri" w:hAnsi="Calibri"/>
                <w:b/>
                <w:bCs/>
                <w:sz w:val="22"/>
                <w:szCs w:val="22"/>
              </w:rPr>
              <w:t xml:space="preserve">SUBLINGUAL SEMAGLUTIDE</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Compounded by [Pharmacy Name]</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5 mg/mL · 30 mL</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Rx Only — Dispensed pursuant to a valid prescription</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i/>
                <w:iCs/>
                <w:color w:val="222222"/>
                <w:sz w:val="22"/>
                <w:szCs w:val="22"/>
              </w:rPr>
              <w:t xml:space="preserve">This is a hard blocker. The product page cannot go to staging or any client review with the current label.</w:t>
            </w:r>
          </w:p>
        </w:tc>
      </w:tr>
    </w:tbl>
    <w:p>
      <w:r>
        <w:br w:type="page"/>
      </w:r>
    </w:p>
    <w:p>
      <w:pPr>
        <w:pStyle w:val="Heading1"/>
        <w:spacing w:after="180" w:before="360"/>
      </w:pPr>
      <w:r>
        <w:rPr>
          <w:rFonts w:ascii="Calibri" w:cs="Calibri" w:eastAsia="Calibri" w:hAnsi="Calibri"/>
          <w:b/>
          <w:bCs/>
          <w:color w:val="583664"/>
          <w:sz w:val="36"/>
          <w:szCs w:val="36"/>
        </w:rPr>
        <w:t xml:space="preserve">Part 3: Design Direction Decisions</w:t>
      </w:r>
    </w:p>
    <w:p>
      <w:pPr>
        <w:pStyle w:val="Heading2"/>
        <w:spacing w:after="140" w:before="280"/>
      </w:pPr>
      <w:r>
        <w:rPr>
          <w:rFonts w:ascii="Calibri" w:cs="Calibri" w:eastAsia="Calibri" w:hAnsi="Calibri"/>
          <w:b/>
          <w:bCs/>
          <w:color w:val="6D93DC"/>
          <w:sz w:val="28"/>
          <w:szCs w:val="28"/>
        </w:rPr>
        <w:t xml:space="preserve">3A. Home Page Hero — Recommendation: GO WITH PROTOTYPE 3 (Node 209:15)</w:t>
      </w:r>
    </w:p>
    <w:p>
      <w:pPr>
        <w:pStyle w:val="Heading3"/>
        <w:spacing w:after="100" w:before="200"/>
      </w:pPr>
      <w:r>
        <w:rPr>
          <w:rFonts w:ascii="Calibri" w:cs="Calibri" w:eastAsia="Calibri" w:hAnsi="Calibri"/>
          <w:b/>
          <w:bCs/>
          <w:color w:val="583664"/>
          <w:sz w:val="24"/>
          <w:szCs w:val="24"/>
        </w:rPr>
        <w:t xml:space="preserve">Why</w:t>
      </w:r>
    </w:p>
    <w:p>
      <w:pPr>
        <w:pStyle w:val="ListParagraph"/>
        <w:numPr>
          <w:ilvl w:val="0"/>
          <w:numId w:val="2"/>
        </w:numPr>
        <w:spacing w:after="80"/>
      </w:pPr>
      <w:r>
        <w:rPr>
          <w:rFonts w:ascii="Calibri" w:cs="Calibri" w:eastAsia="Calibri" w:hAnsi="Calibri"/>
          <w:color w:val="222222"/>
          <w:sz w:val="22"/>
          <w:szCs w:val="22"/>
        </w:rPr>
        <w:t xml:space="preserve">The human body silhouette + health data overlay aesthetic positions Regenerative Revival as a longevity-tech company, not a generic wellness brand. The gradient/bokeh hero in Prototype 1 is visually overused across the wellness space (every Instagram supplement brand uses it).</w:t>
      </w:r>
    </w:p>
    <w:p>
      <w:pPr>
        <w:pStyle w:val="ListParagraph"/>
        <w:numPr>
          <w:ilvl w:val="0"/>
          <w:numId w:val="2"/>
        </w:numPr>
        <w:spacing w:after="80"/>
      </w:pPr>
      <w:r>
        <w:rPr>
          <w:rFonts w:ascii="Calibri" w:cs="Calibri" w:eastAsia="Calibri" w:hAnsi="Calibri"/>
          <w:color w:val="222222"/>
          <w:sz w:val="22"/>
          <w:szCs w:val="22"/>
        </w:rPr>
        <w:t xml:space="preserve">Prototype 3 includes the logo in the top left, the "Patient Portal" CTA, and a Blog link — all of which we want long-term.</w:t>
      </w:r>
    </w:p>
    <w:p>
      <w:pPr>
        <w:pStyle w:val="ListParagraph"/>
        <w:numPr>
          <w:ilvl w:val="0"/>
          <w:numId w:val="2"/>
        </w:numPr>
        <w:spacing w:after="80"/>
      </w:pPr>
      <w:r>
        <w:rPr>
          <w:rFonts w:ascii="Calibri" w:cs="Calibri" w:eastAsia="Calibri" w:hAnsi="Calibri"/>
          <w:color w:val="222222"/>
          <w:sz w:val="22"/>
          <w:szCs w:val="22"/>
        </w:rPr>
        <w:t xml:space="preserve">"50+ States Covered" is the correct number (Arora is licensed in all 50). Prototype 1’s "12+ States Covered" is wrong and needs to be fixed.</w:t>
      </w:r>
    </w:p>
    <w:p>
      <w:pPr>
        <w:pStyle w:val="Heading3"/>
        <w:spacing w:after="100" w:before="200"/>
      </w:pPr>
      <w:r>
        <w:rPr>
          <w:rFonts w:ascii="Calibri" w:cs="Calibri" w:eastAsia="Calibri" w:hAnsi="Calibri"/>
          <w:b/>
          <w:bCs/>
          <w:color w:val="583664"/>
          <w:sz w:val="24"/>
          <w:szCs w:val="24"/>
        </w:rPr>
        <w:t xml:space="preserve">Refinements needed on the body + data overlay</w:t>
      </w:r>
    </w:p>
    <w:p>
      <w:pPr>
        <w:pStyle w:val="ListParagraph"/>
        <w:numPr>
          <w:ilvl w:val="0"/>
          <w:numId w:val="2"/>
        </w:numPr>
        <w:spacing w:after="80"/>
      </w:pPr>
      <w:r>
        <w:rPr>
          <w:rFonts w:ascii="Calibri" w:cs="Calibri" w:eastAsia="Calibri" w:hAnsi="Calibri"/>
          <w:color w:val="222222"/>
          <w:sz w:val="22"/>
          <w:szCs w:val="22"/>
        </w:rPr>
        <w:t xml:space="preserve">The numeric noise strings ("2323234763 8799876544") look like placeholder lorem ipsum. Replace with brand-relevant data points such as: biomarker labels (Testosterone, NAD+, hs-CRP, HbA1c), peptide categories (Recovery, Cognition, Metabolic), or age-reversal indicators. Make the data feel intentional, not random.</w:t>
      </w:r>
    </w:p>
    <w:p>
      <w:pPr>
        <w:pStyle w:val="ListParagraph"/>
        <w:numPr>
          <w:ilvl w:val="0"/>
          <w:numId w:val="2"/>
        </w:numPr>
        <w:spacing w:after="80"/>
      </w:pPr>
      <w:r>
        <w:rPr>
          <w:rFonts w:ascii="Calibri" w:cs="Calibri" w:eastAsia="Calibri" w:hAnsi="Calibri"/>
          <w:color w:val="222222"/>
          <w:sz w:val="22"/>
          <w:szCs w:val="22"/>
        </w:rPr>
        <w:t xml:space="preserve">Keep the red upward-trending graph — it reads as "longevity gains," which is on-brand.</w:t>
      </w:r>
    </w:p>
    <w:p>
      <w:pPr>
        <w:pStyle w:val="ListParagraph"/>
        <w:numPr>
          <w:ilvl w:val="0"/>
          <w:numId w:val="2"/>
        </w:numPr>
        <w:spacing w:after="80"/>
      </w:pPr>
      <w:r>
        <w:rPr>
          <w:rFonts w:ascii="Calibri" w:cs="Calibri" w:eastAsia="Calibri" w:hAnsi="Calibri"/>
          <w:color w:val="222222"/>
          <w:sz w:val="22"/>
          <w:szCs w:val="22"/>
        </w:rPr>
        <w:t xml:space="preserve">The "SCAN 3468" indicator can stay if it points to a meaningful body region; otherwise replace with a labeled callout (e.g., "Joint Health" or "Hormone Optimization").</w:t>
      </w:r>
    </w:p>
    <w:p>
      <w:pPr>
        <w:pStyle w:val="ListParagraph"/>
        <w:numPr>
          <w:ilvl w:val="0"/>
          <w:numId w:val="2"/>
        </w:numPr>
        <w:spacing w:after="80"/>
      </w:pPr>
      <w:r>
        <w:rPr>
          <w:rFonts w:ascii="Calibri" w:cs="Calibri" w:eastAsia="Calibri" w:hAnsi="Calibri"/>
          <w:color w:val="222222"/>
          <w:sz w:val="22"/>
          <w:szCs w:val="22"/>
        </w:rPr>
        <w:t xml:space="preserve">Logo should remain top-left in white.</w:t>
      </w:r>
    </w:p>
    <w:p>
      <w:pPr>
        <w:pStyle w:val="Heading2"/>
        <w:spacing w:after="140" w:before="280"/>
      </w:pPr>
      <w:r>
        <w:rPr>
          <w:rFonts w:ascii="Calibri" w:cs="Calibri" w:eastAsia="Calibri" w:hAnsi="Calibri"/>
          <w:b/>
          <w:bCs/>
          <w:color w:val="6D93DC"/>
          <w:sz w:val="28"/>
          <w:szCs w:val="28"/>
        </w:rPr>
        <w:t xml:space="preserve">3B. Product Page Colors — Recommendation: GO WITH PROTOTYPE 4 (Navy CTA, Magenta Nav)</w:t>
      </w:r>
    </w:p>
    <w:p>
      <w:pPr>
        <w:pStyle w:val="Heading3"/>
        <w:spacing w:after="100" w:before="200"/>
      </w:pPr>
      <w:r>
        <w:rPr>
          <w:rFonts w:ascii="Calibri" w:cs="Calibri" w:eastAsia="Calibri" w:hAnsi="Calibri"/>
          <w:b/>
          <w:bCs/>
          <w:color w:val="583664"/>
          <w:sz w:val="24"/>
          <w:szCs w:val="24"/>
        </w:rPr>
        <w:t xml:space="preserve">Why</w:t>
      </w:r>
    </w:p>
    <w:p>
      <w:pPr>
        <w:pStyle w:val="ListParagraph"/>
        <w:numPr>
          <w:ilvl w:val="0"/>
          <w:numId w:val="2"/>
        </w:numPr>
        <w:spacing w:after="80"/>
      </w:pPr>
      <w:r>
        <w:rPr>
          <w:rFonts w:ascii="Calibri" w:cs="Calibri" w:eastAsia="Calibri" w:hAnsi="Calibri"/>
          <w:color w:val="222222"/>
          <w:sz w:val="22"/>
          <w:szCs w:val="22"/>
        </w:rPr>
        <w:t xml:space="preserve">Navy primary CTA adds clinical credibility. Pure purple-on-white in Prototype 2 reads dated and homogenous.</w:t>
      </w:r>
    </w:p>
    <w:p>
      <w:pPr>
        <w:pStyle w:val="ListParagraph"/>
        <w:numPr>
          <w:ilvl w:val="0"/>
          <w:numId w:val="2"/>
        </w:numPr>
        <w:spacing w:after="80"/>
      </w:pPr>
      <w:r>
        <w:rPr>
          <w:rFonts w:ascii="Calibri" w:cs="Calibri" w:eastAsia="Calibri" w:hAnsi="Calibri"/>
          <w:color w:val="222222"/>
          <w:sz w:val="22"/>
          <w:szCs w:val="22"/>
        </w:rPr>
        <w:t xml:space="preserve">Magenta accent on the nav button adds modern energy and breaks up the palette.</w:t>
      </w:r>
    </w:p>
    <w:p>
      <w:pPr>
        <w:pStyle w:val="Heading3"/>
        <w:spacing w:after="100" w:before="200"/>
      </w:pPr>
      <w:r>
        <w:rPr>
          <w:rFonts w:ascii="Calibri" w:cs="Calibri" w:eastAsia="Calibri" w:hAnsi="Calibri"/>
          <w:b/>
          <w:bCs/>
          <w:color w:val="583664"/>
          <w:sz w:val="24"/>
          <w:szCs w:val="24"/>
        </w:rPr>
        <w:t xml:space="preserve">Refinement</w:t>
      </w:r>
    </w:p>
    <w:p>
      <w:pPr>
        <w:pStyle w:val="ListParagraph"/>
        <w:numPr>
          <w:ilvl w:val="0"/>
          <w:numId w:val="2"/>
        </w:numPr>
        <w:spacing w:after="80"/>
      </w:pPr>
      <w:r>
        <w:rPr>
          <w:rFonts w:ascii="Calibri" w:cs="Calibri" w:eastAsia="Calibri" w:hAnsi="Calibri"/>
          <w:color w:val="222222"/>
          <w:sz w:val="22"/>
          <w:szCs w:val="22"/>
        </w:rPr>
        <w:t xml:space="preserve">Make sure magenta is used sparingly (nav CTA only, not throughout the page). Overuse of magenta will fight the men’s TRT/peptide positioning. Keep the rest of the page primarily navy + purple + white.</w:t>
      </w:r>
    </w:p>
    <w:p>
      <w:pPr>
        <w:pStyle w:val="Heading2"/>
        <w:spacing w:after="140" w:before="280"/>
      </w:pPr>
      <w:r>
        <w:rPr>
          <w:rFonts w:ascii="Calibri" w:cs="Calibri" w:eastAsia="Calibri" w:hAnsi="Calibri"/>
          <w:b/>
          <w:bCs/>
          <w:color w:val="6D93DC"/>
          <w:sz w:val="28"/>
          <w:szCs w:val="28"/>
        </w:rPr>
        <w:t xml:space="preserve">3C. Color System Summary (for ModFX to lock in across all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560"/>
      </w:tblGrid>
      <w:tr>
        <w:trPr>
          <w:tblHeader/>
        </w:trPr>
        <w:tc>
          <w:tcPr>
            <w:tcW w:type="dxa" w:w="600"/>
            <w:tcBorders>
              <w:top w:val="single" w:color="BBBBBB" w:sz="4"/>
              <w:left w:val="single" w:color="BBBBBB" w:sz="4"/>
              <w:bottom w:val="single" w:color="BBBBBB" w:sz="4"/>
              <w:right w:val="single" w:color="BBBBBB" w:sz="4"/>
            </w:tcBorders>
            <w:shd w:fill="583664" w:color="auto" w:val="clear"/>
            <w:tcMar>
              <w:top w:type="dxa" w:w="80"/>
              <w:left w:type="dxa" w:w="100"/>
              <w:bottom w:type="dxa" w:w="80"/>
              <w:right w:type="dxa" w:w="100"/>
            </w:tcMar>
          </w:tcPr>
          <w:p>
            <w:r>
              <w:rPr>
                <w:rFonts w:ascii="Calibri" w:cs="Calibri" w:eastAsia="Calibri" w:hAnsi="Calibri"/>
                <w:b/>
                <w:bCs/>
                <w:color w:val="FFFFFF"/>
                <w:sz w:val="22"/>
                <w:szCs w:val="22"/>
              </w:rPr>
              <w:t xml:space="preserve"/>
            </w:r>
          </w:p>
        </w:tc>
        <w:tc>
          <w:tcPr>
            <w:tcW w:type="dxa" w:w="2400"/>
            <w:tcBorders>
              <w:top w:val="single" w:color="BBBBBB" w:sz="4"/>
              <w:left w:val="single" w:color="BBBBBB" w:sz="4"/>
              <w:bottom w:val="single" w:color="BBBBBB" w:sz="4"/>
              <w:right w:val="single" w:color="BBBBBB" w:sz="4"/>
            </w:tcBorders>
            <w:shd w:fill="583664" w:color="auto" w:val="clear"/>
            <w:tcMar>
              <w:top w:type="dxa" w:w="80"/>
              <w:left w:type="dxa" w:w="100"/>
              <w:bottom w:type="dxa" w:w="80"/>
              <w:right w:type="dxa" w:w="100"/>
            </w:tcMar>
          </w:tcPr>
          <w:p>
            <w:r>
              <w:rPr>
                <w:rFonts w:ascii="Calibri" w:cs="Calibri" w:eastAsia="Calibri" w:hAnsi="Calibri"/>
                <w:b/>
                <w:bCs/>
                <w:color w:val="FFFFFF"/>
                <w:sz w:val="22"/>
                <w:szCs w:val="22"/>
              </w:rPr>
              <w:t xml:space="preserve">Color</w:t>
            </w:r>
          </w:p>
        </w:tc>
        <w:tc>
          <w:tcPr>
            <w:tcW w:type="dxa" w:w="1800"/>
            <w:tcBorders>
              <w:top w:val="single" w:color="BBBBBB" w:sz="4"/>
              <w:left w:val="single" w:color="BBBBBB" w:sz="4"/>
              <w:bottom w:val="single" w:color="BBBBBB" w:sz="4"/>
              <w:right w:val="single" w:color="BBBBBB" w:sz="4"/>
            </w:tcBorders>
            <w:shd w:fill="583664" w:color="auto" w:val="clear"/>
            <w:tcMar>
              <w:top w:type="dxa" w:w="80"/>
              <w:left w:type="dxa" w:w="100"/>
              <w:bottom w:type="dxa" w:w="80"/>
              <w:right w:type="dxa" w:w="100"/>
            </w:tcMar>
          </w:tcPr>
          <w:p>
            <w:r>
              <w:rPr>
                <w:rFonts w:ascii="Calibri" w:cs="Calibri" w:eastAsia="Calibri" w:hAnsi="Calibri"/>
                <w:b/>
                <w:bCs/>
                <w:color w:val="FFFFFF"/>
                <w:sz w:val="22"/>
                <w:szCs w:val="22"/>
              </w:rPr>
              <w:t xml:space="preserve">Hex</w:t>
            </w:r>
          </w:p>
        </w:tc>
        <w:tc>
          <w:tcPr>
            <w:tcW w:type="dxa" w:w="4560"/>
            <w:tcBorders>
              <w:top w:val="single" w:color="BBBBBB" w:sz="4"/>
              <w:left w:val="single" w:color="BBBBBB" w:sz="4"/>
              <w:bottom w:val="single" w:color="BBBBBB" w:sz="4"/>
              <w:right w:val="single" w:color="BBBBBB" w:sz="4"/>
            </w:tcBorders>
            <w:shd w:fill="583664" w:color="auto" w:val="clear"/>
            <w:tcMar>
              <w:top w:type="dxa" w:w="80"/>
              <w:left w:type="dxa" w:w="100"/>
              <w:bottom w:type="dxa" w:w="80"/>
              <w:right w:type="dxa" w:w="100"/>
            </w:tcMar>
          </w:tcPr>
          <w:p>
            <w:r>
              <w:rPr>
                <w:rFonts w:ascii="Calibri" w:cs="Calibri" w:eastAsia="Calibri" w:hAnsi="Calibri"/>
                <w:b/>
                <w:bCs/>
                <w:color w:val="FFFFFF"/>
                <w:sz w:val="22"/>
                <w:szCs w:val="22"/>
              </w:rPr>
              <w:t xml:space="preserve">Usage</w:t>
            </w:r>
          </w:p>
        </w:tc>
      </w:tr>
      <w:tr>
        <w:tc>
          <w:tcPr>
            <w:tcW w:type="dxa" w:w="600"/>
            <w:tcBorders>
              <w:top w:val="single" w:color="BBBBBB" w:sz="4"/>
              <w:left w:val="single" w:color="BBBBBB" w:sz="4"/>
              <w:bottom w:val="single" w:color="BBBBBB" w:sz="4"/>
              <w:right w:val="single" w:color="BBBBBB" w:sz="4"/>
            </w:tcBorders>
            <w:shd w:fill="583664" w:color="auto" w:val="clear"/>
            <w:tcMar>
              <w:top w:type="dxa" w:w="80"/>
              <w:left w:type="dxa" w:w="100"/>
              <w:bottom w:type="dxa" w:w="80"/>
              <w:right w:type="dxa" w:w="100"/>
            </w:tcMar>
          </w:tcPr>
          <w:p>
            <w:r>
              <w:rPr>
                <w:rFonts w:ascii="Calibri" w:cs="Calibri" w:eastAsia="Calibri" w:hAnsi="Calibri"/>
                <w:sz w:val="22"/>
                <w:szCs w:val="22"/>
              </w:rPr>
              <w:t xml:space="preserve"> </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bCs/>
                <w:sz w:val="22"/>
                <w:szCs w:val="22"/>
              </w:rPr>
              <w:t xml:space="preserve">Deep Purple</w:t>
            </w:r>
          </w:p>
        </w:tc>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onsolas" w:cs="Consolas" w:eastAsia="Consolas" w:hAnsi="Consolas"/>
                <w:sz w:val="22"/>
                <w:szCs w:val="22"/>
              </w:rPr>
              <w:t xml:space="preserve">#583664</w:t>
            </w:r>
          </w:p>
        </w:tc>
        <w:tc>
          <w:tcPr>
            <w:tcW w:type="dxa" w:w="45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sz w:val="22"/>
                <w:szCs w:val="22"/>
              </w:rPr>
              <w:t xml:space="preserve">Primary brand, hero gradients, footer</w:t>
            </w:r>
          </w:p>
        </w:tc>
      </w:tr>
      <w:tr>
        <w:tc>
          <w:tcPr>
            <w:tcW w:type="dxa" w:w="600"/>
            <w:tcBorders>
              <w:top w:val="single" w:color="BBBBBB" w:sz="4"/>
              <w:left w:val="single" w:color="BBBBBB" w:sz="4"/>
              <w:bottom w:val="single" w:color="BBBBBB" w:sz="4"/>
              <w:right w:val="single" w:color="BBBBBB" w:sz="4"/>
            </w:tcBorders>
            <w:shd w:fill="6D93DC" w:color="auto" w:val="clear"/>
            <w:tcMar>
              <w:top w:type="dxa" w:w="80"/>
              <w:left w:type="dxa" w:w="100"/>
              <w:bottom w:type="dxa" w:w="80"/>
              <w:right w:type="dxa" w:w="100"/>
            </w:tcMar>
          </w:tcPr>
          <w:p>
            <w:r>
              <w:rPr>
                <w:rFonts w:ascii="Calibri" w:cs="Calibri" w:eastAsia="Calibri" w:hAnsi="Calibri"/>
                <w:sz w:val="22"/>
                <w:szCs w:val="22"/>
              </w:rPr>
              <w:t xml:space="preserve"> </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bCs/>
                <w:sz w:val="22"/>
                <w:szCs w:val="22"/>
              </w:rPr>
              <w:t xml:space="preserve">Blue Accent</w:t>
            </w:r>
          </w:p>
        </w:tc>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onsolas" w:cs="Consolas" w:eastAsia="Consolas" w:hAnsi="Consolas"/>
                <w:sz w:val="22"/>
                <w:szCs w:val="22"/>
              </w:rPr>
              <w:t xml:space="preserve">#6D93DC</w:t>
            </w:r>
          </w:p>
        </w:tc>
        <w:tc>
          <w:tcPr>
            <w:tcW w:type="dxa" w:w="45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sz w:val="22"/>
                <w:szCs w:val="22"/>
              </w:rPr>
              <w:t xml:space="preserve">Secondary accents, link hover, badges</w:t>
            </w:r>
          </w:p>
        </w:tc>
      </w:tr>
      <w:tr>
        <w:tc>
          <w:tcPr>
            <w:tcW w:type="dxa" w:w="600"/>
            <w:tcBorders>
              <w:top w:val="single" w:color="BBBBBB" w:sz="4"/>
              <w:left w:val="single" w:color="BBBBBB" w:sz="4"/>
              <w:bottom w:val="single" w:color="BBBBBB" w:sz="4"/>
              <w:right w:val="single" w:color="BBBBBB" w:sz="4"/>
            </w:tcBorders>
            <w:shd w:fill="1B3A5C" w:color="auto" w:val="clear"/>
            <w:tcMar>
              <w:top w:type="dxa" w:w="80"/>
              <w:left w:type="dxa" w:w="100"/>
              <w:bottom w:type="dxa" w:w="80"/>
              <w:right w:type="dxa" w:w="100"/>
            </w:tcMar>
          </w:tcPr>
          <w:p>
            <w:r>
              <w:rPr>
                <w:rFonts w:ascii="Calibri" w:cs="Calibri" w:eastAsia="Calibri" w:hAnsi="Calibri"/>
                <w:sz w:val="22"/>
                <w:szCs w:val="22"/>
              </w:rPr>
              <w:t xml:space="preserve"> </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bCs/>
                <w:sz w:val="22"/>
                <w:szCs w:val="22"/>
              </w:rPr>
              <w:t xml:space="preserve">Navy</w:t>
            </w:r>
          </w:p>
        </w:tc>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onsolas" w:cs="Consolas" w:eastAsia="Consolas" w:hAnsi="Consolas"/>
                <w:sz w:val="22"/>
                <w:szCs w:val="22"/>
              </w:rPr>
              <w:t xml:space="preserve">#1B3A5C</w:t>
            </w:r>
          </w:p>
        </w:tc>
        <w:tc>
          <w:tcPr>
            <w:tcW w:type="dxa" w:w="45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sz w:val="22"/>
                <w:szCs w:val="22"/>
              </w:rPr>
              <w:t xml:space="preserve">Primary CTAs</w:t>
            </w:r>
          </w:p>
        </w:tc>
      </w:tr>
      <w:tr>
        <w:tc>
          <w:tcPr>
            <w:tcW w:type="dxa" w:w="600"/>
            <w:tcBorders>
              <w:top w:val="single" w:color="BBBBBB" w:sz="4"/>
              <w:left w:val="single" w:color="BBBBBB" w:sz="4"/>
              <w:bottom w:val="single" w:color="BBBBBB" w:sz="4"/>
              <w:right w:val="single" w:color="BBBBBB" w:sz="4"/>
            </w:tcBorders>
            <w:shd w:fill="C2185B" w:color="auto" w:val="clear"/>
            <w:tcMar>
              <w:top w:type="dxa" w:w="80"/>
              <w:left w:type="dxa" w:w="100"/>
              <w:bottom w:type="dxa" w:w="80"/>
              <w:right w:type="dxa" w:w="100"/>
            </w:tcMar>
          </w:tcPr>
          <w:p>
            <w:r>
              <w:rPr>
                <w:rFonts w:ascii="Calibri" w:cs="Calibri" w:eastAsia="Calibri" w:hAnsi="Calibri"/>
                <w:sz w:val="22"/>
                <w:szCs w:val="22"/>
              </w:rPr>
              <w:t xml:space="preserve"> </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bCs/>
                <w:sz w:val="22"/>
                <w:szCs w:val="22"/>
              </w:rPr>
              <w:t xml:space="preserve">Magenta</w:t>
            </w:r>
          </w:p>
        </w:tc>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onsolas" w:cs="Consolas" w:eastAsia="Consolas" w:hAnsi="Consolas"/>
                <w:sz w:val="22"/>
                <w:szCs w:val="22"/>
              </w:rPr>
              <w:t xml:space="preserve">#C2185B</w:t>
            </w:r>
          </w:p>
        </w:tc>
        <w:tc>
          <w:tcPr>
            <w:tcW w:type="dxa" w:w="45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sz w:val="22"/>
                <w:szCs w:val="22"/>
              </w:rPr>
              <w:t xml:space="preserve">Nav CTA only — used sparingly</w:t>
            </w:r>
          </w:p>
        </w:tc>
      </w:tr>
      <w:t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Calibri" w:cs="Calibri" w:eastAsia="Calibri" w:hAnsi="Calibri"/>
                <w:sz w:val="22"/>
                <w:szCs w:val="22"/>
              </w:rPr>
              <w:t xml:space="preserve"> </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bCs/>
                <w:sz w:val="22"/>
                <w:szCs w:val="22"/>
              </w:rPr>
              <w:t xml:space="preserve">White / Off-white</w:t>
            </w:r>
          </w:p>
        </w:tc>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onsolas" w:cs="Consolas" w:eastAsia="Consolas" w:hAnsi="Consolas"/>
                <w:sz w:val="22"/>
                <w:szCs w:val="22"/>
              </w:rPr>
              <w:t xml:space="preserve">#FFFFFF</w:t>
            </w:r>
          </w:p>
        </w:tc>
        <w:tc>
          <w:tcPr>
            <w:tcW w:type="dxa" w:w="45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sz w:val="22"/>
                <w:szCs w:val="22"/>
              </w:rPr>
              <w:t xml:space="preserve">Backgrounds</w:t>
            </w:r>
          </w:p>
        </w:tc>
      </w:tr>
      <w:tr>
        <w:tc>
          <w:tcPr>
            <w:tcW w:type="dxa" w:w="600"/>
            <w:tcBorders>
              <w:top w:val="single" w:color="BBBBBB" w:sz="4"/>
              <w:left w:val="single" w:color="BBBBBB" w:sz="4"/>
              <w:bottom w:val="single" w:color="BBBBBB" w:sz="4"/>
              <w:right w:val="single" w:color="BBBBBB" w:sz="4"/>
            </w:tcBorders>
            <w:shd w:fill="2E7D32" w:color="auto" w:val="clear"/>
            <w:tcMar>
              <w:top w:type="dxa" w:w="80"/>
              <w:left w:type="dxa" w:w="100"/>
              <w:bottom w:type="dxa" w:w="80"/>
              <w:right w:type="dxa" w:w="100"/>
            </w:tcMar>
          </w:tcPr>
          <w:p>
            <w:r>
              <w:rPr>
                <w:rFonts w:ascii="Calibri" w:cs="Calibri" w:eastAsia="Calibri" w:hAnsi="Calibri"/>
                <w:sz w:val="22"/>
                <w:szCs w:val="22"/>
              </w:rPr>
              <w:t xml:space="preserve"> </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bCs/>
                <w:sz w:val="22"/>
                <w:szCs w:val="22"/>
              </w:rPr>
              <w:t xml:space="preserve">Green</w:t>
            </w:r>
          </w:p>
        </w:tc>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onsolas" w:cs="Consolas" w:eastAsia="Consolas" w:hAnsi="Consolas"/>
                <w:sz w:val="22"/>
                <w:szCs w:val="22"/>
              </w:rPr>
              <w:t xml:space="preserve">#2E7D32</w:t>
            </w:r>
          </w:p>
        </w:tc>
        <w:tc>
          <w:tcPr>
            <w:tcW w:type="dxa" w:w="45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sz w:val="22"/>
                <w:szCs w:val="22"/>
              </w:rPr>
              <w:t xml:space="preserve">Stock status indicators only</w:t>
            </w:r>
          </w:p>
        </w:tc>
      </w:tr>
    </w:tbl>
    <w:p>
      <w:r>
        <w:br w:type="page"/>
      </w:r>
    </w:p>
    <w:p>
      <w:pPr>
        <w:pStyle w:val="Heading1"/>
        <w:spacing w:after="180" w:before="360"/>
      </w:pPr>
      <w:r>
        <w:rPr>
          <w:rFonts w:ascii="Calibri" w:cs="Calibri" w:eastAsia="Calibri" w:hAnsi="Calibri"/>
          <w:b/>
          <w:bCs/>
          <w:color w:val="583664"/>
          <w:sz w:val="36"/>
          <w:szCs w:val="36"/>
        </w:rPr>
        <w:t xml:space="preserve">Part 4: Navigation Fixes</w:t>
      </w:r>
    </w:p>
    <w:p>
      <w:pPr>
        <w:spacing w:after="120" w:line="300"/>
      </w:pPr>
      <w:r>
        <w:rPr>
          <w:rFonts w:ascii="Calibri" w:cs="Calibri" w:eastAsia="Calibri" w:hAnsi="Calibri"/>
          <w:color w:val="222222"/>
          <w:sz w:val="22"/>
          <w:szCs w:val="22"/>
        </w:rPr>
        <w:t xml:space="preserve">Current nav (across all v2 prototypes): Regenerative | Hormones &amp; Peptides | NAD+ | Our Team (+ Blog and Patient Portal in Prototype 3).</w:t>
      </w:r>
    </w:p>
    <w:p>
      <w:pPr>
        <w:pStyle w:val="Heading2"/>
        <w:spacing w:after="140" w:before="280"/>
      </w:pPr>
      <w:r>
        <w:rPr>
          <w:rFonts w:ascii="Calibri" w:cs="Calibri" w:eastAsia="Calibri" w:hAnsi="Calibri"/>
          <w:b/>
          <w:bCs/>
          <w:color w:val="6D93DC"/>
          <w:sz w:val="28"/>
          <w:szCs w:val="28"/>
        </w:rPr>
        <w:t xml:space="preserve">Issues</w:t>
      </w:r>
    </w:p>
    <w:p>
      <w:pPr>
        <w:pStyle w:val="ListParagraph"/>
        <w:numPr>
          <w:ilvl w:val="0"/>
          <w:numId w:val="2"/>
        </w:numPr>
        <w:spacing w:after="80"/>
      </w:pPr>
      <w:r>
        <w:rPr>
          <w:rFonts w:ascii="Calibri" w:cs="Calibri" w:eastAsia="Calibri" w:hAnsi="Calibri"/>
          <w:color w:val="222222"/>
          <w:sz w:val="22"/>
          <w:szCs w:val="22"/>
        </w:rPr>
        <w:t xml:space="preserve">"For Providers" page was dropped entirely. This is a revenue channel — it’s where NPs, PAs, and clinics learn how to partner with Regenerative Revival, plug into Wizlo, and operate under Arora’s clinical umbrella. Without this page, we lose our provider-recruiting funnel.</w:t>
      </w:r>
    </w:p>
    <w:p>
      <w:pPr>
        <w:pStyle w:val="ListParagraph"/>
        <w:numPr>
          <w:ilvl w:val="0"/>
          <w:numId w:val="2"/>
        </w:numPr>
        <w:spacing w:after="80"/>
      </w:pPr>
      <w:r>
        <w:rPr>
          <w:rFonts w:ascii="Calibri" w:cs="Calibri" w:eastAsia="Calibri" w:hAnsi="Calibri"/>
          <w:color w:val="222222"/>
          <w:sz w:val="22"/>
          <w:szCs w:val="22"/>
        </w:rPr>
        <w:t xml:space="preserve">"About Seth" was folded into "Our Team." Losing Seth’s personal founder story removes a major differentiator versus corporate telehealth brands. The founder narrative drives trust and conversion.</w:t>
      </w:r>
    </w:p>
    <w:p>
      <w:pPr>
        <w:pStyle w:val="ListParagraph"/>
        <w:numPr>
          <w:ilvl w:val="0"/>
          <w:numId w:val="2"/>
        </w:numPr>
        <w:spacing w:after="80"/>
      </w:pPr>
      <w:r>
        <w:rPr>
          <w:rFonts w:ascii="Calibri" w:cs="Calibri" w:eastAsia="Calibri" w:hAnsi="Calibri"/>
          <w:color w:val="222222"/>
          <w:sz w:val="22"/>
          <w:szCs w:val="22"/>
        </w:rPr>
        <w:t xml:space="preserve">"Concierge Care Model" was dropped. This is the explanation of how in-home regenerative treatments work alongside telehealth — it’s how we justify premium pricing.</w:t>
      </w:r>
    </w:p>
    <w:p>
      <w:pPr>
        <w:pStyle w:val="Heading2"/>
        <w:spacing w:after="140" w:before="280"/>
      </w:pPr>
      <w:r>
        <w:rPr>
          <w:rFonts w:ascii="Calibri" w:cs="Calibri" w:eastAsia="Calibri" w:hAnsi="Calibri"/>
          <w:b/>
          <w:bCs/>
          <w:color w:val="6D93DC"/>
          <w:sz w:val="28"/>
          <w:szCs w:val="28"/>
        </w:rPr>
        <w:t xml:space="preserve">Recommended Final Navigation</w:t>
      </w:r>
    </w:p>
    <w:p>
      <w:pPr>
        <w:pStyle w:val="ListParagraph"/>
        <w:numPr>
          <w:ilvl w:val="0"/>
          <w:numId w:val="2"/>
        </w:numPr>
        <w:spacing w:after="80"/>
      </w:pPr>
      <w:r>
        <w:rPr>
          <w:rFonts w:ascii="Calibri" w:cs="Calibri" w:eastAsia="Calibri" w:hAnsi="Calibri"/>
          <w:color w:val="222222"/>
          <w:sz w:val="22"/>
          <w:szCs w:val="22"/>
        </w:rPr>
        <w:t xml:space="preserve">Regenerative</w:t>
      </w:r>
    </w:p>
    <w:p>
      <w:pPr>
        <w:pStyle w:val="ListParagraph"/>
        <w:numPr>
          <w:ilvl w:val="0"/>
          <w:numId w:val="2"/>
        </w:numPr>
        <w:spacing w:after="80"/>
      </w:pPr>
      <w:r>
        <w:rPr>
          <w:rFonts w:ascii="Calibri" w:cs="Calibri" w:eastAsia="Calibri" w:hAnsi="Calibri"/>
          <w:color w:val="222222"/>
          <w:sz w:val="22"/>
          <w:szCs w:val="22"/>
        </w:rPr>
        <w:t xml:space="preserve">Hormones &amp; Peptides</w:t>
      </w:r>
    </w:p>
    <w:p>
      <w:pPr>
        <w:pStyle w:val="ListParagraph"/>
        <w:numPr>
          <w:ilvl w:val="0"/>
          <w:numId w:val="2"/>
        </w:numPr>
        <w:spacing w:after="80"/>
      </w:pPr>
      <w:r>
        <w:rPr>
          <w:rFonts w:ascii="Calibri" w:cs="Calibri" w:eastAsia="Calibri" w:hAnsi="Calibri"/>
          <w:color w:val="222222"/>
          <w:sz w:val="22"/>
          <w:szCs w:val="22"/>
        </w:rPr>
        <w:t xml:space="preserve">NAD+</w:t>
      </w:r>
    </w:p>
    <w:p>
      <w:pPr>
        <w:pStyle w:val="ListParagraph"/>
        <w:numPr>
          <w:ilvl w:val="0"/>
          <w:numId w:val="2"/>
        </w:numPr>
        <w:spacing w:after="80"/>
      </w:pPr>
      <w:r>
        <w:rPr>
          <w:rFonts w:ascii="Calibri" w:cs="Calibri" w:eastAsia="Calibri" w:hAnsi="Calibri"/>
          <w:color w:val="222222"/>
          <w:sz w:val="22"/>
          <w:szCs w:val="22"/>
        </w:rPr>
        <w:t xml:space="preserve">For Providers (RESTORE)</w:t>
      </w:r>
    </w:p>
    <w:p>
      <w:pPr>
        <w:pStyle w:val="ListParagraph"/>
        <w:numPr>
          <w:ilvl w:val="0"/>
          <w:numId w:val="2"/>
        </w:numPr>
        <w:spacing w:after="80"/>
      </w:pPr>
      <w:r>
        <w:rPr>
          <w:rFonts w:ascii="Calibri" w:cs="Calibri" w:eastAsia="Calibri" w:hAnsi="Calibri"/>
          <w:color w:val="222222"/>
          <w:sz w:val="22"/>
          <w:szCs w:val="22"/>
        </w:rPr>
        <w:t xml:space="preserve">Our Team (with About Seth as a sub-section or anchor link)</w:t>
      </w:r>
    </w:p>
    <w:p>
      <w:pPr>
        <w:pStyle w:val="ListParagraph"/>
        <w:numPr>
          <w:ilvl w:val="0"/>
          <w:numId w:val="2"/>
        </w:numPr>
        <w:spacing w:after="80"/>
      </w:pPr>
      <w:r>
        <w:rPr>
          <w:rFonts w:ascii="Calibri" w:cs="Calibri" w:eastAsia="Calibri" w:hAnsi="Calibri"/>
          <w:color w:val="222222"/>
          <w:sz w:val="22"/>
          <w:szCs w:val="22"/>
        </w:rPr>
        <w:t xml:space="preserve">Blog</w:t>
      </w:r>
    </w:p>
    <w:p>
      <w:pPr>
        <w:pStyle w:val="ListParagraph"/>
        <w:numPr>
          <w:ilvl w:val="0"/>
          <w:numId w:val="2"/>
        </w:numPr>
        <w:spacing w:after="80"/>
      </w:pPr>
      <w:r>
        <w:rPr>
          <w:rFonts w:ascii="Calibri" w:cs="Calibri" w:eastAsia="Calibri" w:hAnsi="Calibri"/>
          <w:color w:val="222222"/>
          <w:sz w:val="22"/>
          <w:szCs w:val="22"/>
        </w:rPr>
        <w:t xml:space="preserve">Patient Portal (CTA button)</w:t>
      </w:r>
    </w:p>
    <w:p>
      <w:pPr>
        <w:pStyle w:val="ListParagraph"/>
        <w:numPr>
          <w:ilvl w:val="0"/>
          <w:numId w:val="2"/>
        </w:numPr>
        <w:spacing w:after="80"/>
      </w:pPr>
      <w:r>
        <w:rPr>
          <w:rFonts w:ascii="Calibri" w:cs="Calibri" w:eastAsia="Calibri" w:hAnsi="Calibri"/>
          <w:color w:val="222222"/>
          <w:sz w:val="22"/>
          <w:szCs w:val="22"/>
        </w:rPr>
        <w:t xml:space="preserve">Take The Quiz (sticky/primary CTA)</w:t>
      </w:r>
    </w:p>
    <w:p>
      <w:r>
        <w:t xml:space="preserve"/>
      </w:r>
    </w:p>
    <w:p>
      <w:pPr>
        <w:spacing w:after="120" w:line="300"/>
      </w:pPr>
      <w:r>
        <w:rPr>
          <w:rFonts w:ascii="Calibri" w:cs="Calibri" w:eastAsia="Calibri" w:hAnsi="Calibri"/>
          <w:i/>
          <w:iCs/>
          <w:color w:val="222222"/>
          <w:sz w:val="22"/>
          <w:szCs w:val="22"/>
        </w:rPr>
        <w:t xml:space="preserve">Concierge Care Model can be folded into the Regenerative page rather than a standalone nav item.</w:t>
      </w:r>
    </w:p>
    <w:p>
      <w:r>
        <w:br w:type="page"/>
      </w:r>
    </w:p>
    <w:p>
      <w:pPr>
        <w:pStyle w:val="Heading1"/>
        <w:spacing w:after="180" w:before="360"/>
      </w:pPr>
      <w:r>
        <w:rPr>
          <w:rFonts w:ascii="Calibri" w:cs="Calibri" w:eastAsia="Calibri" w:hAnsi="Calibri"/>
          <w:b/>
          <w:bCs/>
          <w:color w:val="583664"/>
          <w:sz w:val="36"/>
          <w:szCs w:val="36"/>
        </w:rPr>
        <w:t xml:space="preserve">Part 5: Copy Issues to Fix (with specific redlines)</w:t>
      </w:r>
    </w:p>
    <w:p>
      <w:pPr>
        <w:pStyle w:val="Heading2"/>
        <w:spacing w:after="140" w:before="280"/>
      </w:pPr>
      <w:r>
        <w:rPr>
          <w:rFonts w:ascii="Calibri" w:cs="Calibri" w:eastAsia="Calibri" w:hAnsi="Calibri"/>
          <w:b/>
          <w:bCs/>
          <w:color w:val="6D93DC"/>
          <w:sz w:val="28"/>
          <w:szCs w:val="28"/>
        </w:rPr>
        <w:t xml:space="preserve">Issue 1 — Hero Headline is Incomplete</w:t>
      </w:r>
    </w:p>
    <w:p>
      <w:pPr>
        <w:spacing w:after="80"/>
      </w:pPr>
      <w:r>
        <w:rPr>
          <w:rFonts w:ascii="Calibri" w:cs="Calibri" w:eastAsia="Calibri" w:hAnsi="Calibri"/>
          <w:b/>
          <w:bCs/>
          <w:sz w:val="22"/>
          <w:szCs w:val="22"/>
        </w:rPr>
        <w:t xml:space="preserve">Current: </w:t>
      </w:r>
      <w:r>
        <w:rPr>
          <w:rFonts w:ascii="Calibri" w:cs="Calibri" w:eastAsia="Calibri" w:hAnsi="Calibri"/>
          <w:sz w:val="22"/>
          <w:szCs w:val="22"/>
        </w:rPr>
        <w:t xml:space="preserve">"Your Concierge Hub For" / "Regeneration"</w:t>
      </w:r>
    </w:p>
    <w:p>
      <w:pPr>
        <w:spacing w:after="80"/>
      </w:pPr>
      <w:r>
        <w:rPr>
          <w:rFonts w:ascii="Calibri" w:cs="Calibri" w:eastAsia="Calibri" w:hAnsi="Calibri"/>
          <w:b/>
          <w:bCs/>
          <w:color w:val="B00020"/>
          <w:sz w:val="22"/>
          <w:szCs w:val="22"/>
        </w:rPr>
        <w:t xml:space="preserve">Problem: </w:t>
      </w:r>
      <w:r>
        <w:rPr>
          <w:rFonts w:ascii="Calibri" w:cs="Calibri" w:eastAsia="Calibri" w:hAnsi="Calibri"/>
          <w:sz w:val="22"/>
          <w:szCs w:val="22"/>
        </w:rPr>
        <w:t xml:space="preserve">Dropping "&amp; Longevity" kills half the positioning. Longevity is the reason hormones/peptides/NAD+ belong under the same roof as stem cells.</w:t>
      </w:r>
    </w:p>
    <w:p>
      <w:pPr>
        <w:spacing w:after="200"/>
      </w:pPr>
      <w:r>
        <w:rPr>
          <w:rFonts w:ascii="Calibri" w:cs="Calibri" w:eastAsia="Calibri" w:hAnsi="Calibri"/>
          <w:b/>
          <w:bCs/>
          <w:color w:val="1B5E20"/>
          <w:sz w:val="22"/>
          <w:szCs w:val="22"/>
        </w:rPr>
        <w:t xml:space="preserve">Fix: </w:t>
      </w:r>
      <w:r>
        <w:rPr>
          <w:rFonts w:ascii="Calibri" w:cs="Calibri" w:eastAsia="Calibri" w:hAnsi="Calibri"/>
          <w:sz w:val="22"/>
          <w:szCs w:val="22"/>
        </w:rPr>
        <w:t xml:space="preserve">See rewritten hero copy in Part 6 below.</w:t>
      </w:r>
    </w:p>
    <w:p>
      <w:pPr>
        <w:pStyle w:val="Heading2"/>
        <w:spacing w:after="140" w:before="280"/>
      </w:pPr>
      <w:r>
        <w:rPr>
          <w:rFonts w:ascii="Calibri" w:cs="Calibri" w:eastAsia="Calibri" w:hAnsi="Calibri"/>
          <w:b/>
          <w:bCs/>
          <w:color w:val="6D93DC"/>
          <w:sz w:val="28"/>
          <w:szCs w:val="28"/>
        </w:rPr>
        <w:t xml:space="preserve">Issue 2 — Hero Sub-headline Breaks Awkwardly</w:t>
      </w:r>
    </w:p>
    <w:p>
      <w:pPr>
        <w:spacing w:after="80"/>
      </w:pPr>
      <w:r>
        <w:rPr>
          <w:rFonts w:ascii="Calibri" w:cs="Calibri" w:eastAsia="Calibri" w:hAnsi="Calibri"/>
          <w:b/>
          <w:bCs/>
          <w:sz w:val="22"/>
          <w:szCs w:val="22"/>
        </w:rPr>
        <w:t xml:space="preserve">Current: </w:t>
      </w:r>
      <w:r>
        <w:rPr>
          <w:rFonts w:ascii="Calibri" w:cs="Calibri" w:eastAsia="Calibri" w:hAnsi="Calibri"/>
          <w:sz w:val="22"/>
          <w:szCs w:val="22"/>
        </w:rPr>
        <w:t xml:space="preserve">"Your Concierge Hub For" sits above a giant "Regeneration." Reads as two disconnected fragments rather than one cohesive line.</w:t>
      </w:r>
    </w:p>
    <w:p>
      <w:pPr>
        <w:spacing w:after="200"/>
      </w:pPr>
      <w:r>
        <w:rPr>
          <w:rFonts w:ascii="Calibri" w:cs="Calibri" w:eastAsia="Calibri" w:hAnsi="Calibri"/>
          <w:b/>
          <w:bCs/>
          <w:color w:val="1B5E20"/>
          <w:sz w:val="22"/>
          <w:szCs w:val="22"/>
        </w:rPr>
        <w:t xml:space="preserve">Fix: </w:t>
      </w:r>
      <w:r>
        <w:rPr>
          <w:rFonts w:ascii="Calibri" w:cs="Calibri" w:eastAsia="Calibri" w:hAnsi="Calibri"/>
          <w:sz w:val="22"/>
          <w:szCs w:val="22"/>
        </w:rPr>
        <w:t xml:space="preserve">Consolidate into one headline lockup with proper hierarchy. See Part 6.</w:t>
      </w:r>
    </w:p>
    <w:p>
      <w:pPr>
        <w:pStyle w:val="Heading2"/>
        <w:spacing w:after="140" w:before="280"/>
      </w:pPr>
      <w:r>
        <w:rPr>
          <w:rFonts w:ascii="Calibri" w:cs="Calibri" w:eastAsia="Calibri" w:hAnsi="Calibri"/>
          <w:b/>
          <w:bCs/>
          <w:color w:val="6D93DC"/>
          <w:sz w:val="28"/>
          <w:szCs w:val="28"/>
        </w:rPr>
        <w:t xml:space="preserve">Issue 3 — "Next Decade" vs "Best Decade" Inconsistency</w:t>
      </w:r>
    </w:p>
    <w:p>
      <w:pPr>
        <w:spacing w:after="80"/>
      </w:pPr>
      <w:r>
        <w:rPr>
          <w:rFonts w:ascii="Calibri" w:cs="Calibri" w:eastAsia="Calibri" w:hAnsi="Calibri"/>
          <w:b/>
          <w:bCs/>
          <w:sz w:val="22"/>
          <w:szCs w:val="22"/>
        </w:rPr>
        <w:t xml:space="preserve">Current: </w:t>
      </w:r>
      <w:r>
        <w:rPr>
          <w:rFonts w:ascii="Calibri" w:cs="Calibri" w:eastAsia="Calibri" w:hAnsi="Calibri"/>
          <w:sz w:val="22"/>
          <w:szCs w:val="22"/>
        </w:rPr>
        <w:t xml:space="preserve">Prototype 1 says "next decade." Prototype 3 says "best decade."</w:t>
      </w:r>
    </w:p>
    <w:p>
      <w:pPr>
        <w:spacing w:after="200"/>
      </w:pPr>
      <w:r>
        <w:rPr>
          <w:rFonts w:ascii="Calibri" w:cs="Calibri" w:eastAsia="Calibri" w:hAnsi="Calibri"/>
          <w:b/>
          <w:bCs/>
          <w:color w:val="1B5E20"/>
          <w:sz w:val="22"/>
          <w:szCs w:val="22"/>
        </w:rPr>
        <w:t xml:space="preserve">Fix: </w:t>
      </w:r>
      <w:r>
        <w:rPr>
          <w:rFonts w:ascii="Calibri" w:cs="Calibri" w:eastAsia="Calibri" w:hAnsi="Calibri"/>
          <w:sz w:val="22"/>
          <w:szCs w:val="22"/>
        </w:rPr>
        <w:t xml:space="preserve">Lock to "best decade." Punchier and on-brand for longevity positioning.</w:t>
      </w:r>
    </w:p>
    <w:p>
      <w:pPr>
        <w:pStyle w:val="Heading2"/>
        <w:spacing w:after="140" w:before="280"/>
      </w:pPr>
      <w:r>
        <w:rPr>
          <w:rFonts w:ascii="Calibri" w:cs="Calibri" w:eastAsia="Calibri" w:hAnsi="Calibri"/>
          <w:b/>
          <w:bCs/>
          <w:color w:val="6D93DC"/>
          <w:sz w:val="28"/>
          <w:szCs w:val="28"/>
        </w:rPr>
        <w:t xml:space="preserve">Issue 4 — Stats Inconsistency</w:t>
      </w:r>
    </w:p>
    <w:p>
      <w:pPr>
        <w:spacing w:after="80"/>
      </w:pPr>
      <w:r>
        <w:rPr>
          <w:rFonts w:ascii="Calibri" w:cs="Calibri" w:eastAsia="Calibri" w:hAnsi="Calibri"/>
          <w:b/>
          <w:bCs/>
          <w:sz w:val="22"/>
          <w:szCs w:val="22"/>
        </w:rPr>
        <w:t xml:space="preserve">Current: </w:t>
      </w:r>
      <w:r>
        <w:rPr>
          <w:rFonts w:ascii="Calibri" w:cs="Calibri" w:eastAsia="Calibri" w:hAnsi="Calibri"/>
          <w:sz w:val="22"/>
          <w:szCs w:val="22"/>
        </w:rPr>
        <w:t xml:space="preserve">Prototype 1 says "12+ States Covered." Prototype 3 says "50+ States Covered."</w:t>
      </w:r>
    </w:p>
    <w:p>
      <w:pPr>
        <w:spacing w:after="200"/>
      </w:pPr>
      <w:r>
        <w:rPr>
          <w:rFonts w:ascii="Calibri" w:cs="Calibri" w:eastAsia="Calibri" w:hAnsi="Calibri"/>
          <w:b/>
          <w:bCs/>
          <w:color w:val="1B5E20"/>
          <w:sz w:val="22"/>
          <w:szCs w:val="22"/>
        </w:rPr>
        <w:t xml:space="preserve">Fix: </w:t>
      </w:r>
      <w:r>
        <w:rPr>
          <w:rFonts w:ascii="Calibri" w:cs="Calibri" w:eastAsia="Calibri" w:hAnsi="Calibri"/>
          <w:sz w:val="22"/>
          <w:szCs w:val="22"/>
        </w:rPr>
        <w:t xml:space="preserve">"50+ States Covered" everywhere. Arora is licensed in all 50.</w:t>
      </w:r>
    </w:p>
    <w:p>
      <w:pPr>
        <w:pStyle w:val="Heading2"/>
        <w:spacing w:after="140" w:before="280"/>
      </w:pPr>
      <w:r>
        <w:rPr>
          <w:rFonts w:ascii="Calibri" w:cs="Calibri" w:eastAsia="Calibri" w:hAnsi="Calibri"/>
          <w:b/>
          <w:bCs/>
          <w:color w:val="6D93DC"/>
          <w:sz w:val="28"/>
          <w:szCs w:val="28"/>
        </w:rPr>
        <w:t xml:space="preserve">Issue 5 — Product Page Body Copy Lacks Authority</w:t>
      </w:r>
    </w:p>
    <w:p>
      <w:pPr>
        <w:spacing w:after="80"/>
      </w:pPr>
      <w:r>
        <w:rPr>
          <w:rFonts w:ascii="Calibri" w:cs="Calibri" w:eastAsia="Calibri" w:hAnsi="Calibri"/>
          <w:b/>
          <w:bCs/>
          <w:sz w:val="22"/>
          <w:szCs w:val="22"/>
        </w:rPr>
        <w:t xml:space="preserve">Current: </w:t>
      </w:r>
      <w:r>
        <w:rPr>
          <w:rFonts w:ascii="Calibri" w:cs="Calibri" w:eastAsia="Calibri" w:hAnsi="Calibri"/>
          <w:sz w:val="22"/>
          <w:szCs w:val="22"/>
        </w:rPr>
        <w:t xml:space="preserve">"Compounded Semaglutide — physician-supervised, without the needle."</w:t>
      </w:r>
    </w:p>
    <w:p>
      <w:pPr>
        <w:spacing w:after="80"/>
      </w:pPr>
      <w:r>
        <w:rPr>
          <w:rFonts w:ascii="Calibri" w:cs="Calibri" w:eastAsia="Calibri" w:hAnsi="Calibri"/>
          <w:b/>
          <w:bCs/>
          <w:color w:val="B00020"/>
          <w:sz w:val="22"/>
          <w:szCs w:val="22"/>
        </w:rPr>
        <w:t xml:space="preserve">Problem: </w:t>
      </w:r>
      <w:r>
        <w:rPr>
          <w:rFonts w:ascii="Calibri" w:cs="Calibri" w:eastAsia="Calibri" w:hAnsi="Calibri"/>
          <w:sz w:val="22"/>
          <w:szCs w:val="22"/>
        </w:rPr>
        <w:t xml:space="preserve">Fine, but reads thin and a bit gimmicky. Doesn’t establish clinical seriousness.</w:t>
      </w:r>
    </w:p>
    <w:p>
      <w:pPr>
        <w:spacing w:after="200"/>
      </w:pPr>
      <w:r>
        <w:rPr>
          <w:rFonts w:ascii="Calibri" w:cs="Calibri" w:eastAsia="Calibri" w:hAnsi="Calibri"/>
          <w:b/>
          <w:bCs/>
          <w:color w:val="1B5E20"/>
          <w:sz w:val="22"/>
          <w:szCs w:val="22"/>
        </w:rPr>
        <w:t xml:space="preserve">Fix: </w:t>
      </w:r>
      <w:r>
        <w:rPr>
          <w:rFonts w:ascii="Calibri" w:cs="Calibri" w:eastAsia="Calibri" w:hAnsi="Calibri"/>
          <w:sz w:val="22"/>
          <w:szCs w:val="22"/>
        </w:rPr>
        <w:t xml:space="preserve">See rewritten product page copy in Part 7.</w:t>
      </w:r>
    </w:p>
    <w:p>
      <w:pPr>
        <w:pStyle w:val="Heading2"/>
        <w:spacing w:after="140" w:before="280"/>
      </w:pPr>
      <w:r>
        <w:rPr>
          <w:rFonts w:ascii="Calibri" w:cs="Calibri" w:eastAsia="Calibri" w:hAnsi="Calibri"/>
          <w:b/>
          <w:bCs/>
          <w:color w:val="6D93DC"/>
          <w:sz w:val="28"/>
          <w:szCs w:val="28"/>
        </w:rPr>
        <w:t xml:space="preserve">Issue 6 — Product Bullets Are Truncated in Mockup</w:t>
      </w:r>
    </w:p>
    <w:p>
      <w:pPr>
        <w:spacing w:after="80"/>
      </w:pPr>
      <w:r>
        <w:rPr>
          <w:rFonts w:ascii="Calibri" w:cs="Calibri" w:eastAsia="Calibri" w:hAnsi="Calibri"/>
          <w:b/>
          <w:bCs/>
          <w:sz w:val="22"/>
          <w:szCs w:val="22"/>
        </w:rPr>
        <w:t xml:space="preserve">Current: </w:t>
      </w:r>
      <w:r>
        <w:rPr>
          <w:rFonts w:ascii="Calibri" w:cs="Calibri" w:eastAsia="Calibri" w:hAnsi="Calibri"/>
          <w:sz w:val="22"/>
          <w:szCs w:val="22"/>
        </w:rPr>
        <w:t xml:space="preserve">The benefit list shows cut-off text ("for susta...", "no injections requi...", etc.).</w:t>
      </w:r>
    </w:p>
    <w:p>
      <w:pPr>
        <w:spacing w:after="200"/>
      </w:pPr>
      <w:r>
        <w:rPr>
          <w:rFonts w:ascii="Calibri" w:cs="Calibri" w:eastAsia="Calibri" w:hAnsi="Calibri"/>
          <w:b/>
          <w:bCs/>
          <w:color w:val="1B5E20"/>
          <w:sz w:val="22"/>
          <w:szCs w:val="22"/>
        </w:rPr>
        <w:t xml:space="preserve">Fix: </w:t>
      </w:r>
      <w:r>
        <w:rPr>
          <w:rFonts w:ascii="Calibri" w:cs="Calibri" w:eastAsia="Calibri" w:hAnsi="Calibri"/>
          <w:sz w:val="22"/>
          <w:szCs w:val="22"/>
        </w:rPr>
        <w:t xml:space="preserve">This is a layout issue — bullets need to either wrap or fit within the column. Fix in Figma.</w:t>
      </w:r>
    </w:p>
    <w:p>
      <w:r>
        <w:br w:type="page"/>
      </w:r>
    </w:p>
    <w:p>
      <w:pPr>
        <w:pStyle w:val="Heading1"/>
        <w:spacing w:after="180" w:before="360"/>
      </w:pPr>
      <w:r>
        <w:rPr>
          <w:rFonts w:ascii="Calibri" w:cs="Calibri" w:eastAsia="Calibri" w:hAnsi="Calibri"/>
          <w:b/>
          <w:bCs/>
          <w:color w:val="583664"/>
          <w:sz w:val="36"/>
          <w:szCs w:val="36"/>
        </w:rPr>
        <w:t xml:space="preserve">Part 6: Rewritten Hero Copy</w:t>
      </w:r>
    </w:p>
    <w:p>
      <w:pPr>
        <w:spacing w:after="120" w:line="300"/>
      </w:pPr>
      <w:r>
        <w:rPr>
          <w:rFonts w:ascii="Calibri" w:cs="Calibri" w:eastAsia="Calibri" w:hAnsi="Calibri"/>
          <w:i/>
          <w:iCs/>
          <w:color w:val="666666"/>
          <w:sz w:val="22"/>
          <w:szCs w:val="22"/>
        </w:rPr>
        <w:t xml:space="preserve">FOR ModFX TO PASTE INTO PROTOTYPE 3. Use this exact copy structure for the v2 home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0F0" w:sz="4"/>
              <w:left w:val="single" w:color="6D93DC" w:sz="24"/>
              <w:bottom w:val="single" w:color="F0F0F0" w:sz="4"/>
              <w:right w:val="single" w:color="F0F0F0" w:sz="4"/>
            </w:tcBorders>
            <w:shd w:fill="F0F0F0" w:color="auto" w:val="clear"/>
            <w:tcMar>
              <w:top w:type="dxa" w:w="200"/>
              <w:left w:type="dxa" w:w="240"/>
              <w:bottom w:type="dxa" w:w="200"/>
              <w:right w:type="dxa" w:w="240"/>
            </w:tcMar>
          </w:tcPr>
          <w:p>
            <w:pPr>
              <w:spacing w:after="120"/>
            </w:pPr>
            <w:r>
              <w:rPr>
                <w:rFonts w:ascii="Calibri" w:cs="Calibri" w:eastAsia="Calibri" w:hAnsi="Calibri"/>
                <w:b/>
                <w:bCs/>
                <w:color w:val="6D93DC"/>
                <w:sz w:val="26"/>
                <w:szCs w:val="26"/>
              </w:rPr>
              <w:t xml:space="preserve">Hero Copy Block — Paste into Prototype 3</w:t>
            </w:r>
          </w:p>
          <w:p>
            <w:pPr>
              <w:spacing w:after="100" w:line="280"/>
            </w:pPr>
            <w:r>
              <w:rPr>
                <w:rFonts w:ascii="Calibri" w:cs="Calibri" w:eastAsia="Calibri" w:hAnsi="Calibri"/>
                <w:b/>
                <w:bCs/>
                <w:color w:val="222222"/>
                <w:sz w:val="22"/>
                <w:szCs w:val="22"/>
              </w:rPr>
              <w:t xml:space="preserve">EYEBROW (small caps, light weight, above main headline):</w:t>
            </w:r>
          </w:p>
          <w:p>
            <w:pPr>
              <w:spacing w:after="100" w:line="280"/>
            </w:pPr>
            <w:r>
              <w:rPr>
                <w:rFonts w:ascii="Calibri" w:cs="Calibri" w:eastAsia="Calibri" w:hAnsi="Calibri"/>
                <w:color w:val="222222"/>
                <w:sz w:val="22"/>
                <w:szCs w:val="22"/>
              </w:rPr>
              <w:t xml:space="preserve">REGENERATIVE MEDICINE · TELEHEALTH · LONGEVITY</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MAIN HEADLINE (large, bold, white):</w:t>
            </w:r>
          </w:p>
          <w:p>
            <w:pPr>
              <w:spacing w:after="100" w:line="280"/>
            </w:pPr>
            <w:r>
              <w:rPr>
                <w:rFonts w:ascii="Calibri" w:cs="Calibri" w:eastAsia="Calibri" w:hAnsi="Calibri"/>
                <w:color w:val="222222"/>
                <w:sz w:val="22"/>
                <w:szCs w:val="22"/>
              </w:rPr>
              <w:t xml:space="preserve">Your Concierge Hub for Regeneration &amp; Longevity</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SUB-HEADLINE (medium weight, lighter):</w:t>
            </w:r>
          </w:p>
          <w:p>
            <w:pPr>
              <w:spacing w:after="100" w:line="280"/>
            </w:pPr>
            <w:r>
              <w:rPr>
                <w:rFonts w:ascii="Calibri" w:cs="Calibri" w:eastAsia="Calibri" w:hAnsi="Calibri"/>
                <w:color w:val="222222"/>
                <w:sz w:val="22"/>
                <w:szCs w:val="22"/>
              </w:rPr>
              <w:t xml:space="preserve">Regenerative therapy in your home. Hormones, peptides, and NAD+ through telehealth. One physician-led medical team, one patient record, one plan — for the best decade of your life.</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PRIMARY CTA (button):</w:t>
            </w:r>
          </w:p>
          <w:p>
            <w:pPr>
              <w:spacing w:after="100" w:line="280"/>
            </w:pPr>
            <w:r>
              <w:rPr>
                <w:rFonts w:ascii="Calibri" w:cs="Calibri" w:eastAsia="Calibri" w:hAnsi="Calibri"/>
                <w:color w:val="222222"/>
                <w:sz w:val="22"/>
                <w:szCs w:val="22"/>
              </w:rPr>
              <w:t xml:space="preserve">Take The 2-Minute Quiz →</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SECONDARY CTA (text link):</w:t>
            </w:r>
          </w:p>
          <w:p>
            <w:pPr>
              <w:spacing w:after="100" w:line="280"/>
            </w:pPr>
            <w:r>
              <w:rPr>
                <w:rFonts w:ascii="Calibri" w:cs="Calibri" w:eastAsia="Calibri" w:hAnsi="Calibri"/>
                <w:color w:val="222222"/>
                <w:sz w:val="22"/>
                <w:szCs w:val="22"/>
              </w:rPr>
              <w:t xml:space="preserve">Watch 90-Second Overview</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TRUST BAR (below hero, 4 stats):</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8+ Years in Regenerative Medicine</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20+ Licensed Clinicians</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50+ States Covered</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Backed by Arora Health Group</w:t>
            </w:r>
          </w:p>
        </w:tc>
      </w:tr>
    </w:tbl>
    <w:p>
      <w:r>
        <w:t xml:space="preserve"/>
      </w:r>
    </w:p>
    <w:p>
      <w:pPr>
        <w:pStyle w:val="Heading2"/>
        <w:spacing w:after="140" w:before="280"/>
      </w:pPr>
      <w:r>
        <w:rPr>
          <w:rFonts w:ascii="Calibri" w:cs="Calibri" w:eastAsia="Calibri" w:hAnsi="Calibri"/>
          <w:b/>
          <w:bCs/>
          <w:color w:val="6D93DC"/>
          <w:sz w:val="28"/>
          <w:szCs w:val="28"/>
        </w:rPr>
        <w:t xml:space="preserve">Alternate Hero Headline Options (for A/B testing if desired)</w:t>
      </w:r>
    </w:p>
    <w:p>
      <w:pPr>
        <w:pStyle w:val="ListParagraph"/>
        <w:numPr>
          <w:ilvl w:val="0"/>
          <w:numId w:val="3"/>
        </w:numPr>
        <w:spacing w:after="60"/>
      </w:pPr>
      <w:r>
        <w:rPr>
          <w:rFonts w:ascii="Calibri" w:cs="Calibri" w:eastAsia="Calibri" w:hAnsi="Calibri"/>
          <w:sz w:val="22"/>
          <w:szCs w:val="22"/>
        </w:rPr>
        <w:t xml:space="preserve">"Your Concierge Hub for Regeneration &amp; Longevity" </w:t>
      </w:r>
      <w:r>
        <w:rPr>
          <w:rFonts w:ascii="Calibri" w:cs="Calibri" w:eastAsia="Calibri" w:hAnsi="Calibri"/>
          <w:i/>
          <w:iCs/>
          <w:color w:val="1B5E20"/>
          <w:sz w:val="22"/>
          <w:szCs w:val="22"/>
        </w:rPr>
        <w:t xml:space="preserve">(recommended primary)</w:t>
      </w:r>
    </w:p>
    <w:p>
      <w:pPr>
        <w:pStyle w:val="ListParagraph"/>
        <w:numPr>
          <w:ilvl w:val="0"/>
          <w:numId w:val="3"/>
        </w:numPr>
        <w:spacing w:after="80"/>
      </w:pPr>
      <w:r>
        <w:rPr>
          <w:rFonts w:ascii="Calibri" w:cs="Calibri" w:eastAsia="Calibri" w:hAnsi="Calibri"/>
          <w:color w:val="222222"/>
          <w:sz w:val="22"/>
          <w:szCs w:val="22"/>
        </w:rPr>
        <w:t xml:space="preserve">"One Medical Team. One Plan. The Best Decade of Your Life."</w:t>
      </w:r>
    </w:p>
    <w:p>
      <w:pPr>
        <w:pStyle w:val="ListParagraph"/>
        <w:numPr>
          <w:ilvl w:val="0"/>
          <w:numId w:val="3"/>
        </w:numPr>
        <w:spacing w:after="80"/>
      </w:pPr>
      <w:r>
        <w:rPr>
          <w:rFonts w:ascii="Calibri" w:cs="Calibri" w:eastAsia="Calibri" w:hAnsi="Calibri"/>
          <w:color w:val="222222"/>
          <w:sz w:val="22"/>
          <w:szCs w:val="22"/>
        </w:rPr>
        <w:t xml:space="preserve">"Regeneration, Hormones, and Longevity — Under One Roof."</w:t>
      </w:r>
    </w:p>
    <w:p>
      <w:r>
        <w:br w:type="page"/>
      </w:r>
    </w:p>
    <w:p>
      <w:pPr>
        <w:pStyle w:val="Heading1"/>
        <w:spacing w:after="180" w:before="360"/>
      </w:pPr>
      <w:r>
        <w:rPr>
          <w:rFonts w:ascii="Calibri" w:cs="Calibri" w:eastAsia="Calibri" w:hAnsi="Calibri"/>
          <w:b/>
          <w:bCs/>
          <w:color w:val="583664"/>
          <w:sz w:val="36"/>
          <w:szCs w:val="36"/>
        </w:rPr>
        <w:t xml:space="preserve">Part 7: Rewritten Semaglutide Product Page Copy</w:t>
      </w:r>
    </w:p>
    <w:p>
      <w:pPr>
        <w:spacing w:after="120" w:line="300"/>
      </w:pPr>
      <w:r>
        <w:rPr>
          <w:rFonts w:ascii="Calibri" w:cs="Calibri" w:eastAsia="Calibri" w:hAnsi="Calibri"/>
          <w:i/>
          <w:iCs/>
          <w:color w:val="666666"/>
          <w:sz w:val="22"/>
          <w:szCs w:val="22"/>
        </w:rPr>
        <w:t xml:space="preserve">FOR ModFX TO PASTE INTO PROTOTYPE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0F0" w:sz="4"/>
              <w:left w:val="single" w:color="6D93DC" w:sz="24"/>
              <w:bottom w:val="single" w:color="F0F0F0" w:sz="4"/>
              <w:right w:val="single" w:color="F0F0F0" w:sz="4"/>
            </w:tcBorders>
            <w:shd w:fill="F0F0F0" w:color="auto" w:val="clear"/>
            <w:tcMar>
              <w:top w:type="dxa" w:w="200"/>
              <w:left w:type="dxa" w:w="240"/>
              <w:bottom w:type="dxa" w:w="200"/>
              <w:right w:type="dxa" w:w="240"/>
            </w:tcMar>
          </w:tcPr>
          <w:p>
            <w:pPr>
              <w:spacing w:after="120"/>
            </w:pPr>
            <w:r>
              <w:rPr>
                <w:rFonts w:ascii="Calibri" w:cs="Calibri" w:eastAsia="Calibri" w:hAnsi="Calibri"/>
                <w:b/>
                <w:bCs/>
                <w:color w:val="6D93DC"/>
                <w:sz w:val="26"/>
                <w:szCs w:val="26"/>
              </w:rPr>
              <w:t xml:space="preserve">Product Header Block</w:t>
            </w:r>
          </w:p>
          <w:p>
            <w:pPr>
              <w:spacing w:after="100" w:line="280"/>
            </w:pPr>
            <w:r>
              <w:rPr>
                <w:rFonts w:ascii="Calibri" w:cs="Calibri" w:eastAsia="Calibri" w:hAnsi="Calibri"/>
                <w:b/>
                <w:bCs/>
                <w:color w:val="222222"/>
                <w:sz w:val="22"/>
                <w:szCs w:val="22"/>
              </w:rPr>
              <w:t xml:space="preserve">PRODUCT NAME:</w:t>
            </w:r>
          </w:p>
          <w:p>
            <w:pPr>
              <w:spacing w:after="100" w:line="280"/>
            </w:pPr>
            <w:r>
              <w:rPr>
                <w:rFonts w:ascii="Calibri" w:cs="Calibri" w:eastAsia="Calibri" w:hAnsi="Calibri"/>
                <w:color w:val="222222"/>
                <w:sz w:val="22"/>
                <w:szCs w:val="22"/>
              </w:rPr>
              <w:t xml:space="preserve">Semaglutide (Sublingual)</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PRICE LINE:</w:t>
            </w:r>
          </w:p>
          <w:p>
            <w:pPr>
              <w:spacing w:after="100" w:line="280"/>
            </w:pPr>
            <w:r>
              <w:rPr>
                <w:rFonts w:ascii="Calibri" w:cs="Calibri" w:eastAsia="Calibri" w:hAnsi="Calibri"/>
                <w:color w:val="222222"/>
                <w:sz w:val="22"/>
                <w:szCs w:val="22"/>
              </w:rPr>
              <w:t xml:space="preserve">Programs starting at $379/month — includes provider consult, prescription, and shipping</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PRODUCT DESCRIPTION (replaces "physician-supervised, without the needle"):</w:t>
            </w:r>
          </w:p>
          <w:p>
            <w:pPr>
              <w:spacing w:after="100" w:line="280"/>
            </w:pPr>
            <w:r>
              <w:rPr>
                <w:rFonts w:ascii="Calibri" w:cs="Calibri" w:eastAsia="Calibri" w:hAnsi="Calibri"/>
                <w:color w:val="222222"/>
                <w:sz w:val="22"/>
                <w:szCs w:val="22"/>
              </w:rPr>
              <w:t xml:space="preserve">A physician-prescribed, compounded GLP-1 program designed for sustainable weight loss without daily injections. Reviewed and adjusted by licensed clinicians, shipped directly from a licensed compounding pharmacy.</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STOCK BADGE:</w:t>
            </w:r>
          </w:p>
          <w:p>
            <w:pPr>
              <w:spacing w:after="100" w:line="280"/>
            </w:pPr>
            <w:r>
              <w:rPr>
                <w:rFonts w:ascii="Calibri" w:cs="Calibri" w:eastAsia="Calibri" w:hAnsi="Calibri"/>
                <w:color w:val="222222"/>
                <w:sz w:val="22"/>
                <w:szCs w:val="22"/>
              </w:rPr>
              <w:t xml:space="preserve">In Stock · Ships in 3–5 Business Days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0F0" w:sz="4"/>
              <w:left w:val="single" w:color="6D93DC" w:sz="24"/>
              <w:bottom w:val="single" w:color="F0F0F0" w:sz="4"/>
              <w:right w:val="single" w:color="F0F0F0" w:sz="4"/>
            </w:tcBorders>
            <w:shd w:fill="F0F0F0" w:color="auto" w:val="clear"/>
            <w:tcMar>
              <w:top w:type="dxa" w:w="200"/>
              <w:left w:type="dxa" w:w="240"/>
              <w:bottom w:type="dxa" w:w="200"/>
              <w:right w:type="dxa" w:w="240"/>
            </w:tcMar>
          </w:tcPr>
          <w:p>
            <w:pPr>
              <w:spacing w:after="120"/>
            </w:pPr>
            <w:r>
              <w:rPr>
                <w:rFonts w:ascii="Calibri" w:cs="Calibri" w:eastAsia="Calibri" w:hAnsi="Calibri"/>
                <w:b/>
                <w:bCs/>
                <w:color w:val="6D93DC"/>
                <w:sz w:val="26"/>
                <w:szCs w:val="26"/>
              </w:rPr>
              <w:t xml:space="preserve">Benefit Bullets (Full, Untruncated)</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Clinically studied GLP-1 receptor agonist designed to support sustainable, long-term weight loss</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Regulates appetite and reduces cravings between meals</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Convenient sublingual delivery — no needles, no injection sites, no sharps disposal</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Personalized dosing reviewed and adjusted by a licensed clinician</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Ships free from a licensed compounding pharmacy, fully tracked</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PRIMARY CTA:</w:t>
            </w:r>
          </w:p>
          <w:p>
            <w:pPr>
              <w:spacing w:after="100" w:line="280"/>
            </w:pPr>
            <w:r>
              <w:rPr>
                <w:rFonts w:ascii="Calibri" w:cs="Calibri" w:eastAsia="Calibri" w:hAnsi="Calibri"/>
                <w:color w:val="222222"/>
                <w:sz w:val="22"/>
                <w:szCs w:val="22"/>
              </w:rPr>
              <w:t xml:space="preserve">Take The 2-Minute Quiz →</w:t>
            </w:r>
          </w:p>
          <w:p>
            <w:pPr>
              <w:spacing w:after="100" w:line="280"/>
            </w:pPr>
            <w:r>
              <w:rPr>
                <w:rFonts w:ascii="Calibri" w:cs="Calibri" w:eastAsia="Calibri" w:hAnsi="Calibri"/>
                <w:b/>
                <w:bCs/>
                <w:color w:val="222222"/>
                <w:sz w:val="22"/>
                <w:szCs w:val="22"/>
              </w:rPr>
              <w:t xml:space="preserve">SECONDARY CTA (text link under primary):</w:t>
            </w:r>
          </w:p>
          <w:p>
            <w:pPr>
              <w:spacing w:after="100" w:line="280"/>
            </w:pPr>
            <w:r>
              <w:rPr>
                <w:rFonts w:ascii="Calibri" w:cs="Calibri" w:eastAsia="Calibri" w:hAnsi="Calibri"/>
                <w:color w:val="222222"/>
                <w:sz w:val="22"/>
                <w:szCs w:val="22"/>
              </w:rPr>
              <w:t xml:space="preserve">Talk to a Provider First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0F0" w:sz="4"/>
              <w:left w:val="single" w:color="6D93DC" w:sz="24"/>
              <w:bottom w:val="single" w:color="F0F0F0" w:sz="4"/>
              <w:right w:val="single" w:color="F0F0F0" w:sz="4"/>
            </w:tcBorders>
            <w:shd w:fill="F0F0F0" w:color="auto" w:val="clear"/>
            <w:tcMar>
              <w:top w:type="dxa" w:w="200"/>
              <w:left w:type="dxa" w:w="240"/>
              <w:bottom w:type="dxa" w:w="200"/>
              <w:right w:type="dxa" w:w="240"/>
            </w:tcMar>
          </w:tcPr>
          <w:p>
            <w:pPr>
              <w:spacing w:after="120"/>
            </w:pPr>
            <w:r>
              <w:rPr>
                <w:rFonts w:ascii="Calibri" w:cs="Calibri" w:eastAsia="Calibri" w:hAnsi="Calibri"/>
                <w:b/>
                <w:bCs/>
                <w:color w:val="6D93DC"/>
                <w:sz w:val="26"/>
                <w:szCs w:val="26"/>
              </w:rPr>
              <w:t xml:space="preserve">Section 1 — How Sublingual Semaglutide Works</w:t>
            </w:r>
          </w:p>
          <w:p>
            <w:pPr>
              <w:spacing w:after="100" w:line="280"/>
            </w:pPr>
            <w:r>
              <w:rPr>
                <w:rFonts w:ascii="Calibri" w:cs="Calibri" w:eastAsia="Calibri" w:hAnsi="Calibri"/>
                <w:b/>
                <w:bCs/>
                <w:color w:val="222222"/>
                <w:sz w:val="22"/>
                <w:szCs w:val="22"/>
              </w:rPr>
              <w:t xml:space="preserve">SECTION 1 HEADER (currently "What are GLP-1 Injections?"):</w:t>
            </w:r>
          </w:p>
          <w:p>
            <w:pPr>
              <w:spacing w:after="100" w:line="280"/>
            </w:pPr>
            <w:r>
              <w:rPr>
                <w:rFonts w:ascii="Calibri" w:cs="Calibri" w:eastAsia="Calibri" w:hAnsi="Calibri"/>
                <w:color w:val="222222"/>
                <w:sz w:val="22"/>
                <w:szCs w:val="22"/>
              </w:rPr>
              <w:t xml:space="preserve">Rename to: "How Sublingual Semaglutide Works"</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SECTION 1 BODY:</w:t>
            </w:r>
          </w:p>
          <w:p>
            <w:pPr>
              <w:spacing w:after="100" w:line="280"/>
            </w:pPr>
            <w:r>
              <w:rPr>
                <w:rFonts w:ascii="Calibri" w:cs="Calibri" w:eastAsia="Calibri" w:hAnsi="Calibri"/>
                <w:color w:val="222222"/>
                <w:sz w:val="22"/>
                <w:szCs w:val="22"/>
              </w:rPr>
              <w:t xml:space="preserve">Semaglutide is a GLP-1 receptor agonist — a class of medications originally developed for type 2 diabetes and now widely used for weight management. It works by signaling fullness, slowing gastric emptying, and reducing food noise and cravings. Most clinical research has been done on injectable forms. Compounded sublingual semaglutide delivers the same active molecule under the tongue, where it is absorbed through the oral mucosa. For patients who don’t tolerate injections or prefer a daily oral dose, sublingual is a practical alternative — when prescribed and monitored by a clinician.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0F0" w:sz="4"/>
              <w:left w:val="single" w:color="6D93DC" w:sz="24"/>
              <w:bottom w:val="single" w:color="F0F0F0" w:sz="4"/>
              <w:right w:val="single" w:color="F0F0F0" w:sz="4"/>
            </w:tcBorders>
            <w:shd w:fill="F0F0F0" w:color="auto" w:val="clear"/>
            <w:tcMar>
              <w:top w:type="dxa" w:w="200"/>
              <w:left w:type="dxa" w:w="240"/>
              <w:bottom w:type="dxa" w:w="200"/>
              <w:right w:type="dxa" w:w="240"/>
            </w:tcMar>
          </w:tcPr>
          <w:p>
            <w:pPr>
              <w:spacing w:after="120"/>
            </w:pPr>
            <w:r>
              <w:rPr>
                <w:rFonts w:ascii="Calibri" w:cs="Calibri" w:eastAsia="Calibri" w:hAnsi="Calibri"/>
                <w:b/>
                <w:bCs/>
                <w:color w:val="6D93DC"/>
                <w:sz w:val="26"/>
                <w:szCs w:val="26"/>
              </w:rPr>
              <w:t xml:space="preserve">Section 2 — Who Sublingual Semaglutide Is For</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Adults with a BMI of 27+ (with comorbidities) or 30+</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People who have struggled with appetite regulation despite diet and exercise</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Patients who don’t want to self-inject</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Anyone seeking a clinician-guided weight loss program rather than a DIY approach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0F0" w:sz="4"/>
              <w:left w:val="single" w:color="6D93DC" w:sz="24"/>
              <w:bottom w:val="single" w:color="F0F0F0" w:sz="4"/>
              <w:right w:val="single" w:color="F0F0F0" w:sz="4"/>
            </w:tcBorders>
            <w:shd w:fill="F0F0F0" w:color="auto" w:val="clear"/>
            <w:tcMar>
              <w:top w:type="dxa" w:w="200"/>
              <w:left w:type="dxa" w:w="240"/>
              <w:bottom w:type="dxa" w:w="200"/>
              <w:right w:type="dxa" w:w="240"/>
            </w:tcMar>
          </w:tcPr>
          <w:p>
            <w:pPr>
              <w:spacing w:after="120"/>
            </w:pPr>
            <w:r>
              <w:rPr>
                <w:rFonts w:ascii="Calibri" w:cs="Calibri" w:eastAsia="Calibri" w:hAnsi="Calibri"/>
                <w:b/>
                <w:bCs/>
                <w:color w:val="6D93DC"/>
                <w:sz w:val="26"/>
                <w:szCs w:val="26"/>
              </w:rPr>
              <w:t xml:space="preserve">Section 3 — What This Program Is Not</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Not a quick fix. Sustainable results take 3–6 months minimum.</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Not for everyone. Some patients are better served by injectable GLP-1s, lifestyle programs, or other interventions. Your provider will tell you honestly.</w:t>
            </w:r>
          </w:p>
          <w:p>
            <w:pPr>
              <w:spacing w:after="60" w:line="28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Not a pill mill. Every prescription requires a clinical evaluation, and ongoing dosing is reviewed by your provider.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0F0" w:sz="4"/>
              <w:left w:val="single" w:color="6D93DC" w:sz="24"/>
              <w:bottom w:val="single" w:color="F0F0F0" w:sz="4"/>
              <w:right w:val="single" w:color="F0F0F0" w:sz="4"/>
            </w:tcBorders>
            <w:shd w:fill="F0F0F0" w:color="auto" w:val="clear"/>
            <w:tcMar>
              <w:top w:type="dxa" w:w="200"/>
              <w:left w:type="dxa" w:w="240"/>
              <w:bottom w:type="dxa" w:w="200"/>
              <w:right w:type="dxa" w:w="240"/>
            </w:tcMar>
          </w:tcPr>
          <w:p>
            <w:pPr>
              <w:spacing w:after="120"/>
            </w:pPr>
            <w:r>
              <w:rPr>
                <w:rFonts w:ascii="Calibri" w:cs="Calibri" w:eastAsia="Calibri" w:hAnsi="Calibri"/>
                <w:b/>
                <w:bCs/>
                <w:color w:val="6D93DC"/>
                <w:sz w:val="26"/>
                <w:szCs w:val="26"/>
              </w:rPr>
              <w:t xml:space="preserve">Section 4 — One Medical Team That Holds The Whole Picture</w:t>
            </w:r>
          </w:p>
          <w:p>
            <w:pPr>
              <w:spacing w:after="100" w:line="280"/>
            </w:pPr>
            <w:r>
              <w:rPr>
                <w:rFonts w:ascii="Calibri" w:cs="Calibri" w:eastAsia="Calibri" w:hAnsi="Calibri"/>
                <w:color w:val="222222"/>
                <w:sz w:val="22"/>
                <w:szCs w:val="22"/>
              </w:rPr>
              <w:t xml:space="preserve">Sublingual Semaglutide doesn’t have to exist in a silo. Our clinicians can coordinate it with peptide protocols, hormone optimization (TRT/HRT), NAD+ programs, and even regenerative therapy — so your weight loss plan plugs into your bigger longevity strategy instead of competing with 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0F0" w:sz="4"/>
              <w:left w:val="single" w:color="6D93DC" w:sz="24"/>
              <w:bottom w:val="single" w:color="F0F0F0" w:sz="4"/>
              <w:right w:val="single" w:color="F0F0F0" w:sz="4"/>
            </w:tcBorders>
            <w:shd w:fill="F0F0F0" w:color="auto" w:val="clear"/>
            <w:tcMar>
              <w:top w:type="dxa" w:w="200"/>
              <w:left w:type="dxa" w:w="240"/>
              <w:bottom w:type="dxa" w:w="200"/>
              <w:right w:type="dxa" w:w="240"/>
            </w:tcMar>
          </w:tcPr>
          <w:p>
            <w:pPr>
              <w:spacing w:after="120"/>
            </w:pPr>
            <w:r>
              <w:rPr>
                <w:rFonts w:ascii="Calibri" w:cs="Calibri" w:eastAsia="Calibri" w:hAnsi="Calibri"/>
                <w:b/>
                <w:bCs/>
                <w:color w:val="6D93DC"/>
                <w:sz w:val="26"/>
                <w:szCs w:val="26"/>
              </w:rPr>
              <w:t xml:space="preserve">Section 5 — Just Four Steps</w:t>
            </w:r>
          </w:p>
          <w:p>
            <w:pPr>
              <w:spacing w:after="100" w:line="280"/>
            </w:pPr>
            <w:r>
              <w:rPr>
                <w:rFonts w:ascii="Calibri" w:cs="Calibri" w:eastAsia="Calibri" w:hAnsi="Calibri"/>
                <w:color w:val="222222"/>
                <w:sz w:val="22"/>
                <w:szCs w:val="22"/>
              </w:rPr>
              <w:t xml:space="preserve">1.  Take the 2-minute quiz to share your goals, history, and current health.</w:t>
            </w:r>
          </w:p>
          <w:p>
            <w:pPr>
              <w:spacing w:after="100" w:line="280"/>
            </w:pPr>
            <w:r>
              <w:rPr>
                <w:rFonts w:ascii="Calibri" w:cs="Calibri" w:eastAsia="Calibri" w:hAnsi="Calibri"/>
                <w:color w:val="222222"/>
                <w:sz w:val="22"/>
                <w:szCs w:val="22"/>
              </w:rPr>
              <w:t xml:space="preserve">2.  Connect with a licensed clinician via telehealth. Labs ordered if needed.</w:t>
            </w:r>
          </w:p>
          <w:p>
            <w:pPr>
              <w:spacing w:after="100" w:line="280"/>
            </w:pPr>
            <w:r>
              <w:rPr>
                <w:rFonts w:ascii="Calibri" w:cs="Calibri" w:eastAsia="Calibri" w:hAnsi="Calibri"/>
                <w:color w:val="222222"/>
                <w:sz w:val="22"/>
                <w:szCs w:val="22"/>
              </w:rPr>
              <w:t xml:space="preserve">3.  Your provider builds a personalized dosing protocol. Medication ships within 3–5 business days.</w:t>
            </w:r>
          </w:p>
          <w:p>
            <w:pPr>
              <w:spacing w:after="100" w:line="280"/>
            </w:pPr>
            <w:r>
              <w:rPr>
                <w:rFonts w:ascii="Calibri" w:cs="Calibri" w:eastAsia="Calibri" w:hAnsi="Calibri"/>
                <w:color w:val="222222"/>
                <w:sz w:val="22"/>
                <w:szCs w:val="22"/>
              </w:rPr>
              <w:t xml:space="preserve">4.  Ongoing check-ins and dosing adjustments to keep you progressing safely.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0F0" w:sz="4"/>
              <w:left w:val="single" w:color="6D93DC" w:sz="24"/>
              <w:bottom w:val="single" w:color="F0F0F0" w:sz="4"/>
              <w:right w:val="single" w:color="F0F0F0" w:sz="4"/>
            </w:tcBorders>
            <w:shd w:fill="F0F0F0" w:color="auto" w:val="clear"/>
            <w:tcMar>
              <w:top w:type="dxa" w:w="200"/>
              <w:left w:type="dxa" w:w="240"/>
              <w:bottom w:type="dxa" w:w="200"/>
              <w:right w:type="dxa" w:w="240"/>
            </w:tcMar>
          </w:tcPr>
          <w:p>
            <w:pPr>
              <w:spacing w:after="120"/>
            </w:pPr>
            <w:r>
              <w:rPr>
                <w:rFonts w:ascii="Calibri" w:cs="Calibri" w:eastAsia="Calibri" w:hAnsi="Calibri"/>
                <w:b/>
                <w:bCs/>
                <w:color w:val="6D93DC"/>
                <w:sz w:val="26"/>
                <w:szCs w:val="26"/>
              </w:rPr>
              <w:t xml:space="preserve">Section 6 — Frequently Asked Questions</w:t>
            </w:r>
          </w:p>
          <w:p>
            <w:pPr>
              <w:spacing w:after="100" w:line="280"/>
            </w:pPr>
            <w:r>
              <w:rPr>
                <w:rFonts w:ascii="Calibri" w:cs="Calibri" w:eastAsia="Calibri" w:hAnsi="Calibri"/>
                <w:b/>
                <w:bCs/>
                <w:color w:val="222222"/>
                <w:sz w:val="22"/>
                <w:szCs w:val="22"/>
              </w:rPr>
              <w:t xml:space="preserve">Q: Is sublingual semaglutide as effective as injectable?</w:t>
            </w:r>
          </w:p>
          <w:p>
            <w:pPr>
              <w:spacing w:after="100" w:line="280"/>
            </w:pPr>
            <w:r>
              <w:rPr>
                <w:rFonts w:ascii="Calibri" w:cs="Calibri" w:eastAsia="Calibri" w:hAnsi="Calibri"/>
                <w:color w:val="222222"/>
                <w:sz w:val="22"/>
                <w:szCs w:val="22"/>
              </w:rPr>
              <w:t xml:space="preserve">A: Both forms deliver the same active molecule. Injectable semaglutide has more published clinical data. Sublingual is a practical alternative for patients who prefer not to inject, and many patients see meaningful results — but your provider will help you decide which form is right for you.</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Q: How quickly will I see results?</w:t>
            </w:r>
          </w:p>
          <w:p>
            <w:pPr>
              <w:spacing w:after="100" w:line="280"/>
            </w:pPr>
            <w:r>
              <w:rPr>
                <w:rFonts w:ascii="Calibri" w:cs="Calibri" w:eastAsia="Calibri" w:hAnsi="Calibri"/>
                <w:color w:val="222222"/>
                <w:sz w:val="22"/>
                <w:szCs w:val="22"/>
              </w:rPr>
              <w:t xml:space="preserve">A: Most patients begin noticing reduced appetite within the first 1–2 weeks and meaningful weight loss within 4–8 weeks. Sustainable change takes 3–6 months.</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Q: Do I need lab work?</w:t>
            </w:r>
          </w:p>
          <w:p>
            <w:pPr>
              <w:spacing w:after="100" w:line="280"/>
            </w:pPr>
            <w:r>
              <w:rPr>
                <w:rFonts w:ascii="Calibri" w:cs="Calibri" w:eastAsia="Calibri" w:hAnsi="Calibri"/>
                <w:color w:val="222222"/>
                <w:sz w:val="22"/>
                <w:szCs w:val="22"/>
              </w:rPr>
              <w:t xml:space="preserve">A: Yes. Baseline labs are typically required before starting, and follow-up labs may be ordered depending on your protocol. We coordinate this through our national lab network.</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Q: What are the side effects?</w:t>
            </w:r>
          </w:p>
          <w:p>
            <w:pPr>
              <w:spacing w:after="100" w:line="280"/>
            </w:pPr>
            <w:r>
              <w:rPr>
                <w:rFonts w:ascii="Calibri" w:cs="Calibri" w:eastAsia="Calibri" w:hAnsi="Calibri"/>
                <w:color w:val="222222"/>
                <w:sz w:val="22"/>
                <w:szCs w:val="22"/>
              </w:rPr>
              <w:t xml:space="preserve">A: Common side effects include nausea, reduced appetite, and mild GI changes, especially in the first few weeks. Your provider will discuss the full risk profile during your consultation.</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Q: Can I combine this with other Regenerative Revival programs?</w:t>
            </w:r>
          </w:p>
          <w:p>
            <w:pPr>
              <w:spacing w:after="100" w:line="280"/>
            </w:pPr>
            <w:r>
              <w:rPr>
                <w:rFonts w:ascii="Calibri" w:cs="Calibri" w:eastAsia="Calibri" w:hAnsi="Calibri"/>
                <w:color w:val="222222"/>
                <w:sz w:val="22"/>
                <w:szCs w:val="22"/>
              </w:rPr>
              <w:t xml:space="preserve">A: Yes. Many patients pair GLP-1 programs with peptide therapy, hormone optimization, or NAD+ for a coordinated longevity plan.</w:t>
            </w:r>
          </w:p>
          <w:p>
            <w:pPr>
              <w:spacing w:after="100" w:line="280"/>
            </w:pPr>
            <w:r>
              <w:rPr>
                <w:rFonts w:ascii="Calibri" w:cs="Calibri" w:eastAsia="Calibri" w:hAnsi="Calibri"/>
                <w:color w:val="222222"/>
                <w:sz w:val="22"/>
                <w:szCs w:val="22"/>
              </w:rPr>
              <w:t xml:space="preserve"/>
            </w:r>
          </w:p>
          <w:p>
            <w:pPr>
              <w:spacing w:after="100" w:line="280"/>
            </w:pPr>
            <w:r>
              <w:rPr>
                <w:rFonts w:ascii="Calibri" w:cs="Calibri" w:eastAsia="Calibri" w:hAnsi="Calibri"/>
                <w:b/>
                <w:bCs/>
                <w:color w:val="222222"/>
                <w:sz w:val="22"/>
                <w:szCs w:val="22"/>
              </w:rPr>
              <w:t xml:space="preserve">Q: Is this covered by insurance?</w:t>
            </w:r>
          </w:p>
          <w:p>
            <w:pPr>
              <w:spacing w:after="100" w:line="280"/>
            </w:pPr>
            <w:r>
              <w:rPr>
                <w:rFonts w:ascii="Calibri" w:cs="Calibri" w:eastAsia="Calibri" w:hAnsi="Calibri"/>
                <w:color w:val="222222"/>
                <w:sz w:val="22"/>
                <w:szCs w:val="22"/>
              </w:rPr>
              <w:t xml:space="preserve">A: No. Compounded GLP-1 programs are typically cash-pay. Pricing is transparent and includes provider consults, prescription, and shipping.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0F0" w:sz="4"/>
              <w:left w:val="single" w:color="6D93DC" w:sz="24"/>
              <w:bottom w:val="single" w:color="F0F0F0" w:sz="4"/>
              <w:right w:val="single" w:color="F0F0F0" w:sz="4"/>
            </w:tcBorders>
            <w:shd w:fill="F0F0F0" w:color="auto" w:val="clear"/>
            <w:tcMar>
              <w:top w:type="dxa" w:w="200"/>
              <w:left w:type="dxa" w:w="240"/>
              <w:bottom w:type="dxa" w:w="200"/>
              <w:right w:type="dxa" w:w="240"/>
            </w:tcMar>
          </w:tcPr>
          <w:p>
            <w:pPr>
              <w:spacing w:after="120"/>
            </w:pPr>
            <w:r>
              <w:rPr>
                <w:rFonts w:ascii="Calibri" w:cs="Calibri" w:eastAsia="Calibri" w:hAnsi="Calibri"/>
                <w:b/>
                <w:bCs/>
                <w:color w:val="6D93DC"/>
                <w:sz w:val="26"/>
                <w:szCs w:val="26"/>
              </w:rPr>
              <w:t xml:space="preserve">Disclaimer (footer of product page, small)</w:t>
            </w:r>
          </w:p>
          <w:p>
            <w:pPr>
              <w:spacing w:after="100" w:line="280"/>
            </w:pPr>
            <w:r>
              <w:rPr>
                <w:rFonts w:ascii="Calibri" w:cs="Calibri" w:eastAsia="Calibri" w:hAnsi="Calibri"/>
                <w:i/>
                <w:iCs/>
                <w:color w:val="222222"/>
                <w:sz w:val="22"/>
                <w:szCs w:val="22"/>
              </w:rPr>
              <w:t xml:space="preserve">Compounded medications are not FDA-approved drugs. They are prepared by licensed compounding pharmacies based on a clinician’s prescription for an individual patient. Individual results vary. A medical evaluation is required to determine if this therapy is appropriate for you. Some uses discussed may be considered off-label.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0F0" w:sz="4"/>
              <w:left w:val="single" w:color="6D93DC" w:sz="24"/>
              <w:bottom w:val="single" w:color="F0F0F0" w:sz="4"/>
              <w:right w:val="single" w:color="F0F0F0" w:sz="4"/>
            </w:tcBorders>
            <w:shd w:fill="F0F0F0" w:color="auto" w:val="clear"/>
            <w:tcMar>
              <w:top w:type="dxa" w:w="200"/>
              <w:left w:type="dxa" w:w="240"/>
              <w:bottom w:type="dxa" w:w="200"/>
              <w:right w:type="dxa" w:w="240"/>
            </w:tcMar>
          </w:tcPr>
          <w:p>
            <w:pPr>
              <w:spacing w:after="120"/>
            </w:pPr>
            <w:r>
              <w:rPr>
                <w:rFonts w:ascii="Calibri" w:cs="Calibri" w:eastAsia="Calibri" w:hAnsi="Calibri"/>
                <w:b/>
                <w:bCs/>
                <w:color w:val="6D93DC"/>
                <w:sz w:val="26"/>
                <w:szCs w:val="26"/>
              </w:rPr>
              <w:t xml:space="preserve">Bottom CTA Section (purple background)</w:t>
            </w:r>
          </w:p>
          <w:p>
            <w:pPr>
              <w:spacing w:after="100" w:line="280"/>
            </w:pPr>
            <w:r>
              <w:rPr>
                <w:rFonts w:ascii="Calibri" w:cs="Calibri" w:eastAsia="Calibri" w:hAnsi="Calibri"/>
                <w:b/>
                <w:bCs/>
                <w:color w:val="222222"/>
                <w:sz w:val="22"/>
                <w:szCs w:val="22"/>
              </w:rPr>
              <w:t xml:space="preserve">Headline: "Not sure where to start? Take the 2-minute quiz."</w:t>
            </w:r>
          </w:p>
          <w:p>
            <w:pPr>
              <w:spacing w:after="100" w:line="280"/>
            </w:pPr>
            <w:r>
              <w:rPr>
                <w:rFonts w:ascii="Calibri" w:cs="Calibri" w:eastAsia="Calibri" w:hAnsi="Calibri"/>
                <w:color w:val="222222"/>
                <w:sz w:val="22"/>
                <w:szCs w:val="22"/>
              </w:rPr>
              <w:t xml:space="preserve">Body: Find out which of our programs — Semaglutide, Tirzepatide, peptides, TRT/HRT, or NAD+ — fits your goals.</w:t>
            </w:r>
          </w:p>
          <w:p>
            <w:pPr>
              <w:spacing w:after="100" w:line="280"/>
            </w:pPr>
            <w:r>
              <w:rPr>
                <w:rFonts w:ascii="Calibri" w:cs="Calibri" w:eastAsia="Calibri" w:hAnsi="Calibri"/>
                <w:b/>
                <w:bCs/>
                <w:color w:val="222222"/>
                <w:sz w:val="22"/>
                <w:szCs w:val="22"/>
              </w:rPr>
              <w:t xml:space="preserve">Button: Take The 2-Minute Quiz →</w:t>
            </w:r>
          </w:p>
        </w:tc>
      </w:tr>
    </w:tbl>
    <w:p>
      <w:r>
        <w:br w:type="page"/>
      </w:r>
    </w:p>
    <w:p>
      <w:pPr>
        <w:pStyle w:val="Heading1"/>
        <w:spacing w:after="180" w:before="360"/>
      </w:pPr>
      <w:r>
        <w:rPr>
          <w:rFonts w:ascii="Calibri" w:cs="Calibri" w:eastAsia="Calibri" w:hAnsi="Calibri"/>
          <w:b/>
          <w:bCs/>
          <w:color w:val="583664"/>
          <w:sz w:val="36"/>
          <w:szCs w:val="36"/>
        </w:rPr>
        <w:t xml:space="preserve">Part 8: What We Still Need From ModFX</w:t>
      </w:r>
    </w:p>
    <w:p>
      <w:pPr>
        <w:spacing w:after="120" w:line="300"/>
      </w:pPr>
      <w:r>
        <w:rPr>
          <w:rFonts w:ascii="Calibri" w:cs="Calibri" w:eastAsia="Calibri" w:hAnsi="Calibri"/>
          <w:color w:val="222222"/>
          <w:sz w:val="22"/>
          <w:szCs w:val="22"/>
        </w:rPr>
        <w:t xml:space="preserve">Before any final sign-off, please deliver the following:</w:t>
      </w:r>
    </w:p>
    <w:p>
      <w:pPr>
        <w:pStyle w:val="ListParagraph"/>
        <w:numPr>
          <w:ilvl w:val="0"/>
          <w:numId w:val="2"/>
        </w:numPr>
        <w:spacing w:after="80"/>
      </w:pPr>
      <w:r>
        <w:rPr>
          <w:rFonts w:ascii="Calibri" w:cs="Calibri" w:eastAsia="Calibri" w:hAnsi="Calibri"/>
          <w:color w:val="222222"/>
          <w:sz w:val="22"/>
          <w:szCs w:val="22"/>
        </w:rPr>
        <w:t xml:space="preserve">Hormones &amp; Peptides landing page (the category page, not individual products)</w:t>
      </w:r>
    </w:p>
    <w:p>
      <w:pPr>
        <w:pStyle w:val="ListParagraph"/>
        <w:numPr>
          <w:ilvl w:val="0"/>
          <w:numId w:val="2"/>
        </w:numPr>
        <w:spacing w:after="80"/>
      </w:pPr>
      <w:r>
        <w:rPr>
          <w:rFonts w:ascii="Calibri" w:cs="Calibri" w:eastAsia="Calibri" w:hAnsi="Calibri"/>
          <w:color w:val="222222"/>
          <w:sz w:val="22"/>
          <w:szCs w:val="22"/>
        </w:rPr>
        <w:t xml:space="preserve">TRT and HRT product/program pages</w:t>
      </w:r>
    </w:p>
    <w:p>
      <w:pPr>
        <w:pStyle w:val="ListParagraph"/>
        <w:numPr>
          <w:ilvl w:val="0"/>
          <w:numId w:val="2"/>
        </w:numPr>
        <w:spacing w:after="80"/>
      </w:pPr>
      <w:r>
        <w:rPr>
          <w:rFonts w:ascii="Calibri" w:cs="Calibri" w:eastAsia="Calibri" w:hAnsi="Calibri"/>
          <w:color w:val="222222"/>
          <w:sz w:val="22"/>
          <w:szCs w:val="22"/>
        </w:rPr>
        <w:t xml:space="preserve">NAD+ landing page</w:t>
      </w:r>
    </w:p>
    <w:p>
      <w:pPr>
        <w:pStyle w:val="ListParagraph"/>
        <w:numPr>
          <w:ilvl w:val="0"/>
          <w:numId w:val="2"/>
        </w:numPr>
        <w:spacing w:after="80"/>
      </w:pPr>
      <w:r>
        <w:rPr>
          <w:rFonts w:ascii="Calibri" w:cs="Calibri" w:eastAsia="Calibri" w:hAnsi="Calibri"/>
          <w:color w:val="222222"/>
          <w:sz w:val="22"/>
          <w:szCs w:val="22"/>
        </w:rPr>
        <w:t xml:space="preserve">Regenerative Therapy landing page (with Wharton’s Jelly focus)</w:t>
      </w:r>
    </w:p>
    <w:p>
      <w:pPr>
        <w:pStyle w:val="ListParagraph"/>
        <w:numPr>
          <w:ilvl w:val="0"/>
          <w:numId w:val="2"/>
        </w:numPr>
        <w:spacing w:after="80"/>
      </w:pPr>
      <w:r>
        <w:rPr>
          <w:rFonts w:ascii="Calibri" w:cs="Calibri" w:eastAsia="Calibri" w:hAnsi="Calibri"/>
          <w:color w:val="222222"/>
          <w:sz w:val="22"/>
          <w:szCs w:val="22"/>
        </w:rPr>
        <w:t xml:space="preserve">For Providers page (must be added back to the build)</w:t>
      </w:r>
    </w:p>
    <w:p>
      <w:pPr>
        <w:pStyle w:val="ListParagraph"/>
        <w:numPr>
          <w:ilvl w:val="0"/>
          <w:numId w:val="2"/>
        </w:numPr>
        <w:spacing w:after="80"/>
      </w:pPr>
      <w:r>
        <w:rPr>
          <w:rFonts w:ascii="Calibri" w:cs="Calibri" w:eastAsia="Calibri" w:hAnsi="Calibri"/>
          <w:color w:val="222222"/>
          <w:sz w:val="22"/>
          <w:szCs w:val="22"/>
        </w:rPr>
        <w:t xml:space="preserve">About Seth page or section</w:t>
      </w:r>
    </w:p>
    <w:p>
      <w:pPr>
        <w:pStyle w:val="ListParagraph"/>
        <w:numPr>
          <w:ilvl w:val="0"/>
          <w:numId w:val="2"/>
        </w:numPr>
        <w:spacing w:after="80"/>
      </w:pPr>
      <w:r>
        <w:rPr>
          <w:rFonts w:ascii="Calibri" w:cs="Calibri" w:eastAsia="Calibri" w:hAnsi="Calibri"/>
          <w:color w:val="222222"/>
          <w:sz w:val="22"/>
          <w:szCs w:val="22"/>
        </w:rPr>
        <w:t xml:space="preserve">The full quiz flow (questions, branching logic, and where users land at the end)</w:t>
      </w:r>
    </w:p>
    <w:p>
      <w:pPr>
        <w:pStyle w:val="ListParagraph"/>
        <w:numPr>
          <w:ilvl w:val="0"/>
          <w:numId w:val="2"/>
        </w:numPr>
        <w:spacing w:after="80"/>
      </w:pPr>
      <w:r>
        <w:rPr>
          <w:rFonts w:ascii="Calibri" w:cs="Calibri" w:eastAsia="Calibri" w:hAnsi="Calibri"/>
          <w:color w:val="222222"/>
          <w:sz w:val="22"/>
          <w:szCs w:val="22"/>
        </w:rPr>
        <w:t xml:space="preserve">Mobile mockups of every page above</w:t>
      </w:r>
    </w:p>
    <w:p>
      <w:pPr>
        <w:pStyle w:val="ListParagraph"/>
        <w:numPr>
          <w:ilvl w:val="0"/>
          <w:numId w:val="2"/>
        </w:numPr>
        <w:spacing w:after="80"/>
      </w:pPr>
      <w:r>
        <w:rPr>
          <w:rFonts w:ascii="Calibri" w:cs="Calibri" w:eastAsia="Calibri" w:hAnsi="Calibri"/>
          <w:color w:val="222222"/>
          <w:sz w:val="22"/>
          <w:szCs w:val="22"/>
        </w:rPr>
        <w:t xml:space="preserve">Footer design (compliance disclaimers, contact, lab/pharmacy partner credits)</w:t>
      </w:r>
    </w:p>
    <w:p>
      <w:r>
        <w:br w:type="page"/>
      </w:r>
    </w:p>
    <w:p>
      <w:pPr>
        <w:pStyle w:val="Heading1"/>
        <w:spacing w:after="180" w:before="360"/>
      </w:pPr>
      <w:r>
        <w:rPr>
          <w:rFonts w:ascii="Calibri" w:cs="Calibri" w:eastAsia="Calibri" w:hAnsi="Calibri"/>
          <w:b/>
          <w:bCs/>
          <w:color w:val="583664"/>
          <w:sz w:val="36"/>
          <w:szCs w:val="36"/>
        </w:rPr>
        <w:t xml:space="preserve">Part 9: Summary of Decisions (Final Checklist for ModFX)</w:t>
      </w:r>
    </w:p>
    <w:p>
      <w:pPr>
        <w:pStyle w:val="Heading2"/>
        <w:spacing w:after="140" w:before="280"/>
      </w:pPr>
      <w:r>
        <w:rPr>
          <w:rFonts w:ascii="Calibri" w:cs="Calibri" w:eastAsia="Calibri" w:hAnsi="Calibri"/>
          <w:b/>
          <w:bCs/>
          <w:color w:val="6D93DC"/>
          <w:sz w:val="28"/>
          <w:szCs w:val="28"/>
        </w:rPr>
        <w:t xml:space="preserve">CRITICAL — Resolve before next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5E5" w:sz="4"/>
              <w:left w:val="single" w:color="C2185B" w:sz="24"/>
              <w:bottom w:val="single" w:color="FFE5E5" w:sz="4"/>
              <w:right w:val="single" w:color="FFE5E5" w:sz="4"/>
            </w:tcBorders>
            <w:shd w:fill="FFE5E5" w:color="auto" w:val="clear"/>
            <w:tcMar>
              <w:top w:type="dxa" w:w="200"/>
              <w:left w:type="dxa" w:w="240"/>
              <w:bottom w:type="dxa" w:w="200"/>
              <w:right w:type="dxa" w:w="240"/>
            </w:tcMar>
          </w:tcPr>
          <w:p>
            <w:pPr>
              <w:spacing w:after="100" w:line="280"/>
            </w:pPr>
            <w:r>
              <w:rPr>
                <w:rFonts w:ascii="Calibri" w:cs="Calibri" w:eastAsia="Calibri" w:hAnsi="Calibri"/>
                <w:b/>
                <w:bCs/>
                <w:color w:val="222222"/>
                <w:sz w:val="22"/>
                <w:szCs w:val="22"/>
              </w:rPr>
              <w:t xml:space="preserve">☐  Remove "For Research Use Only / Not for Human Use" from product label. Replace with prescription-compliant label text (see Part 2).</w:t>
            </w:r>
          </w:p>
        </w:tc>
      </w:tr>
    </w:tbl>
    <w:p>
      <w:r>
        <w:t xml:space="preserve"/>
      </w:r>
    </w:p>
    <w:p>
      <w:pPr>
        <w:pStyle w:val="Heading2"/>
        <w:spacing w:after="140" w:before="280"/>
      </w:pPr>
      <w:r>
        <w:rPr>
          <w:rFonts w:ascii="Calibri" w:cs="Calibri" w:eastAsia="Calibri" w:hAnsi="Calibri"/>
          <w:b/>
          <w:bCs/>
          <w:color w:val="6D93DC"/>
          <w:sz w:val="28"/>
          <w:szCs w:val="28"/>
        </w:rPr>
        <w:t xml:space="preserve">Home Page</w:t>
      </w:r>
    </w:p>
    <w:p>
      <w:pPr>
        <w:spacing w:after="80"/>
        <w:ind w:left="360"/>
      </w:pPr>
      <w:r>
        <w:rPr>
          <w:rFonts w:ascii="Calibri" w:cs="Calibri" w:eastAsia="Calibri" w:hAnsi="Calibri"/>
          <w:color w:val="222222"/>
          <w:sz w:val="22"/>
          <w:szCs w:val="22"/>
        </w:rPr>
        <w:t xml:space="preserve">☐  </w:t>
      </w:r>
      <w:r>
        <w:rPr>
          <w:rFonts w:ascii="Calibri" w:cs="Calibri" w:eastAsia="Calibri" w:hAnsi="Calibri"/>
          <w:color w:val="222222"/>
          <w:sz w:val="22"/>
          <w:szCs w:val="22"/>
        </w:rPr>
        <w:t xml:space="preserve">Use Prototype 3 (body + data overlay) as the home page direction</w:t>
      </w:r>
    </w:p>
    <w:p>
      <w:pPr>
        <w:spacing w:after="80"/>
        <w:ind w:left="360"/>
      </w:pPr>
      <w:r>
        <w:rPr>
          <w:rFonts w:ascii="Calibri" w:cs="Calibri" w:eastAsia="Calibri" w:hAnsi="Calibri"/>
          <w:color w:val="222222"/>
          <w:sz w:val="22"/>
          <w:szCs w:val="22"/>
        </w:rPr>
        <w:t xml:space="preserve">☐  </w:t>
      </w:r>
      <w:r>
        <w:rPr>
          <w:rFonts w:ascii="Calibri" w:cs="Calibri" w:eastAsia="Calibri" w:hAnsi="Calibri"/>
          <w:color w:val="222222"/>
          <w:sz w:val="22"/>
          <w:szCs w:val="22"/>
        </w:rPr>
        <w:t xml:space="preserve">Replace placeholder data noise with brand-relevant biomarkers/categories</w:t>
      </w:r>
    </w:p>
    <w:p>
      <w:pPr>
        <w:spacing w:after="80"/>
        <w:ind w:left="360"/>
      </w:pPr>
      <w:r>
        <w:rPr>
          <w:rFonts w:ascii="Calibri" w:cs="Calibri" w:eastAsia="Calibri" w:hAnsi="Calibri"/>
          <w:color w:val="222222"/>
          <w:sz w:val="22"/>
          <w:szCs w:val="22"/>
        </w:rPr>
        <w:t xml:space="preserve">☐  </w:t>
      </w:r>
      <w:r>
        <w:rPr>
          <w:rFonts w:ascii="Calibri" w:cs="Calibri" w:eastAsia="Calibri" w:hAnsi="Calibri"/>
          <w:color w:val="222222"/>
          <w:sz w:val="22"/>
          <w:szCs w:val="22"/>
        </w:rPr>
        <w:t xml:space="preserve">Standardize copy to "best decade" (not "next decade")</w:t>
      </w:r>
    </w:p>
    <w:p>
      <w:pPr>
        <w:spacing w:after="80"/>
        <w:ind w:left="360"/>
      </w:pPr>
      <w:r>
        <w:rPr>
          <w:rFonts w:ascii="Calibri" w:cs="Calibri" w:eastAsia="Calibri" w:hAnsi="Calibri"/>
          <w:color w:val="222222"/>
          <w:sz w:val="22"/>
          <w:szCs w:val="22"/>
        </w:rPr>
        <w:t xml:space="preserve">☐  </w:t>
      </w:r>
      <w:r>
        <w:rPr>
          <w:rFonts w:ascii="Calibri" w:cs="Calibri" w:eastAsia="Calibri" w:hAnsi="Calibri"/>
          <w:color w:val="222222"/>
          <w:sz w:val="22"/>
          <w:szCs w:val="22"/>
        </w:rPr>
        <w:t xml:space="preserve">Standardize stat to "50+ States Covered"</w:t>
      </w:r>
    </w:p>
    <w:p>
      <w:pPr>
        <w:spacing w:after="80"/>
        <w:ind w:left="360"/>
      </w:pPr>
      <w:r>
        <w:rPr>
          <w:rFonts w:ascii="Calibri" w:cs="Calibri" w:eastAsia="Calibri" w:hAnsi="Calibri"/>
          <w:color w:val="222222"/>
          <w:sz w:val="22"/>
          <w:szCs w:val="22"/>
        </w:rPr>
        <w:t xml:space="preserve">☐  </w:t>
      </w:r>
      <w:r>
        <w:rPr>
          <w:rFonts w:ascii="Calibri" w:cs="Calibri" w:eastAsia="Calibri" w:hAnsi="Calibri"/>
          <w:color w:val="222222"/>
          <w:sz w:val="22"/>
          <w:szCs w:val="22"/>
        </w:rPr>
        <w:t xml:space="preserve">Use rewritten hero copy (see Part 6)</w:t>
      </w:r>
    </w:p>
    <w:p>
      <w:pPr>
        <w:spacing w:after="80"/>
        <w:ind w:left="360"/>
      </w:pPr>
      <w:r>
        <w:rPr>
          <w:rFonts w:ascii="Calibri" w:cs="Calibri" w:eastAsia="Calibri" w:hAnsi="Calibri"/>
          <w:color w:val="222222"/>
          <w:sz w:val="22"/>
          <w:szCs w:val="22"/>
        </w:rPr>
        <w:t xml:space="preserve">☐  </w:t>
      </w:r>
      <w:r>
        <w:rPr>
          <w:rFonts w:ascii="Calibri" w:cs="Calibri" w:eastAsia="Calibri" w:hAnsi="Calibri"/>
          <w:color w:val="222222"/>
          <w:sz w:val="22"/>
          <w:szCs w:val="22"/>
        </w:rPr>
        <w:t xml:space="preserve">Restore "For Providers" to main navigation</w:t>
      </w:r>
    </w:p>
    <w:p>
      <w:pPr>
        <w:pStyle w:val="Heading2"/>
        <w:spacing w:after="140" w:before="280"/>
      </w:pPr>
      <w:r>
        <w:rPr>
          <w:rFonts w:ascii="Calibri" w:cs="Calibri" w:eastAsia="Calibri" w:hAnsi="Calibri"/>
          <w:b/>
          <w:bCs/>
          <w:color w:val="6D93DC"/>
          <w:sz w:val="28"/>
          <w:szCs w:val="28"/>
        </w:rPr>
        <w:t xml:space="preserve">Product Page</w:t>
      </w:r>
    </w:p>
    <w:p>
      <w:pPr>
        <w:spacing w:after="80"/>
        <w:ind w:left="360"/>
      </w:pPr>
      <w:r>
        <w:rPr>
          <w:rFonts w:ascii="Calibri" w:cs="Calibri" w:eastAsia="Calibri" w:hAnsi="Calibri"/>
          <w:color w:val="222222"/>
          <w:sz w:val="22"/>
          <w:szCs w:val="22"/>
        </w:rPr>
        <w:t xml:space="preserve">☐  </w:t>
      </w:r>
      <w:r>
        <w:rPr>
          <w:rFonts w:ascii="Calibri" w:cs="Calibri" w:eastAsia="Calibri" w:hAnsi="Calibri"/>
          <w:color w:val="222222"/>
          <w:sz w:val="22"/>
          <w:szCs w:val="22"/>
        </w:rPr>
        <w:t xml:space="preserve">Use Prototype 4 colors (navy CTA, magenta nav)</w:t>
      </w:r>
    </w:p>
    <w:p>
      <w:pPr>
        <w:spacing w:after="80"/>
        <w:ind w:left="360"/>
      </w:pPr>
      <w:r>
        <w:rPr>
          <w:rFonts w:ascii="Calibri" w:cs="Calibri" w:eastAsia="Calibri" w:hAnsi="Calibri"/>
          <w:color w:val="222222"/>
          <w:sz w:val="22"/>
          <w:szCs w:val="22"/>
        </w:rPr>
        <w:t xml:space="preserve">☐  </w:t>
      </w:r>
      <w:r>
        <w:rPr>
          <w:rFonts w:ascii="Calibri" w:cs="Calibri" w:eastAsia="Calibri" w:hAnsi="Calibri"/>
          <w:color w:val="222222"/>
          <w:sz w:val="22"/>
          <w:szCs w:val="22"/>
        </w:rPr>
        <w:t xml:space="preserve">Use rewritten product page copy (see Part 7)</w:t>
      </w:r>
    </w:p>
    <w:p>
      <w:pPr>
        <w:spacing w:after="80"/>
        <w:ind w:left="360"/>
      </w:pPr>
      <w:r>
        <w:rPr>
          <w:rFonts w:ascii="Calibri" w:cs="Calibri" w:eastAsia="Calibri" w:hAnsi="Calibri"/>
          <w:color w:val="222222"/>
          <w:sz w:val="22"/>
          <w:szCs w:val="22"/>
        </w:rPr>
        <w:t xml:space="preserve">☐  </w:t>
      </w:r>
      <w:r>
        <w:rPr>
          <w:rFonts w:ascii="Calibri" w:cs="Calibri" w:eastAsia="Calibri" w:hAnsi="Calibri"/>
          <w:color w:val="222222"/>
          <w:sz w:val="22"/>
          <w:szCs w:val="22"/>
        </w:rPr>
        <w:t xml:space="preserve">Fix truncated benefit bullets (layout issue)</w:t>
      </w:r>
    </w:p>
    <w:p>
      <w:pPr>
        <w:spacing w:after="80"/>
        <w:ind w:left="360"/>
      </w:pPr>
      <w:r>
        <w:rPr>
          <w:rFonts w:ascii="Calibri" w:cs="Calibri" w:eastAsia="Calibri" w:hAnsi="Calibri"/>
          <w:color w:val="222222"/>
          <w:sz w:val="22"/>
          <w:szCs w:val="22"/>
        </w:rPr>
        <w:t xml:space="preserve">☐  </w:t>
      </w:r>
      <w:r>
        <w:rPr>
          <w:rFonts w:ascii="Calibri" w:cs="Calibri" w:eastAsia="Calibri" w:hAnsi="Calibri"/>
          <w:color w:val="222222"/>
          <w:sz w:val="22"/>
          <w:szCs w:val="22"/>
        </w:rPr>
        <w:t xml:space="preserve">Add the compliance disclaimer to the footer</w:t>
      </w:r>
    </w:p>
    <w:p>
      <w:pPr>
        <w:pStyle w:val="Heading2"/>
        <w:spacing w:after="140" w:before="280"/>
      </w:pPr>
      <w:r>
        <w:rPr>
          <w:rFonts w:ascii="Calibri" w:cs="Calibri" w:eastAsia="Calibri" w:hAnsi="Calibri"/>
          <w:b/>
          <w:bCs/>
          <w:color w:val="6D93DC"/>
          <w:sz w:val="28"/>
          <w:szCs w:val="28"/>
        </w:rPr>
        <w:t xml:space="preserve">Additional Deliverables Needed</w:t>
      </w:r>
    </w:p>
    <w:p>
      <w:pPr>
        <w:spacing w:after="80"/>
        <w:ind w:left="360"/>
      </w:pPr>
      <w:r>
        <w:rPr>
          <w:rFonts w:ascii="Calibri" w:cs="Calibri" w:eastAsia="Calibri" w:hAnsi="Calibri"/>
          <w:color w:val="222222"/>
          <w:sz w:val="22"/>
          <w:szCs w:val="22"/>
        </w:rPr>
        <w:t xml:space="preserve">☐  </w:t>
      </w:r>
      <w:r>
        <w:rPr>
          <w:rFonts w:ascii="Calibri" w:cs="Calibri" w:eastAsia="Calibri" w:hAnsi="Calibri"/>
          <w:color w:val="222222"/>
          <w:sz w:val="22"/>
          <w:szCs w:val="22"/>
        </w:rPr>
        <w:t xml:space="preserve">Inner page mockups (Hormones &amp; Peptides, TRT, HRT, NAD+, Regenerative, For Providers, About Seth)</w:t>
      </w:r>
    </w:p>
    <w:p>
      <w:pPr>
        <w:spacing w:after="80"/>
        <w:ind w:left="360"/>
      </w:pPr>
      <w:r>
        <w:rPr>
          <w:rFonts w:ascii="Calibri" w:cs="Calibri" w:eastAsia="Calibri" w:hAnsi="Calibri"/>
          <w:color w:val="222222"/>
          <w:sz w:val="22"/>
          <w:szCs w:val="22"/>
        </w:rPr>
        <w:t xml:space="preserve">☐  </w:t>
      </w:r>
      <w:r>
        <w:rPr>
          <w:rFonts w:ascii="Calibri" w:cs="Calibri" w:eastAsia="Calibri" w:hAnsi="Calibri"/>
          <w:color w:val="222222"/>
          <w:sz w:val="22"/>
          <w:szCs w:val="22"/>
        </w:rPr>
        <w:t xml:space="preserve">Quiz flow mockup</w:t>
      </w:r>
    </w:p>
    <w:p>
      <w:pPr>
        <w:spacing w:after="80"/>
        <w:ind w:left="360"/>
      </w:pPr>
      <w:r>
        <w:rPr>
          <w:rFonts w:ascii="Calibri" w:cs="Calibri" w:eastAsia="Calibri" w:hAnsi="Calibri"/>
          <w:color w:val="222222"/>
          <w:sz w:val="22"/>
          <w:szCs w:val="22"/>
        </w:rPr>
        <w:t xml:space="preserve">☐  </w:t>
      </w:r>
      <w:r>
        <w:rPr>
          <w:rFonts w:ascii="Calibri" w:cs="Calibri" w:eastAsia="Calibri" w:hAnsi="Calibri"/>
          <w:color w:val="222222"/>
          <w:sz w:val="22"/>
          <w:szCs w:val="22"/>
        </w:rPr>
        <w:t xml:space="preserve">Mobile mockups for all approved pages</w:t>
      </w:r>
    </w:p>
    <w:p>
      <w:pPr>
        <w:spacing w:after="80"/>
        <w:ind w:left="360"/>
      </w:pPr>
      <w:r>
        <w:rPr>
          <w:rFonts w:ascii="Calibri" w:cs="Calibri" w:eastAsia="Calibri" w:hAnsi="Calibri"/>
          <w:color w:val="222222"/>
          <w:sz w:val="22"/>
          <w:szCs w:val="22"/>
        </w:rPr>
        <w:t xml:space="preserve">☐  </w:t>
      </w:r>
      <w:r>
        <w:rPr>
          <w:rFonts w:ascii="Calibri" w:cs="Calibri" w:eastAsia="Calibri" w:hAnsi="Calibri"/>
          <w:color w:val="222222"/>
          <w:sz w:val="22"/>
          <w:szCs w:val="22"/>
        </w:rPr>
        <w:t xml:space="preserve">Footer design</w:t>
      </w:r>
    </w:p>
    <w:p>
      <w:r>
        <w:t xml:space="preserve"/>
      </w:r>
    </w:p>
    <w:p>
      <w:r>
        <w:t xml:space="preserve"/>
      </w:r>
    </w:p>
    <w:p>
      <w:pPr>
        <w:spacing w:after="120" w:line="300"/>
        <w:jc w:val="center"/>
      </w:pPr>
      <w:r>
        <w:rPr>
          <w:rFonts w:ascii="Calibri" w:cs="Calibri" w:eastAsia="Calibri" w:hAnsi="Calibri"/>
          <w:i/>
          <w:iCs/>
          <w:color w:val="888888"/>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RegenerativeRevival.com v2 — Design Review &amp; Copy Rewrite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5836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6D93DC"/>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836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RegenerativeRevival.com v2 — Design Review &amp; Copy Rewrite</dc:title>
  <dc:creator>Regenerative Revival</dc:creator>
  <dc:description>Redline Feedback for ModFX Dev Team</dc:description>
  <cp:lastModifiedBy>Un-named</cp:lastModifiedBy>
  <cp:revision>1</cp:revision>
  <dcterms:created xsi:type="dcterms:W3CDTF">2026-05-12T00:56:36.045Z</dcterms:created>
  <dcterms:modified xsi:type="dcterms:W3CDTF">2026-05-12T00:56:36.045Z</dcterms:modified>
</cp:coreProperties>
</file>

<file path=docProps/custom.xml><?xml version="1.0" encoding="utf-8"?>
<Properties xmlns="http://schemas.openxmlformats.org/officeDocument/2006/custom-properties" xmlns:vt="http://schemas.openxmlformats.org/officeDocument/2006/docPropsVTypes"/>
</file>