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CLEVERHANS Attack Module参数介绍</w:t>
      </w:r>
      <w:bookmarkEnd w:id="20"/>
    </w:p>
    <w:p>
      <w:pPr>
        <w:pStyle w:val="BlockText"/>
      </w:pPr>
      <w:r>
        <w:t xml:space="preserve">初次使用cleverhans，以下参数介绍可能理解的不到位，请见谅。</w:t>
      </w:r>
    </w:p>
    <w:p>
      <w:pPr>
        <w:pStyle w:val="BlockText"/>
      </w:pPr>
      <w:r>
        <w:t xml:space="preserve">笔者将对四种攻击模块进行常见参数的注解，若想深入了解cleverhans，</w:t>
      </w:r>
      <w:hyperlink r:id="rId21">
        <w:r>
          <w:rPr>
            <w:rStyle w:val="Hyperlink"/>
          </w:rPr>
          <w:t xml:space="preserve">请阅读官方文档</w:t>
        </w:r>
      </w:hyperlink>
    </w:p>
    <w:p>
      <w:pPr>
        <w:pStyle w:val="FirstParagraph"/>
      </w:pPr>
    </w:p>
    <w:p>
      <w:pPr>
        <w:pStyle w:val="Heading2"/>
      </w:pPr>
      <w:bookmarkStart w:id="22" w:name="header-n6"/>
      <w:r>
        <w:rPr>
          <w:b/>
        </w:rPr>
        <w:t xml:space="preserve">BasicIterativeMethod</w:t>
      </w:r>
      <w:bookmarkEnd w:id="2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cleverhans.attacks.BasicIterativeMethod(model, back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'tf'</w:t>
      </w:r>
      <w:r>
        <w:rPr>
          <w:rStyle w:val="NormalTok"/>
        </w:rPr>
        <w:t xml:space="preserve">, sess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BIM_params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'eps'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epsilon（输入变化参数）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'eps_iter'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每次攻击迭代的（必需的浮点数）步长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'nb_iter'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必需的int）攻击迭代次数。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'clip_min'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（可选的float）最小输入组件值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'clip_max'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（可选的float）最大输入组件值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header-n8"/>
      <w:r>
        <w:rPr>
          <w:b/>
        </w:rPr>
        <w:t xml:space="preserve">CarliniWagnerL2</w:t>
      </w:r>
      <w:bookmarkEnd w:id="2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cleverhans.attacks.CarliniWagnerL2（model，back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'tf'</w:t>
      </w:r>
      <w:r>
        <w:rPr>
          <w:rStyle w:val="NormalTok"/>
        </w:rPr>
        <w:t xml:space="preserve">，sess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）</w:t>
      </w:r>
      <w:r>
        <w:br/>
      </w:r>
      <w:r>
        <w:br/>
      </w:r>
      <w:r>
        <w:rPr>
          <w:rStyle w:val="NormalTok"/>
        </w:rPr>
        <w:t xml:space="preserve">CW_params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'max_iterations'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最大迭代次数。将其设置为较大的值将产生较低的失真结果。仅使用几次迭代就需要较高的学习率，并且会产生较大的失真结果。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攻击算法的学习率。较小的值会产生较好的结果，但收敛速度较慢。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'batch_size'</w:t>
      </w:r>
      <w:r>
        <w:rPr>
          <w:rStyle w:val="NormalTok"/>
        </w:rPr>
        <w:t xml:space="preserve">: min_batch,</w:t>
      </w:r>
      <w:r>
        <w:rPr>
          <w:rStyle w:val="CommentTok"/>
        </w:rPr>
        <w:t xml:space="preserve"># 要同时运行的攻击数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对抗性示例的可信度：较高的示例会产生具有较大l2失真的示例，但更强烈地归类为对抗性示例。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'clip_min'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（可选的float）最小输入组件值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'clip_max'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（可选的float）最大输入组件值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header-n10"/>
      <w:r>
        <w:rPr>
          <w:b/>
        </w:rPr>
        <w:t xml:space="preserve">FastGradientMethod</w:t>
      </w:r>
      <w:bookmarkEnd w:id="2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cleverhans.attacks.FastGradientMethod（model，back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'tf'</w:t>
      </w:r>
      <w:r>
        <w:rPr>
          <w:rStyle w:val="NormalTok"/>
        </w:rPr>
        <w:t xml:space="preserve">，sess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）</w:t>
      </w:r>
      <w:r>
        <w:br/>
      </w:r>
      <w:r>
        <w:br/>
      </w:r>
      <w:r>
        <w:rPr>
          <w:rStyle w:val="NormalTok"/>
        </w:rPr>
        <w:t xml:space="preserve">FGSM_params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'eps'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epsilon（输入变化参数）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'clip_min'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（可选的float）最小输入组件值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'clip_max'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（可选的float）最大输入组件值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header-n12"/>
      <w:r>
        <w:rPr>
          <w:b/>
        </w:rPr>
        <w:t xml:space="preserve">DeepFool</w:t>
      </w:r>
      <w:bookmarkEnd w:id="25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cleverhans.attacks.DeepFool(model, back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'tf'</w:t>
      </w:r>
      <w:r>
        <w:rPr>
          <w:rStyle w:val="NormalTok"/>
        </w:rPr>
        <w:t xml:space="preserve">, sess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dtypestr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DP_params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'overshoot'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防止更新消失的终止条件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'nb_candidate'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要测试的类的数量，即Deepfool在攻击时仅考虑nb_candidate类（从而加快了速度）。根据实现期间的预测置信度选择nb_candidate类。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'clip_min'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（可选的float）最小输入组件值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'clip_max'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（可选的float）最大输入组件值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leverhans.readthedocs.io/en/v.2.1.0/source/attack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leverhans.readthedocs.io/en/v.2.1.0/source/attack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2020-08-19T17:20:56Z</dcterms:created>
  <dcterms:modified xsi:type="dcterms:W3CDTF">2020-08-19T17:20:56Z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