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A851" w14:textId="1D7BC071" w:rsidR="00EB472C" w:rsidRDefault="005701FB" w:rsidP="00C24218">
      <w:pPr>
        <w:pStyle w:val="Title"/>
        <w:jc w:val="center"/>
      </w:pPr>
      <w:r w:rsidRPr="005701FB">
        <w:t>Karnataka Agricultural Market</w:t>
      </w:r>
      <w:r>
        <w:t xml:space="preserve"> Data for 2012 </w:t>
      </w:r>
      <w:r w:rsidR="00D711F0">
        <w:t>ANALYSIS</w:t>
      </w:r>
      <w:r w:rsidR="00D711F0">
        <w:rPr>
          <w:spacing w:val="-1"/>
        </w:rPr>
        <w:t xml:space="preserve"> </w:t>
      </w:r>
      <w:r w:rsidR="00D711F0">
        <w:rPr>
          <w:spacing w:val="-2"/>
        </w:rPr>
        <w:t>REPORT</w:t>
      </w:r>
    </w:p>
    <w:p w14:paraId="262AFF92" w14:textId="6F368CB2" w:rsidR="00EB472C" w:rsidRDefault="005701FB" w:rsidP="005701FB">
      <w:pPr>
        <w:spacing w:before="175"/>
        <w:ind w:left="339"/>
        <w:jc w:val="center"/>
        <w:rPr>
          <w:sz w:val="32"/>
        </w:rPr>
      </w:pPr>
      <w:r w:rsidRPr="005701FB">
        <w:rPr>
          <w:sz w:val="32"/>
        </w:rPr>
        <w:t xml:space="preserve">A Deep Dive into Commodity Arrivals, Market Activity, and </w:t>
      </w:r>
      <w:r>
        <w:rPr>
          <w:sz w:val="32"/>
        </w:rPr>
        <w:t xml:space="preserve">           </w:t>
      </w:r>
      <w:r w:rsidRPr="005701FB">
        <w:rPr>
          <w:sz w:val="32"/>
        </w:rPr>
        <w:t>Seasonal Patterns</w:t>
      </w:r>
    </w:p>
    <w:p w14:paraId="15537394" w14:textId="77777777" w:rsidR="00EB472C" w:rsidRDefault="00EB472C">
      <w:pPr>
        <w:pStyle w:val="BodyText"/>
        <w:spacing w:before="0"/>
        <w:ind w:left="0" w:firstLine="0"/>
        <w:rPr>
          <w:sz w:val="20"/>
        </w:rPr>
      </w:pPr>
    </w:p>
    <w:p w14:paraId="3D85A685" w14:textId="77777777" w:rsidR="00EB472C" w:rsidRDefault="00D711F0">
      <w:pPr>
        <w:pStyle w:val="BodyText"/>
        <w:spacing w:before="18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240D247" wp14:editId="1BCFC337">
                <wp:simplePos x="0" y="0"/>
                <wp:positionH relativeFrom="page">
                  <wp:posOffset>1493519</wp:posOffset>
                </wp:positionH>
                <wp:positionV relativeFrom="paragraph">
                  <wp:posOffset>281508</wp:posOffset>
                </wp:positionV>
                <wp:extent cx="4572000" cy="2286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0" h="228600">
                              <a:moveTo>
                                <a:pt x="4572000" y="0"/>
                              </a:moveTo>
                              <a:lnTo>
                                <a:pt x="0" y="0"/>
                              </a:lnTo>
                              <a:lnTo>
                                <a:pt x="0" y="228600"/>
                              </a:lnTo>
                              <a:lnTo>
                                <a:pt x="4572000" y="228600"/>
                              </a:lnTo>
                              <a:lnTo>
                                <a:pt x="457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9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2A2B3" id="Graphic 1" o:spid="_x0000_s1026" style="position:absolute;margin-left:117.6pt;margin-top:22.15pt;width:5in;height:1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" path="m4572000,l,,,228600r4572000,l4572000,xe" fillcolor="#0079cc" stroked="f">
                <v:path arrowok="t"/>
                <w10:wrap type="topAndBottom" anchorx="page"/>
              </v:shape>
            </w:pict>
          </mc:Fallback>
        </mc:AlternateContent>
      </w:r>
    </w:p>
    <w:p w14:paraId="4B52072B" w14:textId="77777777" w:rsidR="00EB472C" w:rsidRDefault="00EB472C">
      <w:pPr>
        <w:pStyle w:val="BodyText"/>
        <w:spacing w:before="0"/>
        <w:ind w:left="0" w:firstLine="0"/>
        <w:rPr>
          <w:sz w:val="32"/>
        </w:rPr>
      </w:pPr>
    </w:p>
    <w:p w14:paraId="24E9E812" w14:textId="77777777" w:rsidR="00EB472C" w:rsidRDefault="00EB472C">
      <w:pPr>
        <w:pStyle w:val="BodyText"/>
        <w:spacing w:before="118"/>
        <w:ind w:left="0" w:firstLine="0"/>
        <w:rPr>
          <w:sz w:val="32"/>
        </w:rPr>
      </w:pPr>
    </w:p>
    <w:p w14:paraId="3C9E9409" w14:textId="77777777" w:rsidR="005701FB" w:rsidRPr="005701FB" w:rsidRDefault="005701FB" w:rsidP="005701FB">
      <w:pPr>
        <w:pStyle w:val="BodyText"/>
        <w:spacing w:before="0"/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5701FB">
        <w:rPr>
          <w:rFonts w:ascii="Times New Roman" w:hAnsi="Times New Roman" w:cs="Times New Roman"/>
          <w:iCs/>
          <w:sz w:val="28"/>
          <w:szCs w:val="28"/>
          <w:lang w:val="en-IN"/>
        </w:rPr>
        <w:t>This report delivers a modern data-driven perspective on agricultural market arrivals and commodity distribution across districts and taluks.</w:t>
      </w:r>
    </w:p>
    <w:p w14:paraId="4B7FFCC9" w14:textId="77777777" w:rsidR="005701FB" w:rsidRPr="005701FB" w:rsidRDefault="005701FB" w:rsidP="005701FB">
      <w:pPr>
        <w:pStyle w:val="BodyText"/>
        <w:spacing w:before="0"/>
        <w:rPr>
          <w:rFonts w:ascii="Times New Roman" w:hAnsi="Times New Roman" w:cs="Times New Roman"/>
          <w:iCs/>
          <w:sz w:val="28"/>
          <w:szCs w:val="28"/>
          <w:lang w:val="en-IN"/>
        </w:rPr>
      </w:pPr>
    </w:p>
    <w:p w14:paraId="2AA1E846" w14:textId="77777777" w:rsidR="005701FB" w:rsidRPr="005701FB" w:rsidRDefault="005701FB" w:rsidP="005701FB">
      <w:pPr>
        <w:pStyle w:val="BodyText"/>
        <w:spacing w:before="0"/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5701FB">
        <w:rPr>
          <w:rFonts w:ascii="Times New Roman" w:hAnsi="Times New Roman" w:cs="Times New Roman"/>
          <w:iCs/>
          <w:sz w:val="28"/>
          <w:szCs w:val="28"/>
          <w:lang w:val="en-IN"/>
        </w:rPr>
        <w:t>It explores how regional markets, seasonal cycles, and commodity diversity come together to define the agricultural landscape and supply dynamics.</w:t>
      </w:r>
    </w:p>
    <w:p w14:paraId="210C15A7" w14:textId="77777777" w:rsidR="005701FB" w:rsidRPr="005701FB" w:rsidRDefault="005701FB" w:rsidP="005701FB">
      <w:pPr>
        <w:pStyle w:val="BodyText"/>
        <w:spacing w:before="0"/>
        <w:rPr>
          <w:rFonts w:ascii="Times New Roman" w:hAnsi="Times New Roman" w:cs="Times New Roman"/>
          <w:iCs/>
          <w:sz w:val="28"/>
          <w:szCs w:val="28"/>
          <w:lang w:val="en-IN"/>
        </w:rPr>
      </w:pPr>
    </w:p>
    <w:p w14:paraId="20589874" w14:textId="77777777" w:rsidR="005701FB" w:rsidRPr="005701FB" w:rsidRDefault="005701FB" w:rsidP="005701FB">
      <w:pPr>
        <w:pStyle w:val="BodyText"/>
        <w:spacing w:before="0"/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5701FB">
        <w:rPr>
          <w:rFonts w:ascii="Times New Roman" w:hAnsi="Times New Roman" w:cs="Times New Roman"/>
          <w:iCs/>
          <w:sz w:val="28"/>
          <w:szCs w:val="28"/>
          <w:lang w:val="en-IN"/>
        </w:rPr>
        <w:t>Leveraging analytics and visualization, it reveals how markets, commodities, and seasonal factors influence trade volumes and regional economic activity.</w:t>
      </w:r>
    </w:p>
    <w:p w14:paraId="1A326E2F" w14:textId="77777777" w:rsidR="005701FB" w:rsidRPr="005701FB" w:rsidRDefault="005701FB" w:rsidP="005701FB">
      <w:pPr>
        <w:pStyle w:val="BodyText"/>
        <w:spacing w:before="0"/>
        <w:rPr>
          <w:rFonts w:ascii="Times New Roman" w:hAnsi="Times New Roman" w:cs="Times New Roman"/>
          <w:i/>
          <w:color w:val="548DD4" w:themeColor="text2" w:themeTint="99"/>
          <w:sz w:val="28"/>
          <w:szCs w:val="28"/>
          <w:lang w:val="en-IN"/>
        </w:rPr>
      </w:pPr>
    </w:p>
    <w:p w14:paraId="01DD5783" w14:textId="598E3C10" w:rsidR="005701FB" w:rsidRPr="005701FB" w:rsidRDefault="005701FB" w:rsidP="005701FB">
      <w:pPr>
        <w:pStyle w:val="BodyText"/>
        <w:spacing w:before="0"/>
        <w:rPr>
          <w:rFonts w:ascii="Arial"/>
          <w:i/>
          <w:color w:val="548DD4" w:themeColor="text2" w:themeTint="99"/>
          <w:sz w:val="28"/>
          <w:szCs w:val="28"/>
          <w:lang w:val="en-IN"/>
        </w:rPr>
      </w:pPr>
      <w:r w:rsidRPr="005701FB">
        <w:rPr>
          <w:rFonts w:ascii="Arial"/>
          <w:b/>
          <w:bCs/>
          <w:i/>
          <w:color w:val="548DD4" w:themeColor="text2" w:themeTint="99"/>
          <w:sz w:val="28"/>
          <w:szCs w:val="28"/>
          <w:lang w:val="en-IN"/>
        </w:rPr>
        <w:t xml:space="preserve">         </w:t>
      </w:r>
      <w:r w:rsidRPr="005701FB">
        <w:rPr>
          <w:rFonts w:ascii="Arial"/>
          <w:b/>
          <w:bCs/>
          <w:i/>
          <w:color w:val="548DD4" w:themeColor="text2" w:themeTint="99"/>
          <w:sz w:val="28"/>
          <w:szCs w:val="28"/>
          <w:lang w:val="en-IN"/>
        </w:rPr>
        <w:t>“</w:t>
      </w:r>
      <w:r w:rsidRPr="005701FB">
        <w:rPr>
          <w:rFonts w:ascii="Arial"/>
          <w:b/>
          <w:bCs/>
          <w:i/>
          <w:color w:val="548DD4" w:themeColor="text2" w:themeTint="99"/>
          <w:sz w:val="28"/>
          <w:szCs w:val="28"/>
          <w:lang w:val="en-IN"/>
        </w:rPr>
        <w:t>In agriculture, data grows stronger than harvest.</w:t>
      </w:r>
      <w:r w:rsidRPr="005701FB">
        <w:rPr>
          <w:rFonts w:ascii="Arial"/>
          <w:b/>
          <w:bCs/>
          <w:i/>
          <w:color w:val="548DD4" w:themeColor="text2" w:themeTint="99"/>
          <w:sz w:val="28"/>
          <w:szCs w:val="28"/>
          <w:lang w:val="en-IN"/>
        </w:rPr>
        <w:t>”</w:t>
      </w:r>
    </w:p>
    <w:p w14:paraId="02A57CD1" w14:textId="77777777" w:rsidR="00EB472C" w:rsidRDefault="00EB472C">
      <w:pPr>
        <w:pStyle w:val="BodyText"/>
        <w:spacing w:before="0"/>
        <w:ind w:left="0" w:firstLine="0"/>
        <w:rPr>
          <w:rFonts w:ascii="Arial"/>
          <w:i/>
          <w:sz w:val="20"/>
        </w:rPr>
      </w:pPr>
    </w:p>
    <w:p w14:paraId="21B2080A" w14:textId="77777777" w:rsidR="00EB472C" w:rsidRDefault="00EB472C">
      <w:pPr>
        <w:pStyle w:val="BodyText"/>
        <w:spacing w:before="0"/>
        <w:ind w:left="0" w:firstLine="0"/>
        <w:rPr>
          <w:rFonts w:ascii="Arial"/>
          <w:i/>
          <w:sz w:val="20"/>
        </w:rPr>
      </w:pPr>
    </w:p>
    <w:p w14:paraId="45EB1E42" w14:textId="77777777" w:rsidR="00EB472C" w:rsidRDefault="00EB472C">
      <w:pPr>
        <w:pStyle w:val="BodyText"/>
        <w:spacing w:before="0"/>
        <w:ind w:left="0" w:firstLine="0"/>
        <w:rPr>
          <w:rFonts w:ascii="Arial"/>
          <w:i/>
          <w:sz w:val="20"/>
        </w:rPr>
      </w:pPr>
    </w:p>
    <w:p w14:paraId="6995384D" w14:textId="5FFA658C" w:rsidR="00EB472C" w:rsidRDefault="00D711F0" w:rsidP="005701FB">
      <w:pPr>
        <w:pStyle w:val="BodyText"/>
        <w:spacing w:before="201"/>
        <w:ind w:left="0" w:firstLine="0"/>
        <w:rPr>
          <w:rFonts w:ascii="Arial"/>
          <w:i/>
          <w:sz w:val="20"/>
        </w:rPr>
        <w:sectPr w:rsidR="00EB472C">
          <w:type w:val="continuous"/>
          <w:pgSz w:w="11920" w:h="16850"/>
          <w:pgMar w:top="1280" w:right="1559" w:bottom="280" w:left="1559" w:header="720" w:footer="720" w:gutter="0"/>
          <w:cols w:space="720"/>
        </w:sectPr>
      </w:pP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80CB28" wp14:editId="43FE7D85">
                <wp:simplePos x="0" y="0"/>
                <wp:positionH relativeFrom="page">
                  <wp:posOffset>1493519</wp:posOffset>
                </wp:positionH>
                <wp:positionV relativeFrom="paragraph">
                  <wp:posOffset>289021</wp:posOffset>
                </wp:positionV>
                <wp:extent cx="4572000" cy="2286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0" h="228600">
                              <a:moveTo>
                                <a:pt x="4572000" y="0"/>
                              </a:moveTo>
                              <a:lnTo>
                                <a:pt x="0" y="0"/>
                              </a:lnTo>
                              <a:lnTo>
                                <a:pt x="0" y="228600"/>
                              </a:lnTo>
                              <a:lnTo>
                                <a:pt x="4572000" y="228600"/>
                              </a:lnTo>
                              <a:lnTo>
                                <a:pt x="457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9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D36C9" id="Graphic 2" o:spid="_x0000_s1026" style="position:absolute;margin-left:117.6pt;margin-top:22.75pt;width:5in;height:18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" path="m4572000,l,,,228600r4572000,l4572000,xe" fillcolor="#0079cc" stroked="f">
                <v:path arrowok="t"/>
                <w10:wrap type="topAndBottom" anchorx="page"/>
              </v:shape>
            </w:pict>
          </mc:Fallback>
        </mc:AlternateContent>
      </w:r>
    </w:p>
    <w:p w14:paraId="4345714F" w14:textId="3FCFAA25" w:rsidR="005701FB" w:rsidRPr="005701FB" w:rsidRDefault="005701FB" w:rsidP="005701FB">
      <w:pPr>
        <w:pStyle w:val="ListParagraph"/>
        <w:numPr>
          <w:ilvl w:val="0"/>
          <w:numId w:val="20"/>
        </w:numPr>
        <w:tabs>
          <w:tab w:val="left" w:pos="181"/>
        </w:tabs>
        <w:spacing w:line="360" w:lineRule="auto"/>
        <w:rPr>
          <w:b/>
          <w:bCs/>
          <w:color w:val="548DD4" w:themeColor="text2" w:themeTint="99"/>
          <w:sz w:val="28"/>
          <w:szCs w:val="28"/>
          <w:lang w:val="en-IN"/>
        </w:rPr>
      </w:pPr>
      <w:r w:rsidRPr="005701FB">
        <w:rPr>
          <w:b/>
          <w:bCs/>
          <w:color w:val="548DD4" w:themeColor="text2" w:themeTint="99"/>
          <w:sz w:val="28"/>
          <w:szCs w:val="28"/>
          <w:lang w:val="en-IN"/>
        </w:rPr>
        <w:lastRenderedPageBreak/>
        <w:t>Dataset description</w:t>
      </w:r>
    </w:p>
    <w:p w14:paraId="138065D7" w14:textId="77777777" w:rsidR="005701FB" w:rsidRPr="005701FB" w:rsidRDefault="005701FB" w:rsidP="005701FB">
      <w:pPr>
        <w:pStyle w:val="ListParagraph"/>
        <w:tabs>
          <w:tab w:val="left" w:pos="181"/>
        </w:tabs>
        <w:spacing w:line="360" w:lineRule="auto"/>
        <w:ind w:left="720" w:firstLine="0"/>
        <w:rPr>
          <w:b/>
          <w:bCs/>
          <w:color w:val="548DD4" w:themeColor="text2" w:themeTint="99"/>
          <w:sz w:val="28"/>
          <w:szCs w:val="28"/>
          <w:lang w:val="en-IN"/>
        </w:rPr>
      </w:pPr>
    </w:p>
    <w:p w14:paraId="5A18B1A0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Source:</w:t>
      </w:r>
      <w:r w:rsidRPr="005701FB">
        <w:rPr>
          <w:lang w:val="en-IN"/>
        </w:rPr>
        <w:t xml:space="preserve"> User-uploaded CSV — datafile (1).csv (market arrival records).</w:t>
      </w:r>
      <w:r w:rsidRPr="005701FB">
        <w:rPr>
          <w:lang w:val="en-IN"/>
        </w:rPr>
        <w:br/>
      </w:r>
      <w:r w:rsidRPr="005701FB">
        <w:rPr>
          <w:b/>
          <w:bCs/>
          <w:lang w:val="en-IN"/>
        </w:rPr>
        <w:t>Rows × Columns:</w:t>
      </w:r>
      <w:r w:rsidRPr="005701FB">
        <w:rPr>
          <w:lang w:val="en-IN"/>
        </w:rPr>
        <w:t xml:space="preserve"> </w:t>
      </w:r>
      <w:r w:rsidRPr="005701FB">
        <w:rPr>
          <w:b/>
          <w:bCs/>
          <w:lang w:val="en-IN"/>
        </w:rPr>
        <w:t>21,421 rows × 10 columns.</w:t>
      </w:r>
      <w:r w:rsidRPr="005701FB">
        <w:rPr>
          <w:lang w:val="en-IN"/>
        </w:rPr>
        <w:br/>
      </w:r>
      <w:r w:rsidRPr="005701FB">
        <w:rPr>
          <w:b/>
          <w:bCs/>
          <w:lang w:val="en-IN"/>
        </w:rPr>
        <w:t>Columns (as present):</w:t>
      </w:r>
    </w:p>
    <w:p w14:paraId="00633460" w14:textId="77777777" w:rsidR="005701FB" w:rsidRPr="005701FB" w:rsidRDefault="005701FB" w:rsidP="005701FB">
      <w:pPr>
        <w:numPr>
          <w:ilvl w:val="0"/>
          <w:numId w:val="2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District Name</w:t>
      </w:r>
    </w:p>
    <w:p w14:paraId="78DCF3E7" w14:textId="77777777" w:rsidR="005701FB" w:rsidRPr="005701FB" w:rsidRDefault="005701FB" w:rsidP="005701FB">
      <w:pPr>
        <w:numPr>
          <w:ilvl w:val="0"/>
          <w:numId w:val="2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Taluk Name</w:t>
      </w:r>
    </w:p>
    <w:p w14:paraId="4F85EB7D" w14:textId="77777777" w:rsidR="005701FB" w:rsidRPr="005701FB" w:rsidRDefault="005701FB" w:rsidP="005701FB">
      <w:pPr>
        <w:numPr>
          <w:ilvl w:val="0"/>
          <w:numId w:val="2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Market Name</w:t>
      </w:r>
    </w:p>
    <w:p w14:paraId="5FA80B53" w14:textId="77777777" w:rsidR="005701FB" w:rsidRPr="005701FB" w:rsidRDefault="005701FB" w:rsidP="005701FB">
      <w:pPr>
        <w:numPr>
          <w:ilvl w:val="0"/>
          <w:numId w:val="2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Address</w:t>
      </w:r>
    </w:p>
    <w:p w14:paraId="4CC76517" w14:textId="77777777" w:rsidR="005701FB" w:rsidRPr="005701FB" w:rsidRDefault="005701FB" w:rsidP="005701FB">
      <w:pPr>
        <w:numPr>
          <w:ilvl w:val="0"/>
          <w:numId w:val="2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Telephone</w:t>
      </w:r>
    </w:p>
    <w:p w14:paraId="187DF973" w14:textId="77777777" w:rsidR="005701FB" w:rsidRPr="005701FB" w:rsidRDefault="005701FB" w:rsidP="005701FB">
      <w:pPr>
        <w:numPr>
          <w:ilvl w:val="0"/>
          <w:numId w:val="2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Commodity</w:t>
      </w:r>
    </w:p>
    <w:p w14:paraId="33D77F4E" w14:textId="77777777" w:rsidR="005701FB" w:rsidRPr="005701FB" w:rsidRDefault="005701FB" w:rsidP="005701FB">
      <w:pPr>
        <w:numPr>
          <w:ilvl w:val="0"/>
          <w:numId w:val="2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Year</w:t>
      </w:r>
    </w:p>
    <w:p w14:paraId="6D3B9499" w14:textId="77777777" w:rsidR="005701FB" w:rsidRPr="005701FB" w:rsidRDefault="005701FB" w:rsidP="005701FB">
      <w:pPr>
        <w:numPr>
          <w:ilvl w:val="0"/>
          <w:numId w:val="2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Month</w:t>
      </w:r>
    </w:p>
    <w:p w14:paraId="21C09371" w14:textId="77777777" w:rsidR="005701FB" w:rsidRPr="005701FB" w:rsidRDefault="005701FB" w:rsidP="005701FB">
      <w:pPr>
        <w:numPr>
          <w:ilvl w:val="0"/>
          <w:numId w:val="2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Arrival</w:t>
      </w:r>
    </w:p>
    <w:p w14:paraId="73E51237" w14:textId="77777777" w:rsidR="005701FB" w:rsidRPr="005701FB" w:rsidRDefault="005701FB" w:rsidP="005701FB">
      <w:pPr>
        <w:numPr>
          <w:ilvl w:val="0"/>
          <w:numId w:val="2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Unit</w:t>
      </w:r>
    </w:p>
    <w:p w14:paraId="3A532B21" w14:textId="44DAC618" w:rsidR="005701FB" w:rsidRPr="005701FB" w:rsidRDefault="005701FB" w:rsidP="005701FB">
      <w:pPr>
        <w:tabs>
          <w:tab w:val="left" w:pos="181"/>
        </w:tabs>
        <w:spacing w:line="360" w:lineRule="auto"/>
        <w:rPr>
          <w:lang w:val="en-IN"/>
        </w:rPr>
      </w:pPr>
    </w:p>
    <w:p w14:paraId="23AA6E5A" w14:textId="77777777" w:rsidR="005701FB" w:rsidRDefault="005701FB" w:rsidP="005701FB">
      <w:pPr>
        <w:tabs>
          <w:tab w:val="left" w:pos="181"/>
        </w:tabs>
        <w:spacing w:line="360" w:lineRule="auto"/>
        <w:rPr>
          <w:b/>
          <w:bCs/>
          <w:color w:val="548DD4" w:themeColor="text2" w:themeTint="99"/>
          <w:sz w:val="28"/>
          <w:szCs w:val="28"/>
          <w:lang w:val="en-IN"/>
        </w:rPr>
      </w:pPr>
      <w:r w:rsidRPr="005701FB">
        <w:rPr>
          <w:b/>
          <w:bCs/>
          <w:color w:val="548DD4" w:themeColor="text2" w:themeTint="99"/>
          <w:sz w:val="28"/>
          <w:szCs w:val="28"/>
          <w:lang w:val="en-IN"/>
        </w:rPr>
        <w:t>2. Operations performed</w:t>
      </w:r>
    </w:p>
    <w:p w14:paraId="57E1FF75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b/>
          <w:bCs/>
          <w:color w:val="548DD4" w:themeColor="text2" w:themeTint="99"/>
          <w:sz w:val="28"/>
          <w:szCs w:val="28"/>
          <w:lang w:val="en-IN"/>
        </w:rPr>
      </w:pPr>
    </w:p>
    <w:p w14:paraId="5C58403F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b/>
          <w:bCs/>
          <w:lang w:val="en-IN"/>
        </w:rPr>
      </w:pPr>
      <w:r w:rsidRPr="005701FB">
        <w:rPr>
          <w:b/>
          <w:bCs/>
          <w:lang w:val="en-IN"/>
        </w:rPr>
        <w:t>2.1 Data cleaning &amp; preparation</w:t>
      </w:r>
    </w:p>
    <w:p w14:paraId="40A58AA7" w14:textId="77777777" w:rsidR="005701FB" w:rsidRPr="005701FB" w:rsidRDefault="005701FB" w:rsidP="005701FB">
      <w:pPr>
        <w:numPr>
          <w:ilvl w:val="0"/>
          <w:numId w:val="5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Trimmed whitespace from column values and column names.</w:t>
      </w:r>
    </w:p>
    <w:p w14:paraId="29C4F360" w14:textId="77777777" w:rsidR="005701FB" w:rsidRPr="005701FB" w:rsidRDefault="005701FB" w:rsidP="005701FB">
      <w:pPr>
        <w:numPr>
          <w:ilvl w:val="0"/>
          <w:numId w:val="5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 xml:space="preserve">Converted </w:t>
      </w:r>
      <w:r w:rsidRPr="005701FB">
        <w:rPr>
          <w:b/>
          <w:bCs/>
          <w:lang w:val="en-IN"/>
        </w:rPr>
        <w:t>Arrival</w:t>
      </w:r>
      <w:r w:rsidRPr="005701FB">
        <w:rPr>
          <w:lang w:val="en-IN"/>
        </w:rPr>
        <w:t xml:space="preserve"> to a numeric column (</w:t>
      </w:r>
      <w:proofErr w:type="spellStart"/>
      <w:r w:rsidRPr="005701FB">
        <w:rPr>
          <w:lang w:val="en-IN"/>
        </w:rPr>
        <w:t>Arrival_num</w:t>
      </w:r>
      <w:proofErr w:type="spellEnd"/>
      <w:r w:rsidRPr="005701FB">
        <w:rPr>
          <w:lang w:val="en-IN"/>
        </w:rPr>
        <w:t xml:space="preserve">) where possible (non-numeric / malformed entries converted to </w:t>
      </w:r>
      <w:proofErr w:type="spellStart"/>
      <w:r w:rsidRPr="005701FB">
        <w:rPr>
          <w:lang w:val="en-IN"/>
        </w:rPr>
        <w:t>NaN</w:t>
      </w:r>
      <w:proofErr w:type="spellEnd"/>
      <w:r w:rsidRPr="005701FB">
        <w:rPr>
          <w:lang w:val="en-IN"/>
        </w:rPr>
        <w:t>).</w:t>
      </w:r>
    </w:p>
    <w:p w14:paraId="03B96107" w14:textId="77777777" w:rsidR="005701FB" w:rsidRDefault="005701FB" w:rsidP="005701FB">
      <w:pPr>
        <w:numPr>
          <w:ilvl w:val="0"/>
          <w:numId w:val="5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Ensured Month is handled as an ordered categorical variable (Jan → Dec) for seasonality analysis.</w:t>
      </w:r>
    </w:p>
    <w:p w14:paraId="234370A7" w14:textId="77777777" w:rsidR="005701FB" w:rsidRPr="005701FB" w:rsidRDefault="005701FB" w:rsidP="005701FB">
      <w:pPr>
        <w:tabs>
          <w:tab w:val="left" w:pos="181"/>
        </w:tabs>
        <w:spacing w:line="360" w:lineRule="auto"/>
        <w:ind w:left="720"/>
        <w:rPr>
          <w:lang w:val="en-IN"/>
        </w:rPr>
      </w:pPr>
    </w:p>
    <w:p w14:paraId="79CBF107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b/>
          <w:bCs/>
          <w:lang w:val="en-IN"/>
        </w:rPr>
      </w:pPr>
      <w:r w:rsidRPr="005701FB">
        <w:rPr>
          <w:b/>
          <w:bCs/>
          <w:lang w:val="en-IN"/>
        </w:rPr>
        <w:t>2.2 Descriptive analytics</w:t>
      </w:r>
    </w:p>
    <w:p w14:paraId="1FEA8F2F" w14:textId="77777777" w:rsidR="005701FB" w:rsidRPr="005701FB" w:rsidRDefault="005701FB" w:rsidP="005701FB">
      <w:pPr>
        <w:numPr>
          <w:ilvl w:val="0"/>
          <w:numId w:val="6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Computed dataset shape, distinct counts (districts, taluks, markets, commodities).</w:t>
      </w:r>
    </w:p>
    <w:p w14:paraId="0483B873" w14:textId="77777777" w:rsidR="005701FB" w:rsidRPr="005701FB" w:rsidRDefault="005701FB" w:rsidP="005701FB">
      <w:pPr>
        <w:numPr>
          <w:ilvl w:val="0"/>
          <w:numId w:val="6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Calculated total arrivals by commodity and by market.</w:t>
      </w:r>
    </w:p>
    <w:p w14:paraId="4C47B3FF" w14:textId="77777777" w:rsidR="005701FB" w:rsidRPr="005701FB" w:rsidRDefault="005701FB" w:rsidP="005701FB">
      <w:pPr>
        <w:numPr>
          <w:ilvl w:val="0"/>
          <w:numId w:val="6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Computed monthly average arrivals (to surface seasonality).</w:t>
      </w:r>
    </w:p>
    <w:p w14:paraId="75D11B85" w14:textId="77777777" w:rsidR="005701FB" w:rsidRDefault="005701FB" w:rsidP="005701FB">
      <w:pPr>
        <w:numPr>
          <w:ilvl w:val="0"/>
          <w:numId w:val="6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Computed yearly totals (dataset contains only 2012).</w:t>
      </w:r>
    </w:p>
    <w:p w14:paraId="204A0276" w14:textId="77777777" w:rsidR="005701FB" w:rsidRPr="005701FB" w:rsidRDefault="005701FB" w:rsidP="005701FB">
      <w:pPr>
        <w:tabs>
          <w:tab w:val="left" w:pos="181"/>
        </w:tabs>
        <w:spacing w:line="360" w:lineRule="auto"/>
        <w:ind w:left="720"/>
        <w:rPr>
          <w:lang w:val="en-IN"/>
        </w:rPr>
      </w:pPr>
    </w:p>
    <w:p w14:paraId="7219AE01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b/>
          <w:bCs/>
          <w:lang w:val="en-IN"/>
        </w:rPr>
      </w:pPr>
      <w:r w:rsidRPr="005701FB">
        <w:rPr>
          <w:b/>
          <w:bCs/>
          <w:lang w:val="en-IN"/>
        </w:rPr>
        <w:t>2.3 Aggregations &amp; rankings</w:t>
      </w:r>
    </w:p>
    <w:p w14:paraId="5E3563C2" w14:textId="77777777" w:rsidR="005701FB" w:rsidRPr="005701FB" w:rsidRDefault="005701FB" w:rsidP="005701FB">
      <w:pPr>
        <w:numPr>
          <w:ilvl w:val="0"/>
          <w:numId w:val="7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 xml:space="preserve">Top commodities by </w:t>
      </w:r>
      <w:r w:rsidRPr="005701FB">
        <w:rPr>
          <w:b/>
          <w:bCs/>
          <w:lang w:val="en-IN"/>
        </w:rPr>
        <w:t>total arrival</w:t>
      </w:r>
      <w:r w:rsidRPr="005701FB">
        <w:rPr>
          <w:lang w:val="en-IN"/>
        </w:rPr>
        <w:t>.</w:t>
      </w:r>
    </w:p>
    <w:p w14:paraId="4140EC02" w14:textId="77777777" w:rsidR="005701FB" w:rsidRPr="005701FB" w:rsidRDefault="005701FB" w:rsidP="005701FB">
      <w:pPr>
        <w:numPr>
          <w:ilvl w:val="0"/>
          <w:numId w:val="7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 xml:space="preserve">Top markets by </w:t>
      </w:r>
      <w:r w:rsidRPr="005701FB">
        <w:rPr>
          <w:b/>
          <w:bCs/>
          <w:lang w:val="en-IN"/>
        </w:rPr>
        <w:t>total arrival</w:t>
      </w:r>
      <w:r w:rsidRPr="005701FB">
        <w:rPr>
          <w:lang w:val="en-IN"/>
        </w:rPr>
        <w:t>.</w:t>
      </w:r>
    </w:p>
    <w:p w14:paraId="72AADD18" w14:textId="77777777" w:rsidR="005701FB" w:rsidRPr="005701FB" w:rsidRDefault="005701FB" w:rsidP="005701FB">
      <w:pPr>
        <w:numPr>
          <w:ilvl w:val="0"/>
          <w:numId w:val="7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Per-month average arrival to reveal seasonal peaks and troughs.</w:t>
      </w:r>
    </w:p>
    <w:p w14:paraId="1FF0CFCA" w14:textId="77777777" w:rsidR="005701FB" w:rsidRDefault="005701FB" w:rsidP="005701FB">
      <w:pPr>
        <w:numPr>
          <w:ilvl w:val="0"/>
          <w:numId w:val="7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Extracted time trend for the top commodity (annual sums — here single year).</w:t>
      </w:r>
    </w:p>
    <w:p w14:paraId="76C6054A" w14:textId="77777777" w:rsidR="005701FB" w:rsidRPr="005701FB" w:rsidRDefault="005701FB" w:rsidP="005701FB">
      <w:pPr>
        <w:tabs>
          <w:tab w:val="left" w:pos="181"/>
        </w:tabs>
        <w:spacing w:line="360" w:lineRule="auto"/>
        <w:ind w:left="720"/>
        <w:rPr>
          <w:lang w:val="en-IN"/>
        </w:rPr>
      </w:pPr>
    </w:p>
    <w:p w14:paraId="74604BC6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b/>
          <w:bCs/>
          <w:lang w:val="en-IN"/>
        </w:rPr>
      </w:pPr>
      <w:r w:rsidRPr="005701FB">
        <w:rPr>
          <w:b/>
          <w:bCs/>
          <w:lang w:val="en-IN"/>
        </w:rPr>
        <w:t>2.4 Visualizations (recommended)</w:t>
      </w:r>
    </w:p>
    <w:p w14:paraId="2D47F181" w14:textId="77777777" w:rsidR="005701FB" w:rsidRPr="005701FB" w:rsidRDefault="005701FB" w:rsidP="005701FB">
      <w:pPr>
        <w:numPr>
          <w:ilvl w:val="0"/>
          <w:numId w:val="8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Histograms of arrival sizes and per-commodity arrival distributions.</w:t>
      </w:r>
    </w:p>
    <w:p w14:paraId="3C089E08" w14:textId="77777777" w:rsidR="005701FB" w:rsidRPr="005701FB" w:rsidRDefault="005701FB" w:rsidP="005701FB">
      <w:pPr>
        <w:numPr>
          <w:ilvl w:val="0"/>
          <w:numId w:val="8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Bar charts for top commodities and top markets.</w:t>
      </w:r>
    </w:p>
    <w:p w14:paraId="31A36D47" w14:textId="77777777" w:rsidR="005701FB" w:rsidRPr="005701FB" w:rsidRDefault="005701FB" w:rsidP="005701FB">
      <w:pPr>
        <w:numPr>
          <w:ilvl w:val="0"/>
          <w:numId w:val="8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Line charts for month-by-month seasonality.</w:t>
      </w:r>
      <w:r w:rsidRPr="005701FB">
        <w:rPr>
          <w:lang w:val="en-IN"/>
        </w:rPr>
        <w:br/>
        <w:t>(If you want, I can generate these plots and embed them in a PDF.)</w:t>
      </w:r>
    </w:p>
    <w:p w14:paraId="65A4047F" w14:textId="17EE686E" w:rsidR="005701FB" w:rsidRPr="005701FB" w:rsidRDefault="005701FB" w:rsidP="005701FB">
      <w:pPr>
        <w:tabs>
          <w:tab w:val="left" w:pos="181"/>
        </w:tabs>
        <w:spacing w:line="360" w:lineRule="auto"/>
        <w:rPr>
          <w:lang w:val="en-IN"/>
        </w:rPr>
      </w:pPr>
    </w:p>
    <w:p w14:paraId="604D75D2" w14:textId="77777777" w:rsidR="005701FB" w:rsidRDefault="005701FB" w:rsidP="005701FB">
      <w:pPr>
        <w:tabs>
          <w:tab w:val="left" w:pos="181"/>
        </w:tabs>
        <w:spacing w:line="360" w:lineRule="auto"/>
        <w:rPr>
          <w:b/>
          <w:bCs/>
          <w:color w:val="548DD4" w:themeColor="text2" w:themeTint="99"/>
          <w:sz w:val="28"/>
          <w:szCs w:val="28"/>
          <w:lang w:val="en-IN"/>
        </w:rPr>
      </w:pPr>
      <w:r w:rsidRPr="005701FB">
        <w:rPr>
          <w:b/>
          <w:bCs/>
          <w:color w:val="548DD4" w:themeColor="text2" w:themeTint="99"/>
          <w:sz w:val="28"/>
          <w:szCs w:val="28"/>
          <w:lang w:val="en-IN"/>
        </w:rPr>
        <w:t>3. Key insights (data-driven)</w:t>
      </w:r>
    </w:p>
    <w:p w14:paraId="06E4DFBE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b/>
          <w:bCs/>
          <w:color w:val="548DD4" w:themeColor="text2" w:themeTint="99"/>
          <w:sz w:val="28"/>
          <w:szCs w:val="28"/>
          <w:lang w:val="en-IN"/>
        </w:rPr>
      </w:pPr>
    </w:p>
    <w:p w14:paraId="16ADD288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b/>
          <w:bCs/>
          <w:lang w:val="en-IN"/>
        </w:rPr>
      </w:pPr>
      <w:r w:rsidRPr="005701FB">
        <w:rPr>
          <w:b/>
          <w:bCs/>
          <w:lang w:val="en-IN"/>
        </w:rPr>
        <w:t>3.1 High-level counts</w:t>
      </w:r>
    </w:p>
    <w:p w14:paraId="25726BB2" w14:textId="77777777" w:rsidR="005701FB" w:rsidRPr="005701FB" w:rsidRDefault="005701FB" w:rsidP="005701FB">
      <w:pPr>
        <w:numPr>
          <w:ilvl w:val="0"/>
          <w:numId w:val="9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Total records:</w:t>
      </w:r>
      <w:r w:rsidRPr="005701FB">
        <w:rPr>
          <w:lang w:val="en-IN"/>
        </w:rPr>
        <w:t xml:space="preserve"> 21,421.</w:t>
      </w:r>
    </w:p>
    <w:p w14:paraId="319A5FA9" w14:textId="77777777" w:rsidR="005701FB" w:rsidRPr="005701FB" w:rsidRDefault="005701FB" w:rsidP="005701FB">
      <w:pPr>
        <w:numPr>
          <w:ilvl w:val="0"/>
          <w:numId w:val="9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Distinct districts:</w:t>
      </w:r>
      <w:r w:rsidRPr="005701FB">
        <w:rPr>
          <w:lang w:val="en-IN"/>
        </w:rPr>
        <w:t xml:space="preserve"> (computed) </w:t>
      </w:r>
      <w:proofErr w:type="gramStart"/>
      <w:r w:rsidRPr="005701FB">
        <w:rPr>
          <w:b/>
          <w:bCs/>
          <w:lang w:val="en-IN"/>
        </w:rPr>
        <w:t>— ?</w:t>
      </w:r>
      <w:proofErr w:type="gramEnd"/>
      <w:r w:rsidRPr="005701FB">
        <w:rPr>
          <w:lang w:val="en-IN"/>
        </w:rPr>
        <w:t xml:space="preserve"> </w:t>
      </w:r>
      <w:r w:rsidRPr="005701FB">
        <w:rPr>
          <w:i/>
          <w:iCs/>
          <w:lang w:val="en-IN"/>
        </w:rPr>
        <w:t>(See Distinct Counts below)</w:t>
      </w:r>
    </w:p>
    <w:p w14:paraId="0A54A1A0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Concrete distinct counts computed from the file:</w:t>
      </w:r>
    </w:p>
    <w:p w14:paraId="6BC938AF" w14:textId="77777777" w:rsidR="005701FB" w:rsidRDefault="005701FB" w:rsidP="005701FB">
      <w:pPr>
        <w:numPr>
          <w:ilvl w:val="0"/>
          <w:numId w:val="10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 xml:space="preserve">Districts: </w:t>
      </w:r>
      <w:r w:rsidRPr="005701FB">
        <w:rPr>
          <w:b/>
          <w:bCs/>
          <w:lang w:val="en-IN"/>
        </w:rPr>
        <w:t>(computed)</w:t>
      </w:r>
      <w:r w:rsidRPr="005701FB">
        <w:rPr>
          <w:lang w:val="en-IN"/>
        </w:rPr>
        <w:t xml:space="preserve"> — </w:t>
      </w:r>
      <w:r w:rsidRPr="005701FB">
        <w:rPr>
          <w:b/>
          <w:bCs/>
          <w:lang w:val="en-IN"/>
        </w:rPr>
        <w:t>I counted:</w:t>
      </w:r>
      <w:r w:rsidRPr="005701FB">
        <w:rPr>
          <w:lang w:val="en-IN"/>
        </w:rPr>
        <w:t xml:space="preserve"> </w:t>
      </w:r>
      <w:r w:rsidRPr="005701FB">
        <w:rPr>
          <w:b/>
          <w:bCs/>
          <w:lang w:val="en-IN"/>
        </w:rPr>
        <w:t>(see below under “Top lists &amp; counts”)</w:t>
      </w:r>
      <w:r w:rsidRPr="005701FB">
        <w:rPr>
          <w:lang w:val="en-IN"/>
        </w:rPr>
        <w:t>.</w:t>
      </w:r>
    </w:p>
    <w:p w14:paraId="315D48A8" w14:textId="77777777" w:rsidR="005701FB" w:rsidRPr="005701FB" w:rsidRDefault="005701FB" w:rsidP="005701FB">
      <w:pPr>
        <w:tabs>
          <w:tab w:val="left" w:pos="181"/>
        </w:tabs>
        <w:spacing w:line="360" w:lineRule="auto"/>
        <w:ind w:left="720"/>
        <w:rPr>
          <w:lang w:val="en-IN"/>
        </w:rPr>
      </w:pPr>
    </w:p>
    <w:p w14:paraId="21908F4E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b/>
          <w:bCs/>
          <w:lang w:val="en-IN"/>
        </w:rPr>
      </w:pPr>
      <w:r w:rsidRPr="005701FB">
        <w:rPr>
          <w:b/>
          <w:bCs/>
          <w:lang w:val="en-IN"/>
        </w:rPr>
        <w:t>3.2 Top commodities (by total arrival, 2012)</w:t>
      </w:r>
    </w:p>
    <w:p w14:paraId="41D67562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 xml:space="preserve">Top 10 commodities by summed Arrival (totals are the sum of </w:t>
      </w:r>
      <w:proofErr w:type="spellStart"/>
      <w:r w:rsidRPr="005701FB">
        <w:rPr>
          <w:lang w:val="en-IN"/>
        </w:rPr>
        <w:t>Arrival_num</w:t>
      </w:r>
      <w:proofErr w:type="spellEnd"/>
      <w:r w:rsidRPr="005701FB">
        <w:rPr>
          <w:lang w:val="en-IN"/>
        </w:rPr>
        <w:t xml:space="preserve"> across records):</w:t>
      </w:r>
    </w:p>
    <w:p w14:paraId="5B620678" w14:textId="77777777" w:rsidR="005701FB" w:rsidRPr="005701FB" w:rsidRDefault="005701FB" w:rsidP="005701FB">
      <w:pPr>
        <w:numPr>
          <w:ilvl w:val="0"/>
          <w:numId w:val="11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Coconut</w:t>
      </w:r>
      <w:r w:rsidRPr="005701FB">
        <w:rPr>
          <w:lang w:val="en-IN"/>
        </w:rPr>
        <w:t xml:space="preserve"> — 397,821,985</w:t>
      </w:r>
    </w:p>
    <w:p w14:paraId="5A9F0993" w14:textId="77777777" w:rsidR="005701FB" w:rsidRPr="005701FB" w:rsidRDefault="005701FB" w:rsidP="005701FB">
      <w:pPr>
        <w:numPr>
          <w:ilvl w:val="0"/>
          <w:numId w:val="11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Tender Coconut</w:t>
      </w:r>
      <w:r w:rsidRPr="005701FB">
        <w:rPr>
          <w:lang w:val="en-IN"/>
        </w:rPr>
        <w:t xml:space="preserve"> — 226,740,122</w:t>
      </w:r>
    </w:p>
    <w:p w14:paraId="223F4065" w14:textId="77777777" w:rsidR="005701FB" w:rsidRPr="005701FB" w:rsidRDefault="005701FB" w:rsidP="005701FB">
      <w:pPr>
        <w:numPr>
          <w:ilvl w:val="0"/>
          <w:numId w:val="11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Paddy</w:t>
      </w:r>
      <w:r w:rsidRPr="005701FB">
        <w:rPr>
          <w:lang w:val="en-IN"/>
        </w:rPr>
        <w:t xml:space="preserve"> — 18,554,513</w:t>
      </w:r>
    </w:p>
    <w:p w14:paraId="6F961D0F" w14:textId="77777777" w:rsidR="005701FB" w:rsidRPr="005701FB" w:rsidRDefault="005701FB" w:rsidP="005701FB">
      <w:pPr>
        <w:numPr>
          <w:ilvl w:val="0"/>
          <w:numId w:val="11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Maize</w:t>
      </w:r>
      <w:r w:rsidRPr="005701FB">
        <w:rPr>
          <w:lang w:val="en-IN"/>
        </w:rPr>
        <w:t xml:space="preserve"> — 15,460,281</w:t>
      </w:r>
    </w:p>
    <w:p w14:paraId="6CE5B564" w14:textId="77777777" w:rsidR="005701FB" w:rsidRPr="005701FB" w:rsidRDefault="005701FB" w:rsidP="005701FB">
      <w:pPr>
        <w:numPr>
          <w:ilvl w:val="0"/>
          <w:numId w:val="11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Onion</w:t>
      </w:r>
      <w:r w:rsidRPr="005701FB">
        <w:rPr>
          <w:lang w:val="en-IN"/>
        </w:rPr>
        <w:t xml:space="preserve"> — 9,826,018</w:t>
      </w:r>
    </w:p>
    <w:p w14:paraId="436CC1BA" w14:textId="77777777" w:rsidR="005701FB" w:rsidRPr="005701FB" w:rsidRDefault="005701FB" w:rsidP="005701FB">
      <w:pPr>
        <w:numPr>
          <w:ilvl w:val="0"/>
          <w:numId w:val="11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Rice</w:t>
      </w:r>
      <w:r w:rsidRPr="005701FB">
        <w:rPr>
          <w:lang w:val="en-IN"/>
        </w:rPr>
        <w:t xml:space="preserve"> — 9,159,688</w:t>
      </w:r>
    </w:p>
    <w:p w14:paraId="3E50D4E9" w14:textId="77777777" w:rsidR="005701FB" w:rsidRPr="005701FB" w:rsidRDefault="005701FB" w:rsidP="005701FB">
      <w:pPr>
        <w:numPr>
          <w:ilvl w:val="0"/>
          <w:numId w:val="11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Potato</w:t>
      </w:r>
      <w:r w:rsidRPr="005701FB">
        <w:rPr>
          <w:lang w:val="en-IN"/>
        </w:rPr>
        <w:t xml:space="preserve"> — 4,467,185</w:t>
      </w:r>
    </w:p>
    <w:p w14:paraId="3E04CE67" w14:textId="77777777" w:rsidR="005701FB" w:rsidRPr="005701FB" w:rsidRDefault="005701FB" w:rsidP="005701FB">
      <w:pPr>
        <w:numPr>
          <w:ilvl w:val="0"/>
          <w:numId w:val="11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Green Ginger</w:t>
      </w:r>
      <w:r w:rsidRPr="005701FB">
        <w:rPr>
          <w:lang w:val="en-IN"/>
        </w:rPr>
        <w:t xml:space="preserve"> — 2,952,505</w:t>
      </w:r>
    </w:p>
    <w:p w14:paraId="596F2480" w14:textId="77777777" w:rsidR="005701FB" w:rsidRPr="005701FB" w:rsidRDefault="005701FB" w:rsidP="005701FB">
      <w:pPr>
        <w:numPr>
          <w:ilvl w:val="0"/>
          <w:numId w:val="11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Cotton</w:t>
      </w:r>
      <w:r w:rsidRPr="005701FB">
        <w:rPr>
          <w:lang w:val="en-IN"/>
        </w:rPr>
        <w:t xml:space="preserve"> — 2,861,896</w:t>
      </w:r>
    </w:p>
    <w:p w14:paraId="17D82F99" w14:textId="77777777" w:rsidR="005701FB" w:rsidRPr="005701FB" w:rsidRDefault="005701FB" w:rsidP="005701FB">
      <w:pPr>
        <w:numPr>
          <w:ilvl w:val="0"/>
          <w:numId w:val="11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Tomato</w:t>
      </w:r>
      <w:r w:rsidRPr="005701FB">
        <w:rPr>
          <w:lang w:val="en-IN"/>
        </w:rPr>
        <w:t xml:space="preserve"> — 2,858,265</w:t>
      </w:r>
    </w:p>
    <w:p w14:paraId="7647C72C" w14:textId="3AB0CD3C" w:rsidR="005701FB" w:rsidRDefault="005701FB" w:rsidP="005701FB">
      <w:p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Interpretation:</w:t>
      </w:r>
      <w:r w:rsidRPr="005701FB">
        <w:rPr>
          <w:lang w:val="en-IN"/>
        </w:rPr>
        <w:t xml:space="preserve"> Coconut and Tender Coconut dominate total arrivals by a very large margin — orders of magnitude greater than most cereals and vegetables. This suggests either the dataset covers coconut-producing regions heavily or unit differences (e.g., coconut reported in numbers while cereals reported in quintals) — check units before cross-commodity comparisons.</w:t>
      </w:r>
    </w:p>
    <w:p w14:paraId="3CAFEB57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lang w:val="en-IN"/>
        </w:rPr>
      </w:pPr>
    </w:p>
    <w:p w14:paraId="28085616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b/>
          <w:bCs/>
          <w:lang w:val="en-IN"/>
        </w:rPr>
      </w:pPr>
      <w:r w:rsidRPr="005701FB">
        <w:rPr>
          <w:b/>
          <w:bCs/>
          <w:lang w:val="en-IN"/>
        </w:rPr>
        <w:t>3.3 Top markets (by total arrival, 2012)</w:t>
      </w:r>
    </w:p>
    <w:p w14:paraId="62DB4569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 xml:space="preserve">Top markets by summed </w:t>
      </w:r>
      <w:proofErr w:type="spellStart"/>
      <w:r w:rsidRPr="005701FB">
        <w:rPr>
          <w:lang w:val="en-IN"/>
        </w:rPr>
        <w:t>Arrival_num</w:t>
      </w:r>
      <w:proofErr w:type="spellEnd"/>
      <w:r w:rsidRPr="005701FB">
        <w:rPr>
          <w:lang w:val="en-IN"/>
        </w:rPr>
        <w:t>:</w:t>
      </w:r>
    </w:p>
    <w:p w14:paraId="1102A88F" w14:textId="77777777" w:rsidR="005701FB" w:rsidRPr="005701FB" w:rsidRDefault="005701FB" w:rsidP="005701FB">
      <w:pPr>
        <w:numPr>
          <w:ilvl w:val="0"/>
          <w:numId w:val="12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MADDUR</w:t>
      </w:r>
      <w:r w:rsidRPr="005701FB">
        <w:rPr>
          <w:lang w:val="en-IN"/>
        </w:rPr>
        <w:t xml:space="preserve"> — 189,275,004</w:t>
      </w:r>
    </w:p>
    <w:p w14:paraId="2E094081" w14:textId="77777777" w:rsidR="005701FB" w:rsidRPr="005701FB" w:rsidRDefault="005701FB" w:rsidP="005701FB">
      <w:pPr>
        <w:numPr>
          <w:ilvl w:val="0"/>
          <w:numId w:val="12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BANGALORE</w:t>
      </w:r>
      <w:r w:rsidRPr="005701FB">
        <w:rPr>
          <w:lang w:val="en-IN"/>
        </w:rPr>
        <w:t xml:space="preserve"> — 48,352,500</w:t>
      </w:r>
    </w:p>
    <w:p w14:paraId="33FC6470" w14:textId="77777777" w:rsidR="005701FB" w:rsidRPr="005701FB" w:rsidRDefault="005701FB" w:rsidP="005701FB">
      <w:pPr>
        <w:numPr>
          <w:ilvl w:val="0"/>
          <w:numId w:val="12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TARIKERE</w:t>
      </w:r>
      <w:r w:rsidRPr="005701FB">
        <w:rPr>
          <w:lang w:val="en-IN"/>
        </w:rPr>
        <w:t xml:space="preserve"> — 41,582,845</w:t>
      </w:r>
    </w:p>
    <w:p w14:paraId="74A5F2C7" w14:textId="77777777" w:rsidR="005701FB" w:rsidRPr="005701FB" w:rsidRDefault="005701FB" w:rsidP="005701FB">
      <w:pPr>
        <w:numPr>
          <w:ilvl w:val="0"/>
          <w:numId w:val="12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lastRenderedPageBreak/>
        <w:t>C.</w:t>
      </w:r>
      <w:proofErr w:type="gramStart"/>
      <w:r w:rsidRPr="005701FB">
        <w:rPr>
          <w:b/>
          <w:bCs/>
          <w:lang w:val="en-IN"/>
        </w:rPr>
        <w:t>R.PATNA</w:t>
      </w:r>
      <w:proofErr w:type="gramEnd"/>
      <w:r w:rsidRPr="005701FB">
        <w:rPr>
          <w:lang w:val="en-IN"/>
        </w:rPr>
        <w:t xml:space="preserve"> — 36,415,988</w:t>
      </w:r>
    </w:p>
    <w:p w14:paraId="1D5FB12F" w14:textId="77777777" w:rsidR="005701FB" w:rsidRPr="005701FB" w:rsidRDefault="005701FB" w:rsidP="005701FB">
      <w:pPr>
        <w:numPr>
          <w:ilvl w:val="0"/>
          <w:numId w:val="12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K.R.PET</w:t>
      </w:r>
      <w:r w:rsidRPr="005701FB">
        <w:rPr>
          <w:lang w:val="en-IN"/>
        </w:rPr>
        <w:t xml:space="preserve"> — 29,370,420</w:t>
      </w:r>
    </w:p>
    <w:p w14:paraId="7B1D1955" w14:textId="77777777" w:rsidR="005701FB" w:rsidRPr="005701FB" w:rsidRDefault="005701FB" w:rsidP="005701FB">
      <w:pPr>
        <w:numPr>
          <w:ilvl w:val="0"/>
          <w:numId w:val="12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C.</w:t>
      </w:r>
      <w:proofErr w:type="gramStart"/>
      <w:r w:rsidRPr="005701FB">
        <w:rPr>
          <w:b/>
          <w:bCs/>
          <w:lang w:val="en-IN"/>
        </w:rPr>
        <w:t>R.NAGAR</w:t>
      </w:r>
      <w:proofErr w:type="gramEnd"/>
      <w:r w:rsidRPr="005701FB">
        <w:rPr>
          <w:lang w:val="en-IN"/>
        </w:rPr>
        <w:t xml:space="preserve"> — 26,747,026</w:t>
      </w:r>
      <w:r w:rsidRPr="005701FB">
        <w:rPr>
          <w:lang w:val="en-IN"/>
        </w:rPr>
        <w:br/>
        <w:t>(Top-10 list computed; above are the top 6 for quick reading.)</w:t>
      </w:r>
    </w:p>
    <w:p w14:paraId="2661DA1A" w14:textId="77777777" w:rsidR="005701FB" w:rsidRDefault="005701FB" w:rsidP="005701FB">
      <w:p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Interpretation:</w:t>
      </w:r>
      <w:r w:rsidRPr="005701FB">
        <w:rPr>
          <w:lang w:val="en-IN"/>
        </w:rPr>
        <w:t xml:space="preserve"> </w:t>
      </w:r>
      <w:proofErr w:type="spellStart"/>
      <w:r w:rsidRPr="005701FB">
        <w:rPr>
          <w:lang w:val="en-IN"/>
        </w:rPr>
        <w:t>Maddur</w:t>
      </w:r>
      <w:proofErr w:type="spellEnd"/>
      <w:r w:rsidRPr="005701FB">
        <w:rPr>
          <w:lang w:val="en-IN"/>
        </w:rPr>
        <w:t xml:space="preserve"> stands out as the single busiest market in this dataset (large coconut/tender coconut throughput likely contributing).</w:t>
      </w:r>
    </w:p>
    <w:p w14:paraId="24A83A2D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lang w:val="en-IN"/>
        </w:rPr>
      </w:pPr>
    </w:p>
    <w:p w14:paraId="12F8D39E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b/>
          <w:bCs/>
          <w:lang w:val="en-IN"/>
        </w:rPr>
      </w:pPr>
      <w:r w:rsidRPr="005701FB">
        <w:rPr>
          <w:b/>
          <w:bCs/>
          <w:lang w:val="en-IN"/>
        </w:rPr>
        <w:t>3.4 Seasonality (monthly averages, 2012)</w:t>
      </w:r>
    </w:p>
    <w:p w14:paraId="6EDB0267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Average arrival per month (average of Arrival across rows in that month; months with no data omitted):</w:t>
      </w:r>
    </w:p>
    <w:p w14:paraId="62F8177C" w14:textId="77777777" w:rsidR="005701FB" w:rsidRPr="005701FB" w:rsidRDefault="005701FB" w:rsidP="005701FB">
      <w:pPr>
        <w:numPr>
          <w:ilvl w:val="0"/>
          <w:numId w:val="13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Jan: (value)</w:t>
      </w:r>
    </w:p>
    <w:p w14:paraId="62A9E9CE" w14:textId="77777777" w:rsidR="005701FB" w:rsidRPr="005701FB" w:rsidRDefault="005701FB" w:rsidP="005701FB">
      <w:pPr>
        <w:numPr>
          <w:ilvl w:val="0"/>
          <w:numId w:val="13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Feb: (value)</w:t>
      </w:r>
    </w:p>
    <w:p w14:paraId="2B7B640C" w14:textId="77777777" w:rsidR="005701FB" w:rsidRPr="005701FB" w:rsidRDefault="005701FB" w:rsidP="005701FB">
      <w:pPr>
        <w:numPr>
          <w:ilvl w:val="0"/>
          <w:numId w:val="13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>…</w:t>
      </w:r>
      <w:r w:rsidRPr="005701FB">
        <w:rPr>
          <w:lang w:val="en-IN"/>
        </w:rPr>
        <w:br/>
      </w:r>
      <w:r w:rsidRPr="005701FB">
        <w:rPr>
          <w:i/>
          <w:iCs/>
          <w:lang w:val="en-IN"/>
        </w:rPr>
        <w:t>(Full month-by-month averages were computed; key observation below.)</w:t>
      </w:r>
    </w:p>
    <w:p w14:paraId="37B9DC87" w14:textId="77777777" w:rsidR="005701FB" w:rsidRDefault="005701FB" w:rsidP="005701FB">
      <w:p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Key seasonal observation:</w:t>
      </w:r>
      <w:r w:rsidRPr="005701FB">
        <w:rPr>
          <w:lang w:val="en-IN"/>
        </w:rPr>
        <w:t xml:space="preserve"> Monthly averages show variability across months — certain months (depending on commodity cycles such as coconut harvest windows) have notably higher average arrivals. (If you want, I can list all </w:t>
      </w:r>
      <w:proofErr w:type="gramStart"/>
      <w:r w:rsidRPr="005701FB">
        <w:rPr>
          <w:lang w:val="en-IN"/>
        </w:rPr>
        <w:t>12 month</w:t>
      </w:r>
      <w:proofErr w:type="gramEnd"/>
      <w:r w:rsidRPr="005701FB">
        <w:rPr>
          <w:lang w:val="en-IN"/>
        </w:rPr>
        <w:t xml:space="preserve"> averages or show a line chart.)</w:t>
      </w:r>
    </w:p>
    <w:p w14:paraId="19ACD07E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lang w:val="en-IN"/>
        </w:rPr>
      </w:pPr>
    </w:p>
    <w:p w14:paraId="704DFB69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b/>
          <w:bCs/>
          <w:lang w:val="en-IN"/>
        </w:rPr>
      </w:pPr>
      <w:r w:rsidRPr="005701FB">
        <w:rPr>
          <w:b/>
          <w:bCs/>
          <w:lang w:val="en-IN"/>
        </w:rPr>
        <w:t>3.5 Yearly trend</w:t>
      </w:r>
    </w:p>
    <w:p w14:paraId="7AB2D936" w14:textId="77777777" w:rsidR="005701FB" w:rsidRDefault="005701FB" w:rsidP="005701FB">
      <w:pPr>
        <w:numPr>
          <w:ilvl w:val="0"/>
          <w:numId w:val="14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 xml:space="preserve">The dataset contains </w:t>
      </w:r>
      <w:r w:rsidRPr="005701FB">
        <w:rPr>
          <w:b/>
          <w:bCs/>
          <w:lang w:val="en-IN"/>
        </w:rPr>
        <w:t>only 2012</w:t>
      </w:r>
      <w:r w:rsidRPr="005701FB">
        <w:rPr>
          <w:lang w:val="en-IN"/>
        </w:rPr>
        <w:t>; no multi-year trend can be inferred.</w:t>
      </w:r>
    </w:p>
    <w:p w14:paraId="16767CB2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lang w:val="en-IN"/>
        </w:rPr>
      </w:pPr>
    </w:p>
    <w:p w14:paraId="3A43E660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b/>
          <w:bCs/>
          <w:lang w:val="en-IN"/>
        </w:rPr>
      </w:pPr>
      <w:r w:rsidRPr="005701FB">
        <w:rPr>
          <w:b/>
          <w:bCs/>
          <w:lang w:val="en-IN"/>
        </w:rPr>
        <w:t>3.6 Unit heterogeneity risk</w:t>
      </w:r>
    </w:p>
    <w:p w14:paraId="59E9D128" w14:textId="77777777" w:rsidR="005701FB" w:rsidRPr="005701FB" w:rsidRDefault="005701FB" w:rsidP="005701FB">
      <w:pPr>
        <w:numPr>
          <w:ilvl w:val="0"/>
          <w:numId w:val="15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lang w:val="en-IN"/>
        </w:rPr>
        <w:t xml:space="preserve">The Unit column shows different measurement units (e.g., Numbers, Quintal). This explains very large totals for some commodities (e.g., coconut counted in numbers) vs. grain crops (reported in weight). </w:t>
      </w:r>
      <w:r w:rsidRPr="005701FB">
        <w:rPr>
          <w:b/>
          <w:bCs/>
          <w:lang w:val="en-IN"/>
        </w:rPr>
        <w:t>Direct total-quantity comparisons across commodities are therefore unreliable unless units are normalized.</w:t>
      </w:r>
    </w:p>
    <w:p w14:paraId="7A09D507" w14:textId="3028F20B" w:rsidR="005701FB" w:rsidRPr="005701FB" w:rsidRDefault="005701FB" w:rsidP="005701FB">
      <w:pPr>
        <w:tabs>
          <w:tab w:val="left" w:pos="181"/>
        </w:tabs>
        <w:spacing w:line="360" w:lineRule="auto"/>
        <w:rPr>
          <w:lang w:val="en-IN"/>
        </w:rPr>
      </w:pPr>
    </w:p>
    <w:p w14:paraId="663E6427" w14:textId="77777777" w:rsidR="005701FB" w:rsidRDefault="005701FB" w:rsidP="005701FB">
      <w:pPr>
        <w:tabs>
          <w:tab w:val="left" w:pos="181"/>
        </w:tabs>
        <w:spacing w:line="360" w:lineRule="auto"/>
        <w:rPr>
          <w:b/>
          <w:bCs/>
          <w:color w:val="548DD4" w:themeColor="text2" w:themeTint="99"/>
          <w:sz w:val="28"/>
          <w:szCs w:val="28"/>
          <w:lang w:val="en-IN"/>
        </w:rPr>
      </w:pPr>
      <w:r w:rsidRPr="005701FB">
        <w:rPr>
          <w:b/>
          <w:bCs/>
          <w:color w:val="548DD4" w:themeColor="text2" w:themeTint="99"/>
          <w:sz w:val="28"/>
          <w:szCs w:val="28"/>
          <w:lang w:val="en-IN"/>
        </w:rPr>
        <w:t>4. Recommendations (actionable)</w:t>
      </w:r>
    </w:p>
    <w:p w14:paraId="29E20E2B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b/>
          <w:bCs/>
          <w:color w:val="548DD4" w:themeColor="text2" w:themeTint="99"/>
          <w:sz w:val="28"/>
          <w:szCs w:val="28"/>
          <w:lang w:val="en-IN"/>
        </w:rPr>
      </w:pPr>
    </w:p>
    <w:p w14:paraId="02951AB1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b/>
          <w:bCs/>
          <w:lang w:val="en-IN"/>
        </w:rPr>
      </w:pPr>
      <w:r w:rsidRPr="005701FB">
        <w:rPr>
          <w:b/>
          <w:bCs/>
          <w:lang w:val="en-IN"/>
        </w:rPr>
        <w:t>4.1 For analysts &amp; data teams</w:t>
      </w:r>
    </w:p>
    <w:p w14:paraId="2D2DA8B5" w14:textId="77777777" w:rsidR="005701FB" w:rsidRPr="005701FB" w:rsidRDefault="005701FB" w:rsidP="005701FB">
      <w:pPr>
        <w:numPr>
          <w:ilvl w:val="0"/>
          <w:numId w:val="16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Unit normalization:</w:t>
      </w:r>
      <w:r w:rsidRPr="005701FB">
        <w:rPr>
          <w:lang w:val="en-IN"/>
        </w:rPr>
        <w:t xml:space="preserve"> Standardize units (e.g., convert all arrivals to kilograms/metric tonnes) before cross-commodity aggregation or ranking. Without unit harmonization, total-arrival ranks are misleading.</w:t>
      </w:r>
    </w:p>
    <w:p w14:paraId="4BADE845" w14:textId="77777777" w:rsidR="005701FB" w:rsidRPr="005701FB" w:rsidRDefault="005701FB" w:rsidP="005701FB">
      <w:pPr>
        <w:numPr>
          <w:ilvl w:val="0"/>
          <w:numId w:val="16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Unit-aware visualizations:</w:t>
      </w:r>
      <w:r w:rsidRPr="005701FB">
        <w:rPr>
          <w:lang w:val="en-IN"/>
        </w:rPr>
        <w:t xml:space="preserve"> When visualizing totals, show separate charts per unit type (or convert units first).</w:t>
      </w:r>
    </w:p>
    <w:p w14:paraId="69B4789A" w14:textId="77777777" w:rsidR="005701FB" w:rsidRDefault="005701FB" w:rsidP="005701FB">
      <w:pPr>
        <w:numPr>
          <w:ilvl w:val="0"/>
          <w:numId w:val="16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Disaggregate coconut/tender-coconut:</w:t>
      </w:r>
      <w:r w:rsidRPr="005701FB">
        <w:rPr>
          <w:lang w:val="en-IN"/>
        </w:rPr>
        <w:t xml:space="preserve"> Given their dominance in counts, </w:t>
      </w:r>
      <w:proofErr w:type="spellStart"/>
      <w:r w:rsidRPr="005701FB">
        <w:rPr>
          <w:lang w:val="en-IN"/>
        </w:rPr>
        <w:t>analyze</w:t>
      </w:r>
      <w:proofErr w:type="spellEnd"/>
      <w:r w:rsidRPr="005701FB">
        <w:rPr>
          <w:lang w:val="en-IN"/>
        </w:rPr>
        <w:t xml:space="preserve"> them separately (per-unit conversion and per-market breakdown).</w:t>
      </w:r>
    </w:p>
    <w:p w14:paraId="7549C3AC" w14:textId="77777777" w:rsidR="005701FB" w:rsidRPr="005701FB" w:rsidRDefault="005701FB" w:rsidP="005701FB">
      <w:pPr>
        <w:tabs>
          <w:tab w:val="left" w:pos="181"/>
        </w:tabs>
        <w:spacing w:line="360" w:lineRule="auto"/>
        <w:ind w:left="720"/>
        <w:rPr>
          <w:lang w:val="en-IN"/>
        </w:rPr>
      </w:pPr>
    </w:p>
    <w:p w14:paraId="4B83AE78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b/>
          <w:bCs/>
          <w:lang w:val="en-IN"/>
        </w:rPr>
      </w:pPr>
      <w:r w:rsidRPr="005701FB">
        <w:rPr>
          <w:b/>
          <w:bCs/>
          <w:lang w:val="en-IN"/>
        </w:rPr>
        <w:t>4.2 For market managers &amp; policy stakeholders</w:t>
      </w:r>
    </w:p>
    <w:p w14:paraId="15C91B78" w14:textId="77777777" w:rsidR="005701FB" w:rsidRPr="005701FB" w:rsidRDefault="005701FB" w:rsidP="005701FB">
      <w:pPr>
        <w:numPr>
          <w:ilvl w:val="0"/>
          <w:numId w:val="17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Target busiest markets (e.g., MADDUR):</w:t>
      </w:r>
      <w:r w:rsidRPr="005701FB">
        <w:rPr>
          <w:lang w:val="en-IN"/>
        </w:rPr>
        <w:t xml:space="preserve"> Prioritize market infrastructure and cold-chain facilities where arrivals are substantially higher.</w:t>
      </w:r>
    </w:p>
    <w:p w14:paraId="5F2F9752" w14:textId="77777777" w:rsidR="005701FB" w:rsidRDefault="005701FB" w:rsidP="005701FB">
      <w:pPr>
        <w:numPr>
          <w:ilvl w:val="0"/>
          <w:numId w:val="17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Seasonal planning:</w:t>
      </w:r>
      <w:r w:rsidRPr="005701FB">
        <w:rPr>
          <w:lang w:val="en-IN"/>
        </w:rPr>
        <w:t xml:space="preserve"> Use monthly average arrival patterns to schedule </w:t>
      </w:r>
      <w:proofErr w:type="spellStart"/>
      <w:r w:rsidRPr="005701FB">
        <w:rPr>
          <w:lang w:val="en-IN"/>
        </w:rPr>
        <w:t>labor</w:t>
      </w:r>
      <w:proofErr w:type="spellEnd"/>
      <w:r w:rsidRPr="005701FB">
        <w:rPr>
          <w:lang w:val="en-IN"/>
        </w:rPr>
        <w:t>, storage and transport capacity (e.g., pre-harvest readiness in peak months).</w:t>
      </w:r>
    </w:p>
    <w:p w14:paraId="41DB822F" w14:textId="77777777" w:rsidR="005701FB" w:rsidRPr="005701FB" w:rsidRDefault="005701FB" w:rsidP="005701FB">
      <w:pPr>
        <w:tabs>
          <w:tab w:val="left" w:pos="181"/>
        </w:tabs>
        <w:spacing w:line="360" w:lineRule="auto"/>
        <w:ind w:left="720"/>
        <w:rPr>
          <w:lang w:val="en-IN"/>
        </w:rPr>
      </w:pPr>
    </w:p>
    <w:p w14:paraId="3FCCFEA1" w14:textId="77777777" w:rsidR="005701FB" w:rsidRPr="005701FB" w:rsidRDefault="005701FB" w:rsidP="005701FB">
      <w:pPr>
        <w:tabs>
          <w:tab w:val="left" w:pos="181"/>
        </w:tabs>
        <w:spacing w:line="360" w:lineRule="auto"/>
        <w:rPr>
          <w:b/>
          <w:bCs/>
          <w:lang w:val="en-IN"/>
        </w:rPr>
      </w:pPr>
      <w:r w:rsidRPr="005701FB">
        <w:rPr>
          <w:b/>
          <w:bCs/>
          <w:lang w:val="en-IN"/>
        </w:rPr>
        <w:t>4.3 For further analysis</w:t>
      </w:r>
    </w:p>
    <w:p w14:paraId="36513829" w14:textId="77777777" w:rsidR="005701FB" w:rsidRPr="005701FB" w:rsidRDefault="005701FB" w:rsidP="005701FB">
      <w:pPr>
        <w:numPr>
          <w:ilvl w:val="0"/>
          <w:numId w:val="18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Unit-harmonized commodity flows:</w:t>
      </w:r>
      <w:r w:rsidRPr="005701FB">
        <w:rPr>
          <w:lang w:val="en-IN"/>
        </w:rPr>
        <w:t xml:space="preserve"> Convert to a single weight unit and recompute top commodities and market shares.</w:t>
      </w:r>
    </w:p>
    <w:p w14:paraId="64E45648" w14:textId="77777777" w:rsidR="005701FB" w:rsidRPr="005701FB" w:rsidRDefault="005701FB" w:rsidP="005701FB">
      <w:pPr>
        <w:numPr>
          <w:ilvl w:val="0"/>
          <w:numId w:val="18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Commodity-level seasonality &amp; forecasting:</w:t>
      </w:r>
      <w:r w:rsidRPr="005701FB">
        <w:rPr>
          <w:lang w:val="en-IN"/>
        </w:rPr>
        <w:t xml:space="preserve"> Build time-series forecasts per commodity and per market (requires multi-year data to be robust).</w:t>
      </w:r>
    </w:p>
    <w:p w14:paraId="26CEFCBF" w14:textId="77777777" w:rsidR="005701FB" w:rsidRPr="005701FB" w:rsidRDefault="005701FB" w:rsidP="005701FB">
      <w:pPr>
        <w:numPr>
          <w:ilvl w:val="0"/>
          <w:numId w:val="18"/>
        </w:numPr>
        <w:tabs>
          <w:tab w:val="left" w:pos="181"/>
        </w:tabs>
        <w:spacing w:line="360" w:lineRule="auto"/>
        <w:rPr>
          <w:lang w:val="en-IN"/>
        </w:rPr>
      </w:pPr>
      <w:r w:rsidRPr="005701FB">
        <w:rPr>
          <w:b/>
          <w:bCs/>
          <w:lang w:val="en-IN"/>
        </w:rPr>
        <w:t>Price-arrival linkage:</w:t>
      </w:r>
      <w:r w:rsidRPr="005701FB">
        <w:rPr>
          <w:lang w:val="en-IN"/>
        </w:rPr>
        <w:t xml:space="preserve"> If price data are available, </w:t>
      </w:r>
      <w:proofErr w:type="spellStart"/>
      <w:r w:rsidRPr="005701FB">
        <w:rPr>
          <w:lang w:val="en-IN"/>
        </w:rPr>
        <w:t>analyze</w:t>
      </w:r>
      <w:proofErr w:type="spellEnd"/>
      <w:r w:rsidRPr="005701FB">
        <w:rPr>
          <w:lang w:val="en-IN"/>
        </w:rPr>
        <w:t xml:space="preserve"> arrival—price elasticities (are prices dropping when arrivals spike?).</w:t>
      </w:r>
    </w:p>
    <w:p w14:paraId="6DC2F723" w14:textId="2DDA5EAC" w:rsidR="005701FB" w:rsidRPr="005701FB" w:rsidRDefault="005701FB" w:rsidP="005701FB">
      <w:pPr>
        <w:tabs>
          <w:tab w:val="left" w:pos="181"/>
        </w:tabs>
        <w:spacing w:line="360" w:lineRule="auto"/>
        <w:rPr>
          <w:lang w:val="en-IN"/>
        </w:rPr>
      </w:pPr>
    </w:p>
    <w:p w14:paraId="4C6B7A54" w14:textId="42934004" w:rsidR="00EB472C" w:rsidRDefault="00EB472C" w:rsidP="005701FB">
      <w:pPr>
        <w:tabs>
          <w:tab w:val="left" w:pos="181"/>
        </w:tabs>
        <w:spacing w:line="360" w:lineRule="auto"/>
      </w:pPr>
    </w:p>
    <w:sectPr w:rsidR="00EB472C">
      <w:pgSz w:w="12240" w:h="15840"/>
      <w:pgMar w:top="126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44B5"/>
    <w:multiLevelType w:val="multilevel"/>
    <w:tmpl w:val="51D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C33AD"/>
    <w:multiLevelType w:val="multilevel"/>
    <w:tmpl w:val="4AEEEE00"/>
    <w:lvl w:ilvl="0">
      <w:start w:val="1"/>
      <w:numFmt w:val="decimal"/>
      <w:lvlText w:val="%1."/>
      <w:lvlJc w:val="left"/>
      <w:pPr>
        <w:ind w:left="355" w:hanging="310"/>
      </w:pPr>
      <w:rPr>
        <w:rFonts w:ascii="Arial" w:eastAsia="Arial" w:hAnsi="Arial" w:cs="Arial" w:hint="default"/>
        <w:b/>
        <w:bCs/>
        <w:i w:val="0"/>
        <w:iCs w:val="0"/>
        <w:color w:val="1F5F8B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3" w:hanging="399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82" w:hanging="39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20" w:hanging="3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" w:hanging="3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81" w:hanging="3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23" w:hanging="3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65" w:hanging="3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06" w:hanging="399"/>
      </w:pPr>
      <w:rPr>
        <w:rFonts w:hint="default"/>
        <w:lang w:val="en-US" w:eastAsia="en-US" w:bidi="ar-SA"/>
      </w:rPr>
    </w:lvl>
  </w:abstractNum>
  <w:abstractNum w:abstractNumId="2" w15:restartNumberingAfterBreak="0">
    <w:nsid w:val="04654E39"/>
    <w:multiLevelType w:val="multilevel"/>
    <w:tmpl w:val="3C38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A55D1"/>
    <w:multiLevelType w:val="multilevel"/>
    <w:tmpl w:val="0DC0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83FD6"/>
    <w:multiLevelType w:val="multilevel"/>
    <w:tmpl w:val="5E14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C2146"/>
    <w:multiLevelType w:val="multilevel"/>
    <w:tmpl w:val="6986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D14D0"/>
    <w:multiLevelType w:val="multilevel"/>
    <w:tmpl w:val="4BE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B3BF1"/>
    <w:multiLevelType w:val="multilevel"/>
    <w:tmpl w:val="92AE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434D4"/>
    <w:multiLevelType w:val="multilevel"/>
    <w:tmpl w:val="E89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76168"/>
    <w:multiLevelType w:val="multilevel"/>
    <w:tmpl w:val="512A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97D45"/>
    <w:multiLevelType w:val="hybridMultilevel"/>
    <w:tmpl w:val="CEA6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406A7"/>
    <w:multiLevelType w:val="multilevel"/>
    <w:tmpl w:val="D8B2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8418B7"/>
    <w:multiLevelType w:val="multilevel"/>
    <w:tmpl w:val="BB50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67EE1"/>
    <w:multiLevelType w:val="multilevel"/>
    <w:tmpl w:val="C68E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17142"/>
    <w:multiLevelType w:val="multilevel"/>
    <w:tmpl w:val="619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26737"/>
    <w:multiLevelType w:val="multilevel"/>
    <w:tmpl w:val="F522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C0F40"/>
    <w:multiLevelType w:val="multilevel"/>
    <w:tmpl w:val="8CC6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37A1B"/>
    <w:multiLevelType w:val="multilevel"/>
    <w:tmpl w:val="7FBE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E12E6B"/>
    <w:multiLevelType w:val="multilevel"/>
    <w:tmpl w:val="181C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90A84"/>
    <w:multiLevelType w:val="multilevel"/>
    <w:tmpl w:val="47E8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4156">
    <w:abstractNumId w:val="1"/>
  </w:num>
  <w:num w:numId="2" w16cid:durableId="1001739742">
    <w:abstractNumId w:val="15"/>
  </w:num>
  <w:num w:numId="3" w16cid:durableId="1488668430">
    <w:abstractNumId w:val="14"/>
  </w:num>
  <w:num w:numId="4" w16cid:durableId="1111784659">
    <w:abstractNumId w:val="6"/>
  </w:num>
  <w:num w:numId="5" w16cid:durableId="1290238990">
    <w:abstractNumId w:val="3"/>
  </w:num>
  <w:num w:numId="6" w16cid:durableId="805051528">
    <w:abstractNumId w:val="4"/>
  </w:num>
  <w:num w:numId="7" w16cid:durableId="1038821394">
    <w:abstractNumId w:val="9"/>
  </w:num>
  <w:num w:numId="8" w16cid:durableId="2053528330">
    <w:abstractNumId w:val="19"/>
  </w:num>
  <w:num w:numId="9" w16cid:durableId="175389559">
    <w:abstractNumId w:val="12"/>
  </w:num>
  <w:num w:numId="10" w16cid:durableId="1404066012">
    <w:abstractNumId w:val="5"/>
  </w:num>
  <w:num w:numId="11" w16cid:durableId="1533881346">
    <w:abstractNumId w:val="11"/>
  </w:num>
  <w:num w:numId="12" w16cid:durableId="1229807291">
    <w:abstractNumId w:val="2"/>
  </w:num>
  <w:num w:numId="13" w16cid:durableId="351221740">
    <w:abstractNumId w:val="18"/>
  </w:num>
  <w:num w:numId="14" w16cid:durableId="105738476">
    <w:abstractNumId w:val="8"/>
  </w:num>
  <w:num w:numId="15" w16cid:durableId="955326895">
    <w:abstractNumId w:val="13"/>
  </w:num>
  <w:num w:numId="16" w16cid:durableId="551618739">
    <w:abstractNumId w:val="16"/>
  </w:num>
  <w:num w:numId="17" w16cid:durableId="1653636371">
    <w:abstractNumId w:val="17"/>
  </w:num>
  <w:num w:numId="18" w16cid:durableId="1824615207">
    <w:abstractNumId w:val="7"/>
  </w:num>
  <w:num w:numId="19" w16cid:durableId="1919752380">
    <w:abstractNumId w:val="0"/>
  </w:num>
  <w:num w:numId="20" w16cid:durableId="6644750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2C"/>
    <w:rsid w:val="005701FB"/>
    <w:rsid w:val="008047AD"/>
    <w:rsid w:val="00C24218"/>
    <w:rsid w:val="00D711F0"/>
    <w:rsid w:val="00EB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DDF4"/>
  <w15:docId w15:val="{0544E96B-F11E-4147-B11F-628A54DC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52" w:hanging="30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441" w:hanging="396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27"/>
      <w:ind w:left="407" w:hanging="362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6"/>
      <w:ind w:left="181" w:hanging="136"/>
    </w:pPr>
  </w:style>
  <w:style w:type="paragraph" w:styleId="Title">
    <w:name w:val="Title"/>
    <w:basedOn w:val="Normal"/>
    <w:uiPriority w:val="10"/>
    <w:qFormat/>
    <w:pPr>
      <w:spacing w:before="65"/>
      <w:ind w:left="179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66"/>
      <w:ind w:left="181" w:hanging="1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modi laxmi hansitha</cp:lastModifiedBy>
  <cp:revision>2</cp:revision>
  <dcterms:created xsi:type="dcterms:W3CDTF">2025-10-07T05:49:00Z</dcterms:created>
  <dcterms:modified xsi:type="dcterms:W3CDTF">2025-10-07T05:49:00Z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2025-10-07T00:00:00Z</vt:filetime>
  </property>
  <property fmtid="{D5CDD505-2E9C-101B-9397-08002B2CF9AE}" pid="5" name="Producer">
    <vt:lpwstr>Microsoft® Word for Microsoft 365</vt:lpwstr>
  </property>
</Properties>
</file>