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ce4dfe2913caadea7a86c6c33e8d461b280d947"/>
    <w:p>
      <w:pPr>
        <w:pStyle w:val="Heading1"/>
      </w:pPr>
      <w:r>
        <w:t xml:space="preserve">EJWCS Framework: Multi‑Tenant, Modular Workflow Orchestration with LLM Integration</w:t>
      </w:r>
    </w:p>
    <w:bookmarkStart w:id="23" w:name="executive-summary"/>
    <w:p>
      <w:pPr>
        <w:pStyle w:val="Heading2"/>
      </w:pPr>
      <w:r>
        <w:t xml:space="preserve">Executive Summary</w:t>
      </w:r>
    </w:p>
    <w:p>
      <w:pPr>
        <w:pStyle w:val="FirstParagraph"/>
      </w:pPr>
      <w:r>
        <w:t xml:space="preserve">Enhanced Job Workflow Capture &amp; Synthesis (EJWCS) is a next-generation orchestration framework that automates complex business workflows with</w:t>
      </w:r>
      <w:r>
        <w:t xml:space="preserve"> </w:t>
      </w:r>
      <w:r>
        <w:rPr>
          <w:b/>
          <w:bCs/>
        </w:rPr>
        <w:t xml:space="preserve">PhD-level rigor</w:t>
      </w:r>
      <w:r>
        <w:t xml:space="preserve"> </w:t>
      </w:r>
      <w:r>
        <w:t xml:space="preserve">and enterprise readiness. This report presents an upgraded EJWCS platform with</w:t>
      </w:r>
      <w:r>
        <w:t xml:space="preserve"> </w:t>
      </w:r>
      <w:r>
        <w:rPr>
          <w:b/>
          <w:bCs/>
        </w:rPr>
        <w:t xml:space="preserve">multi-tenant</w:t>
      </w:r>
      <w:r>
        <w:t xml:space="preserve"> </w:t>
      </w:r>
      <w:r>
        <w:t xml:space="preserve">architecture and highly</w:t>
      </w:r>
      <w:r>
        <w:t xml:space="preserve"> </w:t>
      </w:r>
      <w:r>
        <w:rPr>
          <w:b/>
          <w:bCs/>
        </w:rPr>
        <w:t xml:space="preserve">modular components</w:t>
      </w:r>
      <w:r>
        <w:t xml:space="preserve"> </w:t>
      </w:r>
      <w:r>
        <w:t xml:space="preserve">for maximum flexibility. Key enhancements include a clear separation of an</w:t>
      </w:r>
      <w:r>
        <w:t xml:space="preserve"> </w:t>
      </w:r>
      <w:r>
        <w:rPr>
          <w:b/>
          <w:bCs/>
        </w:rPr>
        <w:t xml:space="preserve">agent-based orchestration layer</w:t>
      </w:r>
      <w:r>
        <w:t xml:space="preserve">, pluggable pipeline modules, and integration of</w:t>
      </w:r>
      <w:r>
        <w:t xml:space="preserve"> </w:t>
      </w:r>
      <w:r>
        <w:rPr>
          <w:b/>
          <w:bCs/>
        </w:rPr>
        <w:t xml:space="preserve">large language model (LLM)</w:t>
      </w:r>
      <w:r>
        <w:t xml:space="preserve"> </w:t>
      </w:r>
      <w:r>
        <w:t xml:space="preserve">capabilities in a controlled manner. The system aligns with industry standards like</w:t>
      </w:r>
      <w:r>
        <w:t xml:space="preserve"> </w:t>
      </w:r>
      <w:r>
        <w:rPr>
          <w:b/>
          <w:bCs/>
        </w:rPr>
        <w:t xml:space="preserve">BPMN 2.0</w:t>
      </w:r>
      <w:r>
        <w:t xml:space="preserve"> </w:t>
      </w:r>
      <w:r>
        <w:t xml:space="preserve">(Business Process Model and Notation) for defining workflows, ensuring that processes are both human-readable and machine-executable</w:t>
      </w:r>
      <w:hyperlink r:id="rId21">
        <w:r>
          <w:rPr>
            <w:rStyle w:val="Hyperlink"/>
          </w:rPr>
          <w:t xml:space="preserve">[1]</w:t>
        </w:r>
      </w:hyperlink>
      <w:r>
        <w:t xml:space="preserve">. It also features</w:t>
      </w:r>
      <w:r>
        <w:t xml:space="preserve"> </w:t>
      </w:r>
      <w:r>
        <w:rPr>
          <w:b/>
          <w:bCs/>
        </w:rPr>
        <w:t xml:space="preserve">LangChain-style agentic composability</w:t>
      </w:r>
      <w:r>
        <w:t xml:space="preserve">, allowing dynamic invocation of tools and sub-agents within workflows for greater adaptability.</w:t>
      </w:r>
    </w:p>
    <w:p>
      <w:pPr>
        <w:pStyle w:val="BodyText"/>
      </w:pPr>
      <w:r>
        <w:t xml:space="preserve">Crucially, the enhanced EJWCS emphasizes</w:t>
      </w:r>
      <w:r>
        <w:t xml:space="preserve"> </w:t>
      </w:r>
      <w:r>
        <w:rPr>
          <w:b/>
          <w:bCs/>
        </w:rPr>
        <w:t xml:space="preserve">observability and governance</w:t>
      </w:r>
      <w:r>
        <w:t xml:space="preserve">: it is instrumented with</w:t>
      </w:r>
      <w:r>
        <w:t xml:space="preserve"> </w:t>
      </w:r>
      <w:r>
        <w:rPr>
          <w:b/>
          <w:bCs/>
        </w:rPr>
        <w:t xml:space="preserve">OpenTelemetry</w:t>
      </w:r>
      <w:r>
        <w:t xml:space="preserve"> </w:t>
      </w:r>
      <w:r>
        <w:t xml:space="preserve">for end-to-end tracing, metrics, and structured logging</w:t>
      </w:r>
      <w:hyperlink r:id="rId22">
        <w:r>
          <w:rPr>
            <w:rStyle w:val="Hyperlink"/>
          </w:rPr>
          <w:t xml:space="preserve">[2]</w:t>
        </w:r>
      </w:hyperlink>
      <w:r>
        <w:t xml:space="preserve">, and enforces</w:t>
      </w:r>
      <w:r>
        <w:t xml:space="preserve"> </w:t>
      </w:r>
      <w:r>
        <w:rPr>
          <w:b/>
          <w:bCs/>
        </w:rPr>
        <w:t xml:space="preserve">LLM guardrails</w:t>
      </w:r>
      <w:r>
        <w:t xml:space="preserve"> </w:t>
      </w:r>
      <w:r>
        <w:t xml:space="preserve">to ensure AI-driven steps produce safe and reliable outputs. The platform is engineered for</w:t>
      </w:r>
      <w:r>
        <w:t xml:space="preserve"> </w:t>
      </w:r>
      <w:r>
        <w:rPr>
          <w:b/>
          <w:bCs/>
        </w:rPr>
        <w:t xml:space="preserve">commercial SaaS deployment</w:t>
      </w:r>
      <w:r>
        <w:t xml:space="preserve">, offering OpenAPI endpoints for integration, options for CLI/GUI interfaces, and multi-tier tenancy with security isolation. In summary, this upgraded framework combines cutting-edge AI agent integration with robust workflow automation standards, providing a foundation for a</w:t>
      </w:r>
      <w:r>
        <w:t xml:space="preserve"> </w:t>
      </w:r>
      <w:r>
        <w:rPr>
          <w:b/>
          <w:bCs/>
        </w:rPr>
        <w:t xml:space="preserve">monetizable</w:t>
      </w:r>
      <w:r>
        <w:t xml:space="preserve"> </w:t>
      </w:r>
      <w:r>
        <w:t xml:space="preserve">SaaS product that can be confidently presented to stakeholders and customers.</w:t>
      </w:r>
    </w:p>
    <w:bookmarkEnd w:id="23"/>
    <w:bookmarkStart w:id="37" w:name="modular-system-architecture"/>
    <w:p>
      <w:pPr>
        <w:pStyle w:val="Heading2"/>
      </w:pPr>
      <w:r>
        <w:t xml:space="preserve">Modular System Architecture</w:t>
      </w:r>
    </w:p>
    <w:p>
      <w:pPr>
        <w:pStyle w:val="FirstParagraph"/>
      </w:pPr>
      <w:r>
        <w:t xml:space="preserve">EJWCS’s architecture is built around</w:t>
      </w:r>
      <w:r>
        <w:t xml:space="preserve"> </w:t>
      </w:r>
      <w:r>
        <w:rPr>
          <w:b/>
          <w:bCs/>
        </w:rPr>
        <w:t xml:space="preserve">modularity and multi-tenancy</w:t>
      </w:r>
      <w:r>
        <w:t xml:space="preserve">. The system is decomposed into loosely-coupled components that can be developed, scaled, and maintained independently. Multi-tenant readiness means each client organization (tenant) can share the platform while keeping data and processes isolated</w:t>
      </w:r>
      <w:hyperlink r:id="rId24">
        <w:r>
          <w:rPr>
            <w:rStyle w:val="Hyperlink"/>
          </w:rPr>
          <w:t xml:space="preserve">[3]</w:t>
        </w:r>
      </w:hyperlink>
      <w:hyperlink r:id="rId25">
        <w:r>
          <w:rPr>
            <w:rStyle w:val="Hyperlink"/>
          </w:rPr>
          <w:t xml:space="preserve">[4]</w:t>
        </w:r>
      </w:hyperlink>
      <w:r>
        <w:t xml:space="preserve">.</w:t>
      </w:r>
      <w:r>
        <w:t xml:space="preserve"> </w:t>
      </w:r>
      <w:r>
        <w:rPr>
          <w:b/>
          <w:bCs/>
        </w:rPr>
        <w:t xml:space="preserve">Tenant isolation</w:t>
      </w:r>
      <w:r>
        <w:t xml:space="preserve"> </w:t>
      </w:r>
      <w:r>
        <w:t xml:space="preserve">is achieved via strict data scoping (e.g. org-specific IDs, segregated databases or schemas) and fine-grained role-based access controls (RBAC) for all services. Common identity services (OIDC for SSO, API keys per tenant, etc.) and encryption (per-tenant keys) are incorporated to ensure that one tenant’s data cannot leak into another’s context</w:t>
      </w:r>
      <w:hyperlink r:id="rId26">
        <w:r>
          <w:rPr>
            <w:rStyle w:val="Hyperlink"/>
          </w:rPr>
          <w:t xml:space="preserve">[5]</w:t>
        </w:r>
      </w:hyperlink>
      <w:r>
        <w:t xml:space="preserve">. This provides the security and privacy guarantees required for a SaaS offering.</w:t>
      </w:r>
    </w:p>
    <w:p>
      <w:pPr>
        <w:pStyle w:val="BodyText"/>
      </w:pPr>
      <w:r>
        <w:t xml:space="preserve">At the core is the</w:t>
      </w:r>
      <w:r>
        <w:t xml:space="preserve"> </w:t>
      </w:r>
      <w:r>
        <w:rPr>
          <w:b/>
          <w:bCs/>
        </w:rPr>
        <w:t xml:space="preserve">Orchestrator</w:t>
      </w:r>
      <w:r>
        <w:t xml:space="preserve"> </w:t>
      </w:r>
      <w:r>
        <w:t xml:space="preserve">(Agent Runtime), which functions as the “brain” of workflow execution. It contains an internal workflow engine that supports both</w:t>
      </w:r>
      <w:r>
        <w:t xml:space="preserve"> </w:t>
      </w:r>
      <w:r>
        <w:rPr>
          <w:b/>
          <w:bCs/>
        </w:rPr>
        <w:t xml:space="preserve">directed acyclic graphs (DAGs)</w:t>
      </w:r>
      <w:r>
        <w:t xml:space="preserve"> </w:t>
      </w:r>
      <w:r>
        <w:t xml:space="preserve">and</w:t>
      </w:r>
      <w:r>
        <w:t xml:space="preserve"> </w:t>
      </w:r>
      <w:r>
        <w:rPr>
          <w:b/>
          <w:bCs/>
        </w:rPr>
        <w:t xml:space="preserve">BPMN 2.0 workflows</w:t>
      </w:r>
      <w:hyperlink r:id="rId27">
        <w:r>
          <w:rPr>
            <w:rStyle w:val="Hyperlink"/>
          </w:rPr>
          <w:t xml:space="preserve">[6]</w:t>
        </w:r>
      </w:hyperlink>
      <w:r>
        <w:t xml:space="preserve">. This means developers or analysts can define processes either programmatically or using BPMN’s standard notation (which is widely adopted for business process modeling</w:t>
      </w:r>
      <w:hyperlink r:id="rId21">
        <w:r>
          <w:rPr>
            <w:rStyle w:val="Hyperlink"/>
          </w:rPr>
          <w:t xml:space="preserve">[1]</w:t>
        </w:r>
      </w:hyperlink>
      <w:r>
        <w:t xml:space="preserve">). The BPMN alignment ensures that even non-technical stakeholders can design and understand the workflows in a familiar, flowchart-like visual form, and these diagrams can be translated into executable processes by the engine. The workflow engine handles control flow, branching, parallelism, and error compensation (using the</w:t>
      </w:r>
      <w:r>
        <w:t xml:space="preserve"> </w:t>
      </w:r>
      <w:r>
        <w:rPr>
          <w:b/>
          <w:bCs/>
        </w:rPr>
        <w:t xml:space="preserve">Saga pattern</w:t>
      </w:r>
      <w:r>
        <w:t xml:space="preserve"> </w:t>
      </w:r>
      <w:r>
        <w:t xml:space="preserve">for long-running transactions and rollbacks</w:t>
      </w:r>
      <w:hyperlink r:id="rId27">
        <w:r>
          <w:rPr>
            <w:rStyle w:val="Hyperlink"/>
          </w:rPr>
          <w:t xml:space="preserve">[6]</w:t>
        </w:r>
      </w:hyperlink>
      <w:r>
        <w:t xml:space="preserve">).</w:t>
      </w:r>
    </w:p>
    <w:p>
      <w:pPr>
        <w:pStyle w:val="BodyText"/>
      </w:pPr>
      <w:r>
        <w:rPr>
          <w:b/>
          <w:bCs/>
        </w:rPr>
        <w:t xml:space="preserve">Agent-Layer Separation:</w:t>
      </w:r>
      <w:r>
        <w:t xml:space="preserve"> </w:t>
      </w:r>
      <w:r>
        <w:t xml:space="preserve">Within the orchestrator, we implement an agent-based design. A central</w:t>
      </w:r>
      <w:r>
        <w:t xml:space="preserve"> </w:t>
      </w:r>
      <w:r>
        <w:rPr>
          <w:b/>
          <w:bCs/>
        </w:rPr>
        <w:t xml:space="preserve">Coordinator Agent</w:t>
      </w:r>
      <w:r>
        <w:t xml:space="preserve"> </w:t>
      </w:r>
      <w:r>
        <w:t xml:space="preserve">(or planner) is responsible for interpreting the workflow or incoming tasks and delegating work to specialized modules. This draws inspiration from LangChain’s architecture, where complex tasks can be broken into smaller tool calls or sub-agents. Our platform similarly allows the orchestrator to invoke</w:t>
      </w:r>
      <w:r>
        <w:t xml:space="preserve"> </w:t>
      </w:r>
      <w:r>
        <w:rPr>
          <w:b/>
          <w:bCs/>
        </w:rPr>
        <w:t xml:space="preserve">“skill” modules</w:t>
      </w:r>
      <w:r>
        <w:t xml:space="preserve"> </w:t>
      </w:r>
      <w:r>
        <w:t xml:space="preserve">(discrete services for specific tasks) in sequence or even dynamically. For example, if using an AI agent to decide next steps, the LLM can act as a high-level planner that picks which tool to use next, akin to the</w:t>
      </w:r>
      <w:r>
        <w:t xml:space="preserve"> </w:t>
      </w:r>
      <w:r>
        <w:rPr>
          <w:i/>
          <w:iCs/>
        </w:rPr>
        <w:t xml:space="preserve">controller</w:t>
      </w:r>
      <w:r>
        <w:t xml:space="preserve"> </w:t>
      </w:r>
      <w:r>
        <w:t xml:space="preserve">in a LangChain multi-agent system</w:t>
      </w:r>
      <w:hyperlink r:id="rId28">
        <w:r>
          <w:rPr>
            <w:rStyle w:val="Hyperlink"/>
          </w:rPr>
          <w:t xml:space="preserve">[7]</w:t>
        </w:r>
      </w:hyperlink>
      <w:r>
        <w:t xml:space="preserve">. Each functional step in a workflow (document parsing, validation, notification, etc.) is implemented as a</w:t>
      </w:r>
      <w:r>
        <w:t xml:space="preserve"> </w:t>
      </w:r>
      <w:r>
        <w:rPr>
          <w:b/>
          <w:bCs/>
        </w:rPr>
        <w:t xml:space="preserve">pluggable pipeline component</w:t>
      </w:r>
      <w:r>
        <w:t xml:space="preserve"> </w:t>
      </w:r>
      <w:r>
        <w:t xml:space="preserve">with a clear interface (input/output schema) and registered in a</w:t>
      </w:r>
      <w:r>
        <w:t xml:space="preserve"> </w:t>
      </w:r>
      <w:r>
        <w:rPr>
          <w:b/>
          <w:bCs/>
        </w:rPr>
        <w:t xml:space="preserve">skill registry</w:t>
      </w:r>
      <w:hyperlink r:id="rId27">
        <w:r>
          <w:rPr>
            <w:rStyle w:val="Hyperlink"/>
          </w:rPr>
          <w:t xml:space="preserve">[6]</w:t>
        </w:r>
      </w:hyperlink>
      <w:r>
        <w:t xml:space="preserve">. The orchestrator can call these skills via APIs or SDK calls, and new skills can be added (or swapped out) without affecting the others, making the system highly extensible.</w:t>
      </w:r>
    </w:p>
    <w:p>
      <w:pPr>
        <w:pStyle w:val="BodyText"/>
      </w:pPr>
      <w:r>
        <w:t xml:space="preserve">To illustrate the modular architecture, consider the following high-level component diagram:</w:t>
      </w:r>
    </w:p>
    <w:p>
      <w:pPr>
        <w:pStyle w:val="SourceCode"/>
      </w:pPr>
      <w:r>
        <w:rPr>
          <w:rStyle w:val="VerbatimChar"/>
        </w:rPr>
        <w:t xml:space="preserve">flowchart LR</w:t>
      </w:r>
      <w:r>
        <w:br/>
      </w:r>
      <w:r>
        <w:rPr>
          <w:rStyle w:val="VerbatimChar"/>
        </w:rPr>
        <w:t xml:space="preserve">    subgraph EJWCS Multi-Tenant Platform</w:t>
      </w:r>
      <w:r>
        <w:br/>
      </w:r>
      <w:r>
        <w:rPr>
          <w:rStyle w:val="VerbatimChar"/>
        </w:rPr>
        <w:t xml:space="preserve">        direction LR</w:t>
      </w:r>
      <w:r>
        <w:br/>
      </w:r>
      <w:r>
        <w:rPr>
          <w:rStyle w:val="VerbatimChar"/>
        </w:rPr>
        <w:t xml:space="preserve">        %% Ingress layer</w:t>
      </w:r>
      <w:r>
        <w:br/>
      </w:r>
      <w:r>
        <w:rPr>
          <w:rStyle w:val="VerbatimChar"/>
        </w:rPr>
        <w:t xml:space="preserve">        subgraph Ingress Adapters</w:t>
      </w:r>
      <w:r>
        <w:br/>
      </w:r>
      <w:r>
        <w:rPr>
          <w:rStyle w:val="VerbatimChar"/>
        </w:rPr>
        <w:t xml:space="preserve">            WA[**WhatsApp** Webhook]</w:t>
      </w:r>
      <w:r>
        <w:br/>
      </w:r>
      <w:r>
        <w:rPr>
          <w:rStyle w:val="VerbatimChar"/>
        </w:rPr>
        <w:t xml:space="preserve">            Email[**Email** Listener]</w:t>
      </w:r>
      <w:r>
        <w:br/>
      </w:r>
      <w:r>
        <w:rPr>
          <w:rStyle w:val="VerbatimChar"/>
        </w:rPr>
        <w:t xml:space="preserve">            APIIn[**REST API** Gateway]</w:t>
      </w:r>
      <w:r>
        <w:br/>
      </w:r>
      <w:r>
        <w:rPr>
          <w:rStyle w:val="VerbatimChar"/>
        </w:rPr>
        <w:t xml:space="preserve">        end</w:t>
      </w:r>
      <w:r>
        <w:br/>
      </w:r>
      <w:r>
        <w:rPr>
          <w:rStyle w:val="VerbatimChar"/>
        </w:rPr>
        <w:t xml:space="preserve">        %% Core orchestration layer</w:t>
      </w:r>
      <w:r>
        <w:br/>
      </w:r>
      <w:r>
        <w:rPr>
          <w:rStyle w:val="VerbatimChar"/>
        </w:rPr>
        <w:t xml:space="preserve">        subgraph Orchestrator (Agent Runtime)</w:t>
      </w:r>
      <w:r>
        <w:br/>
      </w:r>
      <w:r>
        <w:rPr>
          <w:rStyle w:val="VerbatimChar"/>
        </w:rPr>
        <w:t xml:space="preserve">            EventBus((Event Bus))</w:t>
      </w:r>
      <w:r>
        <w:br/>
      </w:r>
      <w:r>
        <w:rPr>
          <w:rStyle w:val="VerbatimChar"/>
        </w:rPr>
        <w:t xml:space="preserve">            Engine[Workflow Engine&lt;br/&gt;(DAG + BPMN)]</w:t>
      </w:r>
      <w:r>
        <w:br/>
      </w:r>
      <w:r>
        <w:rPr>
          <w:rStyle w:val="VerbatimChar"/>
        </w:rPr>
        <w:t xml:space="preserve">            PolicyGuard[[LLM Policy Guardrails]]</w:t>
      </w:r>
      <w:r>
        <w:br/>
      </w:r>
      <w:r>
        <w:rPr>
          <w:rStyle w:val="VerbatimChar"/>
        </w:rPr>
        <w:t xml:space="preserve">            %% LLM Integration as part of orchestrator</w:t>
      </w:r>
      <w:r>
        <w:br/>
      </w:r>
      <w:r>
        <w:rPr>
          <w:rStyle w:val="VerbatimChar"/>
        </w:rPr>
        <w:t xml:space="preserve">            LLMIntegration[LLM Integration&lt;br/&gt;(Tool-using Agent)]</w:t>
      </w:r>
      <w:r>
        <w:br/>
      </w:r>
      <w:r>
        <w:rPr>
          <w:rStyle w:val="VerbatimChar"/>
        </w:rPr>
        <w:t xml:space="preserve">        end</w:t>
      </w:r>
      <w:r>
        <w:br/>
      </w:r>
      <w:r>
        <w:rPr>
          <w:rStyle w:val="VerbatimChar"/>
        </w:rPr>
        <w:t xml:space="preserve">        %% Skill services layer</w:t>
      </w:r>
      <w:r>
        <w:br/>
      </w:r>
      <w:r>
        <w:rPr>
          <w:rStyle w:val="VerbatimChar"/>
        </w:rPr>
        <w:t xml:space="preserve">        subgraph Skill &amp; Business Services</w:t>
      </w:r>
      <w:r>
        <w:br/>
      </w:r>
      <w:r>
        <w:rPr>
          <w:rStyle w:val="VerbatimChar"/>
        </w:rPr>
        <w:t xml:space="preserve">            Extract[Document Extraction Service]</w:t>
      </w:r>
      <w:r>
        <w:br/>
      </w:r>
      <w:r>
        <w:rPr>
          <w:rStyle w:val="VerbatimChar"/>
        </w:rPr>
        <w:t xml:space="preserve">            Vendor[Vendor Resolution Service]</w:t>
      </w:r>
      <w:r>
        <w:br/>
      </w:r>
      <w:r>
        <w:rPr>
          <w:rStyle w:val="VerbatimChar"/>
        </w:rPr>
        <w:t xml:space="preserve">            GLCoding[GL Coding Service]</w:t>
      </w:r>
      <w:r>
        <w:br/>
      </w:r>
      <w:r>
        <w:rPr>
          <w:rStyle w:val="VerbatimChar"/>
        </w:rPr>
        <w:t xml:space="preserve">            Notify[Notification Service]</w:t>
      </w:r>
      <w:r>
        <w:br/>
      </w:r>
      <w:r>
        <w:rPr>
          <w:rStyle w:val="VerbatimChar"/>
        </w:rPr>
        <w:t xml:space="preserve">            HumanTask[Human Approval Task]</w:t>
      </w:r>
      <w:r>
        <w:br/>
      </w:r>
      <w:r>
        <w:rPr>
          <w:rStyle w:val="VerbatimChar"/>
        </w:rPr>
        <w:t xml:space="preserve">            % etc can indicate more pluggable skills</w:t>
      </w:r>
      <w:r>
        <w:br/>
      </w:r>
      <w:r>
        <w:rPr>
          <w:rStyle w:val="VerbatimChar"/>
        </w:rPr>
        <w:t xml:space="preserve">            OtherSkills[...] </w:t>
      </w:r>
      <w:r>
        <w:br/>
      </w:r>
      <w:r>
        <w:rPr>
          <w:rStyle w:val="VerbatimChar"/>
        </w:rPr>
        <w:t xml:space="preserve">        end</w:t>
      </w:r>
      <w:r>
        <w:br/>
      </w:r>
      <w:r>
        <w:rPr>
          <w:rStyle w:val="VerbatimChar"/>
        </w:rPr>
        <w:t xml:space="preserve">        %% External connectors</w:t>
      </w:r>
      <w:r>
        <w:br/>
      </w:r>
      <w:r>
        <w:rPr>
          <w:rStyle w:val="VerbatimChar"/>
        </w:rPr>
        <w:t xml:space="preserve">        subgraph Connectors (External Systems)</w:t>
      </w:r>
      <w:r>
        <w:br/>
      </w:r>
      <w:r>
        <w:rPr>
          <w:rStyle w:val="VerbatimChar"/>
        </w:rPr>
        <w:t xml:space="preserve">            ERP[ERP/Accounting API&lt;br/&gt;(e.g., QBO)]</w:t>
      </w:r>
      <w:r>
        <w:br/>
      </w:r>
      <w:r>
        <w:rPr>
          <w:rStyle w:val="VerbatimChar"/>
        </w:rPr>
        <w:t xml:space="preserve">            Payments[Bank/Payment API]</w:t>
      </w:r>
      <w:r>
        <w:br/>
      </w:r>
      <w:r>
        <w:rPr>
          <w:rStyle w:val="VerbatimChar"/>
        </w:rPr>
        <w:t xml:space="preserve">            ChatAPI[Messaging API&lt;br/&gt;(WhatsApp/Slack)]</w:t>
      </w:r>
      <w:r>
        <w:br/>
      </w:r>
      <w:r>
        <w:rPr>
          <w:rStyle w:val="VerbatimChar"/>
        </w:rPr>
        <w:t xml:space="preserve">        end</w:t>
      </w:r>
      <w:r>
        <w:br/>
      </w:r>
      <w:r>
        <w:rPr>
          <w:rStyle w:val="VerbatimChar"/>
        </w:rPr>
        <w:t xml:space="preserve">        %% Data and Observability</w:t>
      </w:r>
      <w:r>
        <w:br/>
      </w:r>
      <w:r>
        <w:rPr>
          <w:rStyle w:val="VerbatimChar"/>
        </w:rPr>
        <w:t xml:space="preserve">        subgraph Data &amp; Observability</w:t>
      </w:r>
      <w:r>
        <w:br/>
      </w:r>
      <w:r>
        <w:rPr>
          <w:rStyle w:val="VerbatimChar"/>
        </w:rPr>
        <w:t xml:space="preserve">            DB[(SQL Database)]</w:t>
      </w:r>
      <w:r>
        <w:br/>
      </w:r>
      <w:r>
        <w:rPr>
          <w:rStyle w:val="VerbatimChar"/>
        </w:rPr>
        <w:t xml:space="preserve">            ObjStore[(Document Storage)]</w:t>
      </w:r>
      <w:r>
        <w:br/>
      </w:r>
      <w:r>
        <w:rPr>
          <w:rStyle w:val="VerbatimChar"/>
        </w:rPr>
        <w:t xml:space="preserve">            OTel[[Telemetry (Tracing/Logs)]]</w:t>
      </w:r>
      <w:r>
        <w:br/>
      </w:r>
      <w:r>
        <w:rPr>
          <w:rStyle w:val="VerbatimChar"/>
        </w:rPr>
        <w:t xml:space="preserve">            Audit[[Audit &amp; Lineage]]</w:t>
      </w:r>
      <w:r>
        <w:br/>
      </w:r>
      <w:r>
        <w:rPr>
          <w:rStyle w:val="VerbatimChar"/>
        </w:rPr>
        <w:t xml:space="preserve">        end</w:t>
      </w:r>
      <w:r>
        <w:br/>
      </w:r>
      <w:r>
        <w:rPr>
          <w:rStyle w:val="VerbatimChar"/>
        </w:rPr>
        <w:t xml:space="preserve">    end</w:t>
      </w:r>
      <w:r>
        <w:br/>
      </w:r>
      <w:r>
        <w:br/>
      </w:r>
      <w:r>
        <w:rPr>
          <w:rStyle w:val="VerbatimChar"/>
        </w:rPr>
        <w:t xml:space="preserve">    %% Data flow / interactions</w:t>
      </w:r>
      <w:r>
        <w:br/>
      </w:r>
      <w:r>
        <w:rPr>
          <w:rStyle w:val="VerbatimChar"/>
        </w:rPr>
        <w:t xml:space="preserve">    WA -- incoming message --&gt; EventBus</w:t>
      </w:r>
      <w:r>
        <w:br/>
      </w:r>
      <w:r>
        <w:rPr>
          <w:rStyle w:val="VerbatimChar"/>
        </w:rPr>
        <w:t xml:space="preserve">    Email -- incoming email --&gt; EventBus</w:t>
      </w:r>
      <w:r>
        <w:br/>
      </w:r>
      <w:r>
        <w:rPr>
          <w:rStyle w:val="VerbatimChar"/>
        </w:rPr>
        <w:t xml:space="preserve">    APIIn -- API call --&gt; EventBus</w:t>
      </w:r>
      <w:r>
        <w:br/>
      </w:r>
      <w:r>
        <w:rPr>
          <w:rStyle w:val="VerbatimChar"/>
        </w:rPr>
        <w:t xml:space="preserve">    EventBus --&gt; Engine</w:t>
      </w:r>
      <w:r>
        <w:br/>
      </w:r>
      <w:r>
        <w:rPr>
          <w:rStyle w:val="VerbatimChar"/>
        </w:rPr>
        <w:t xml:space="preserve">    Engine --&gt;|invoke| Extract</w:t>
      </w:r>
      <w:r>
        <w:br/>
      </w:r>
      <w:r>
        <w:rPr>
          <w:rStyle w:val="VerbatimChar"/>
        </w:rPr>
        <w:t xml:space="preserve">    Engine --&gt;|invoke| Vendor</w:t>
      </w:r>
      <w:r>
        <w:br/>
      </w:r>
      <w:r>
        <w:rPr>
          <w:rStyle w:val="VerbatimChar"/>
        </w:rPr>
        <w:t xml:space="preserve">    Engine --&gt;|invoke| GLCoding</w:t>
      </w:r>
      <w:r>
        <w:br/>
      </w:r>
      <w:r>
        <w:rPr>
          <w:rStyle w:val="VerbatimChar"/>
        </w:rPr>
        <w:t xml:space="preserve">    Engine --&gt;|invoke| Notify</w:t>
      </w:r>
      <w:r>
        <w:br/>
      </w:r>
      <w:r>
        <w:rPr>
          <w:rStyle w:val="VerbatimChar"/>
        </w:rPr>
        <w:t xml:space="preserve">    Engine --&gt;|schedule| HumanTask</w:t>
      </w:r>
      <w:r>
        <w:br/>
      </w:r>
      <w:r>
        <w:rPr>
          <w:rStyle w:val="VerbatimChar"/>
        </w:rPr>
        <w:t xml:space="preserve">    HumanTask -- decision --&gt; Engine</w:t>
      </w:r>
      <w:r>
        <w:br/>
      </w:r>
      <w:r>
        <w:rPr>
          <w:rStyle w:val="VerbatimChar"/>
        </w:rPr>
        <w:t xml:space="preserve">    Engine --&gt;|API| ERP</w:t>
      </w:r>
      <w:r>
        <w:br/>
      </w:r>
      <w:r>
        <w:rPr>
          <w:rStyle w:val="VerbatimChar"/>
        </w:rPr>
        <w:t xml:space="preserve">    Engine --&gt;|API| Payments</w:t>
      </w:r>
      <w:r>
        <w:br/>
      </w:r>
      <w:r>
        <w:rPr>
          <w:rStyle w:val="VerbatimChar"/>
        </w:rPr>
        <w:t xml:space="preserve">    Notify --&gt;|API| ChatAPI</w:t>
      </w:r>
      <w:r>
        <w:br/>
      </w:r>
      <w:r>
        <w:rPr>
          <w:rStyle w:val="VerbatimChar"/>
        </w:rPr>
        <w:t xml:space="preserve">    Extract -- store--&gt; ObjStore</w:t>
      </w:r>
      <w:r>
        <w:br/>
      </w:r>
      <w:r>
        <w:rPr>
          <w:rStyle w:val="VerbatimChar"/>
        </w:rPr>
        <w:t xml:space="preserve">    Extract -- output--&gt; DB</w:t>
      </w:r>
      <w:r>
        <w:br/>
      </w:r>
      <w:r>
        <w:rPr>
          <w:rStyle w:val="VerbatimChar"/>
        </w:rPr>
        <w:t xml:space="preserve">    ERP -- data--&gt; DB</w:t>
      </w:r>
      <w:r>
        <w:br/>
      </w:r>
      <w:r>
        <w:rPr>
          <w:rStyle w:val="VerbatimChar"/>
        </w:rPr>
        <w:t xml:space="preserve">    Engine -- trace logs --&gt; OTel</w:t>
      </w:r>
      <w:r>
        <w:br/>
      </w:r>
      <w:r>
        <w:rPr>
          <w:rStyle w:val="VerbatimChar"/>
        </w:rPr>
        <w:t xml:space="preserve">    Engine -- audits --&gt; Audit</w:t>
      </w:r>
      <w:r>
        <w:br/>
      </w:r>
      <w:r>
        <w:rPr>
          <w:rStyle w:val="VerbatimChar"/>
        </w:rPr>
        <w:t xml:space="preserve">    PolicyGuard --filter/monitor--&gt; LLMIntegration</w:t>
      </w:r>
      <w:r>
        <w:br/>
      </w:r>
      <w:r>
        <w:rPr>
          <w:rStyle w:val="VerbatimChar"/>
        </w:rPr>
        <w:t xml:space="preserve">    LLMIntegration --tool calls--&gt; OtherSkills</w:t>
      </w:r>
      <w:r>
        <w:br/>
      </w:r>
      <w:r>
        <w:rPr>
          <w:rStyle w:val="VerbatimChar"/>
        </w:rPr>
        <w:t xml:space="preserve">    Engine --&gt; LLMIntegration</w:t>
      </w:r>
    </w:p>
    <w:p>
      <w:pPr>
        <w:pStyle w:val="FirstParagraph"/>
      </w:pPr>
      <w:r>
        <w:rPr>
          <w:b/>
          <w:bCs/>
        </w:rPr>
        <w:t xml:space="preserve">Figure: Modular Architecture.</w:t>
      </w:r>
      <w:r>
        <w:t xml:space="preserve"> </w:t>
      </w:r>
      <w:r>
        <w:rPr>
          <w:i/>
          <w:iCs/>
        </w:rPr>
        <w:t xml:space="preserve">The EJWCS platform consists of layers for ingress, orchestration, skills, connectors, and data/observability. Ingress adapters (WhatsApp, Email, API, etc.) feed events into a central Event Bus. The Orchestrator’s workflow engine coordinates the sequence of skill services (extraction, vendor resolution, GL coding, notifications, human approval, etc.), optionally consulting an LLM integration component for advanced decision-making or data extraction. Connectors integrate with external systems like ERPs, payment gateways, or messaging platforms. Telemetry and audit logs capture every step for monitoring and compliance. Policy guardrails oversee any LLM’s outputs.</w:t>
      </w:r>
    </w:p>
    <w:p>
      <w:pPr>
        <w:pStyle w:val="BodyText"/>
      </w:pPr>
      <w:r>
        <w:t xml:space="preserve">In this architecture,</w:t>
      </w:r>
      <w:r>
        <w:t xml:space="preserve"> </w:t>
      </w:r>
      <w:r>
        <w:rPr>
          <w:b/>
          <w:bCs/>
        </w:rPr>
        <w:t xml:space="preserve">Ingress Adapters</w:t>
      </w:r>
      <w:r>
        <w:t xml:space="preserve"> </w:t>
      </w:r>
      <w:r>
        <w:t xml:space="preserve">are responsible for capturing external inputs or triggers (e.g., a WhatsApp message, an email, a file upload via REST API). They normalize incoming data into internal events (like</w:t>
      </w:r>
      <w:r>
        <w:t xml:space="preserve"> </w:t>
      </w:r>
      <w:r>
        <w:rPr>
          <w:rStyle w:val="VerbatimChar"/>
        </w:rPr>
        <w:t xml:space="preserve">chat.message.received</w:t>
      </w:r>
      <w:r>
        <w:t xml:space="preserve"> </w:t>
      </w:r>
      <w:r>
        <w:t xml:space="preserve">or</w:t>
      </w:r>
      <w:r>
        <w:t xml:space="preserve"> </w:t>
      </w:r>
      <w:r>
        <w:rPr>
          <w:rStyle w:val="VerbatimChar"/>
        </w:rPr>
        <w:t xml:space="preserve">document.uploaded</w:t>
      </w:r>
      <w:r>
        <w:t xml:space="preserve">) and publish them to the</w:t>
      </w:r>
      <w:r>
        <w:t xml:space="preserve"> </w:t>
      </w:r>
      <w:r>
        <w:rPr>
          <w:b/>
          <w:bCs/>
        </w:rPr>
        <w:t xml:space="preserve">Event Bus</w:t>
      </w:r>
      <w:r>
        <w:t xml:space="preserve">. The event bus (using a technology like Kafka or NATS) decouples producers from consumers and buffers events, improving reliability and enabling scale-out of consumers. The Orchestrator subscribes to relevant events and begins the corresponding workflow when triggered.</w:t>
      </w:r>
    </w:p>
    <w:p>
      <w:pPr>
        <w:pStyle w:val="BodyText"/>
      </w:pPr>
      <w:r>
        <w:t xml:space="preserve">Within the</w:t>
      </w:r>
      <w:r>
        <w:t xml:space="preserve"> </w:t>
      </w:r>
      <w:r>
        <w:rPr>
          <w:b/>
          <w:bCs/>
        </w:rPr>
        <w:t xml:space="preserve">Orchestrator</w:t>
      </w:r>
      <w:r>
        <w:t xml:space="preserve">, the</w:t>
      </w:r>
      <w:r>
        <w:t xml:space="preserve"> </w:t>
      </w:r>
      <w:r>
        <w:rPr>
          <w:b/>
          <w:bCs/>
        </w:rPr>
        <w:t xml:space="preserve">Workflow Engine</w:t>
      </w:r>
      <w:r>
        <w:t xml:space="preserve"> </w:t>
      </w:r>
      <w:r>
        <w:t xml:space="preserve">interprets a workflow definition. It may be a static DAG/BPMN model or could incorporate dynamic decisions via an LLM-powered agent. The</w:t>
      </w:r>
      <w:r>
        <w:t xml:space="preserve"> </w:t>
      </w:r>
      <w:r>
        <w:rPr>
          <w:b/>
          <w:bCs/>
        </w:rPr>
        <w:t xml:space="preserve">LLM Integration</w:t>
      </w:r>
      <w:r>
        <w:t xml:space="preserve"> </w:t>
      </w:r>
      <w:r>
        <w:t xml:space="preserve">component is where we embed intelligence for tasks like understanding unstructured input or making decisions. For instance, an LLM can be used for document data extraction, summarization, or determining which sub-process to execute based on context. However, any usage of LLMs goes through the</w:t>
      </w:r>
      <w:r>
        <w:t xml:space="preserve"> </w:t>
      </w:r>
      <w:r>
        <w:rPr>
          <w:b/>
          <w:bCs/>
        </w:rPr>
        <w:t xml:space="preserve">Policy Guardrails</w:t>
      </w:r>
      <w:r>
        <w:t xml:space="preserve"> </w:t>
      </w:r>
      <w:r>
        <w:t xml:space="preserve">module, which applies rules and filters to the LLM’s inputs/outputs. These guardrails ensure that the LLM does not produce disallowed content or decisions outside predefined policies (for example, avoiding leakage of sensitive data across tenants, preventing biased or harmful text, and complying with company guidelines)</w:t>
      </w:r>
      <w:hyperlink r:id="rId29">
        <w:r>
          <w:rPr>
            <w:rStyle w:val="Hyperlink"/>
          </w:rPr>
          <w:t xml:space="preserve">[8]</w:t>
        </w:r>
      </w:hyperlink>
      <w:hyperlink r:id="rId30">
        <w:r>
          <w:rPr>
            <w:rStyle w:val="Hyperlink"/>
          </w:rPr>
          <w:t xml:space="preserve">[9]</w:t>
        </w:r>
      </w:hyperlink>
      <w:r>
        <w:t xml:space="preserve">. Essentially, the LLM is “sandboxed” — it may be allowed to call certain tools or read certain knowledge bases, but its actions are monitored and constrained as per policy. This approach to</w:t>
      </w:r>
      <w:r>
        <w:t xml:space="preserve"> </w:t>
      </w:r>
      <w:r>
        <w:rPr>
          <w:b/>
          <w:bCs/>
        </w:rPr>
        <w:t xml:space="preserve">LLM guardrails</w:t>
      </w:r>
      <w:r>
        <w:t xml:space="preserve"> </w:t>
      </w:r>
      <w:r>
        <w:t xml:space="preserve">follows best practices for safe AI deployment, acting as a safety layer that filters or blocks any outputs violating the rules</w:t>
      </w:r>
      <w:hyperlink r:id="rId30">
        <w:r>
          <w:rPr>
            <w:rStyle w:val="Hyperlink"/>
          </w:rPr>
          <w:t xml:space="preserve">[9]</w:t>
        </w:r>
      </w:hyperlink>
      <w:r>
        <w:t xml:space="preserve">.</w:t>
      </w:r>
    </w:p>
    <w:p>
      <w:pPr>
        <w:pStyle w:val="BodyText"/>
      </w:pPr>
      <w:r>
        <w:t xml:space="preserve">The</w:t>
      </w:r>
      <w:r>
        <w:t xml:space="preserve"> </w:t>
      </w:r>
      <w:r>
        <w:rPr>
          <w:b/>
          <w:bCs/>
        </w:rPr>
        <w:t xml:space="preserve">Skill &amp; Business Services</w:t>
      </w:r>
      <w:r>
        <w:t xml:space="preserve"> </w:t>
      </w:r>
      <w:r>
        <w:t xml:space="preserve">layer represents the modular functional components of the pipeline. Each “Skill” (also analogous to a microservice or a workflow node) performs a self-contained piece of logic. For example:</w:t>
      </w:r>
      <w:r>
        <w:t xml:space="preserve"> </w:t>
      </w:r>
      <w:r>
        <w:t xml:space="preserve">-</w:t>
      </w:r>
      <w:r>
        <w:t xml:space="preserve"> </w:t>
      </w:r>
      <w:r>
        <w:rPr>
          <w:b/>
          <w:bCs/>
        </w:rPr>
        <w:t xml:space="preserve">Document Extraction Service:</w:t>
      </w:r>
      <w:r>
        <w:t xml:space="preserve"> </w:t>
      </w:r>
      <w:r>
        <w:t xml:space="preserve">Given a document (invoice, form, etc.), this service handles OCR and parsing. It might use a vision model or an LLM to extract structured data from an image/PDF</w:t>
      </w:r>
      <w:hyperlink r:id="rId31">
        <w:r>
          <w:rPr>
            <w:rStyle w:val="Hyperlink"/>
          </w:rPr>
          <w:t xml:space="preserve">[10]</w:t>
        </w:r>
      </w:hyperlink>
      <w:r>
        <w:t xml:space="preserve">. It returns a JSON of extracted fields or falls back to classical OCR if needed.</w:t>
      </w:r>
      <w:r>
        <w:t xml:space="preserve"> </w:t>
      </w:r>
      <w:r>
        <w:t xml:space="preserve">-</w:t>
      </w:r>
      <w:r>
        <w:t xml:space="preserve"> </w:t>
      </w:r>
      <w:r>
        <w:rPr>
          <w:b/>
          <w:bCs/>
        </w:rPr>
        <w:t xml:space="preserve">Vendor Resolution Service:</w:t>
      </w:r>
      <w:r>
        <w:t xml:space="preserve"> </w:t>
      </w:r>
      <w:r>
        <w:t xml:space="preserve">Takes extracted vendor names or IDs and matches them to a master vendor record (using fuzzy matching or lookup). If a new vendor is detected, it could initiate a sub-process for onboarding</w:t>
      </w:r>
      <w:hyperlink r:id="rId32">
        <w:r>
          <w:rPr>
            <w:rStyle w:val="Hyperlink"/>
          </w:rPr>
          <w:t xml:space="preserve">[11]</w:t>
        </w:r>
      </w:hyperlink>
      <w:hyperlink r:id="rId33">
        <w:r>
          <w:rPr>
            <w:rStyle w:val="Hyperlink"/>
          </w:rPr>
          <w:t xml:space="preserve">[12]</w:t>
        </w:r>
      </w:hyperlink>
      <w:r>
        <w:t xml:space="preserve">.</w:t>
      </w:r>
      <w:r>
        <w:t xml:space="preserve"> </w:t>
      </w:r>
      <w:r>
        <w:t xml:space="preserve">-</w:t>
      </w:r>
      <w:r>
        <w:t xml:space="preserve"> </w:t>
      </w:r>
      <w:r>
        <w:rPr>
          <w:b/>
          <w:bCs/>
        </w:rPr>
        <w:t xml:space="preserve">GL Coding Service:</w:t>
      </w:r>
      <w:r>
        <w:t xml:space="preserve"> </w:t>
      </w:r>
      <w:r>
        <w:t xml:space="preserve">Allocates accounting codes (GL accounts, cost centers, tax codes) to the transaction based on rules or ML suggestions</w:t>
      </w:r>
      <w:hyperlink r:id="rId32">
        <w:r>
          <w:rPr>
            <w:rStyle w:val="Hyperlink"/>
          </w:rPr>
          <w:t xml:space="preserve">[11]</w:t>
        </w:r>
      </w:hyperlink>
      <w:r>
        <w:t xml:space="preserve">.</w:t>
      </w:r>
      <w:r>
        <w:t xml:space="preserve"> </w:t>
      </w:r>
      <w:r>
        <w:t xml:space="preserve">-</w:t>
      </w:r>
      <w:r>
        <w:t xml:space="preserve"> </w:t>
      </w:r>
      <w:r>
        <w:rPr>
          <w:b/>
          <w:bCs/>
        </w:rPr>
        <w:t xml:space="preserve">Notification Service:</w:t>
      </w:r>
      <w:r>
        <w:t xml:space="preserve"> </w:t>
      </w:r>
      <w:r>
        <w:t xml:space="preserve">Handles sending messages or emails (e.g., to notify stakeholders of a completed process or to send an approval request) with templated content and ensures messages adhere to compliance (no PII leaks, etc.).</w:t>
      </w:r>
      <w:r>
        <w:t xml:space="preserve"> </w:t>
      </w:r>
      <w:r>
        <w:t xml:space="preserve">-</w:t>
      </w:r>
      <w:r>
        <w:t xml:space="preserve"> </w:t>
      </w:r>
      <w:r>
        <w:rPr>
          <w:b/>
          <w:bCs/>
        </w:rPr>
        <w:t xml:space="preserve">Human Approval Task:</w:t>
      </w:r>
      <w:r>
        <w:t xml:space="preserve"> </w:t>
      </w:r>
      <w:r>
        <w:t xml:space="preserve">Represents a human-in-the-loop checkpoint where a user (e.g., a manager) needs to approve or review something. The orchestrator will pause the workflow, wait for a decision (approve/reject), which can be submitted via a UI or endpoint, and then resume accordingly.</w:t>
      </w:r>
      <w:r>
        <w:t xml:space="preserve"> </w:t>
      </w:r>
      <w:r>
        <w:t xml:space="preserve">-</w:t>
      </w:r>
      <w:r>
        <w:t xml:space="preserve"> </w:t>
      </w:r>
      <w:r>
        <w:rPr>
          <w:b/>
          <w:bCs/>
        </w:rPr>
        <w:t xml:space="preserve">Other Skills:</w:t>
      </w:r>
      <w:r>
        <w:t xml:space="preserve"> </w:t>
      </w:r>
      <w:r>
        <w:t xml:space="preserve">The system can include anomaly detection, reconciliation, reporting, or any custom logic as separate modules. Each is plugged into the orchestration via well-defined interfaces.</w:t>
      </w:r>
    </w:p>
    <w:p>
      <w:pPr>
        <w:pStyle w:val="BodyText"/>
      </w:pPr>
      <w:r>
        <w:t xml:space="preserve">These skill services can be implemented as independent microservices or in-process modules, depending on deployment scale needs. The orchestrator communicates with them via asynchronous events or synchronous calls (e.g., gRPC/REST). The use of an</w:t>
      </w:r>
      <w:r>
        <w:t xml:space="preserve"> </w:t>
      </w:r>
      <w:r>
        <w:rPr>
          <w:b/>
          <w:bCs/>
        </w:rPr>
        <w:t xml:space="preserve">agentic runtime</w:t>
      </w:r>
      <w:r>
        <w:t xml:space="preserve"> </w:t>
      </w:r>
      <w:r>
        <w:t xml:space="preserve">means that in some cases the orchestrator may not follow a strictly linear predetermined path, but instead decide at runtime which skill to invoke next (especially for AI-driven flows). For example, an LLM agent might dynamically choose to call an external knowledge base or perform an extra validation step if it’s unsure. The design allows such flexibility by treating skills as</w:t>
      </w:r>
      <w:r>
        <w:t xml:space="preserve"> </w:t>
      </w:r>
      <w:r>
        <w:rPr>
          <w:b/>
          <w:bCs/>
        </w:rPr>
        <w:t xml:space="preserve">tools</w:t>
      </w:r>
      <w:r>
        <w:t xml:space="preserve"> </w:t>
      </w:r>
      <w:r>
        <w:t xml:space="preserve">that an agent can invoke. This is analogous to how LangChain enables LLMs to call tools: the LLM (agent) formulates a plan and uses the available tools to execute tasks</w:t>
      </w:r>
      <w:hyperlink r:id="rId34">
        <w:r>
          <w:rPr>
            <w:rStyle w:val="Hyperlink"/>
          </w:rPr>
          <w:t xml:space="preserve">[13]</w:t>
        </w:r>
      </w:hyperlink>
      <w:r>
        <w:t xml:space="preserve">. Our framework’s orchestration engine thus supports</w:t>
      </w:r>
      <w:r>
        <w:t xml:space="preserve"> </w:t>
      </w:r>
      <w:r>
        <w:rPr>
          <w:i/>
          <w:iCs/>
        </w:rPr>
        <w:t xml:space="preserve">both</w:t>
      </w:r>
      <w:r>
        <w:t xml:space="preserve"> </w:t>
      </w:r>
      <w:r>
        <w:t xml:space="preserve">deterministic workflows and dynamic agent-driven sequences.</w:t>
      </w:r>
    </w:p>
    <w:p>
      <w:pPr>
        <w:pStyle w:val="BodyText"/>
      </w:pPr>
      <w:r>
        <w:t xml:space="preserve">Finally, the</w:t>
      </w:r>
      <w:r>
        <w:t xml:space="preserve"> </w:t>
      </w:r>
      <w:r>
        <w:rPr>
          <w:b/>
          <w:bCs/>
        </w:rPr>
        <w:t xml:space="preserve">Connectors</w:t>
      </w:r>
      <w:r>
        <w:t xml:space="preserve"> </w:t>
      </w:r>
      <w:r>
        <w:t xml:space="preserve">layer provides integration with external systems and APIs, which is vital for automating real-world business processes. Out-of-the-box connectors (or adapters) can include:</w:t>
      </w:r>
      <w:r>
        <w:t xml:space="preserve"> </w:t>
      </w:r>
      <w:r>
        <w:t xml:space="preserve">-</w:t>
      </w:r>
      <w:r>
        <w:t xml:space="preserve"> </w:t>
      </w:r>
      <w:r>
        <w:rPr>
          <w:b/>
          <w:bCs/>
        </w:rPr>
        <w:t xml:space="preserve">Accounting/ERP connectors</w:t>
      </w:r>
      <w:r>
        <w:t xml:space="preserve"> </w:t>
      </w:r>
      <w:r>
        <w:t xml:space="preserve">(e.g., QuickBooks Online, Xero, SAP) to post transactions or fetch data.</w:t>
      </w:r>
      <w:r>
        <w:t xml:space="preserve"> </w:t>
      </w:r>
      <w:r>
        <w:t xml:space="preserve">-</w:t>
      </w:r>
      <w:r>
        <w:t xml:space="preserve"> </w:t>
      </w:r>
      <w:r>
        <w:rPr>
          <w:b/>
          <w:bCs/>
        </w:rPr>
        <w:t xml:space="preserve">Payment gateways or Bank APIs</w:t>
      </w:r>
      <w:r>
        <w:t xml:space="preserve"> </w:t>
      </w:r>
      <w:r>
        <w:t xml:space="preserve">to initiate payments or retrieve bank statements.</w:t>
      </w:r>
      <w:r>
        <w:t xml:space="preserve"> </w:t>
      </w:r>
      <w:r>
        <w:t xml:space="preserve">-</w:t>
      </w:r>
      <w:r>
        <w:t xml:space="preserve"> </w:t>
      </w:r>
      <w:r>
        <w:rPr>
          <w:b/>
          <w:bCs/>
        </w:rPr>
        <w:t xml:space="preserve">Messaging/Chat APIs</w:t>
      </w:r>
      <w:r>
        <w:t xml:space="preserve"> </w:t>
      </w:r>
      <w:r>
        <w:t xml:space="preserve">(WhatsApp, Slack, email) to send notifications or alerts to users.</w:t>
      </w:r>
      <w:r>
        <w:t xml:space="preserve"> </w:t>
      </w:r>
      <w:r>
        <w:t xml:space="preserve">-</w:t>
      </w:r>
      <w:r>
        <w:t xml:space="preserve"> </w:t>
      </w:r>
      <w:r>
        <w:rPr>
          <w:b/>
          <w:bCs/>
        </w:rPr>
        <w:t xml:space="preserve">CRM or Database connectors</w:t>
      </w:r>
      <w:r>
        <w:t xml:space="preserve"> </w:t>
      </w:r>
      <w:r>
        <w:t xml:space="preserve">if needed for retrieving additional context.</w:t>
      </w:r>
    </w:p>
    <w:p>
      <w:pPr>
        <w:pStyle w:val="BodyText"/>
      </w:pPr>
      <w:r>
        <w:t xml:space="preserve">Connectors are implemented with proper abstraction so that swapping out (for example, using a different accounting system) is simply a matter of implementing the connector interface for that system, without changing core logic.</w:t>
      </w:r>
    </w:p>
    <w:p>
      <w:pPr>
        <w:pStyle w:val="BodyText"/>
      </w:pPr>
      <w:r>
        <w:t xml:space="preserve">Cross-cutting all layers is the</w:t>
      </w:r>
      <w:r>
        <w:t xml:space="preserve"> </w:t>
      </w:r>
      <w:r>
        <w:rPr>
          <w:b/>
          <w:bCs/>
        </w:rPr>
        <w:t xml:space="preserve">Data &amp; Observability</w:t>
      </w:r>
      <w:r>
        <w:t xml:space="preserve"> </w:t>
      </w:r>
      <w:r>
        <w:t xml:space="preserve">component set. All persistent data – such as the primary relational database (for storing workflow states, results, user info), object storage (for large files like document images or PDFs), and analytic databases – are multi-tenant aware. For instance, each data record is tagged with an</w:t>
      </w:r>
      <w:r>
        <w:t xml:space="preserve"> </w:t>
      </w:r>
      <w:r>
        <w:rPr>
          <w:rStyle w:val="VerbatimChar"/>
        </w:rPr>
        <w:t xml:space="preserve">org_id</w:t>
      </w:r>
      <w:r>
        <w:t xml:space="preserve"> </w:t>
      </w:r>
      <w:r>
        <w:t xml:space="preserve">or partitioned per tenant, ensuring isolation. Data is encrypted at rest (with tenant-specific keys if applicable) and in transit. Observability is treated as a first-class concern:</w:t>
      </w:r>
      <w:r>
        <w:t xml:space="preserve"> </w:t>
      </w:r>
      <w:r>
        <w:rPr>
          <w:b/>
          <w:bCs/>
        </w:rPr>
        <w:t xml:space="preserve">OpenTelemetry</w:t>
      </w:r>
      <w:r>
        <w:t xml:space="preserve"> </w:t>
      </w:r>
      <w:r>
        <w:t xml:space="preserve">instrumentation is woven through the orchestrator and key services so that each transaction can be traced end-to-end</w:t>
      </w:r>
      <w:hyperlink r:id="rId22">
        <w:r>
          <w:rPr>
            <w:rStyle w:val="Hyperlink"/>
          </w:rPr>
          <w:t xml:space="preserve">[2]</w:t>
        </w:r>
      </w:hyperlink>
      <w:r>
        <w:t xml:space="preserve">. OpenTelemetry (OTel) is an open-source standard framework for telemetry that allows collection of logs, metrics, and distributed traces in a vendor-neutral way</w:t>
      </w:r>
      <w:hyperlink r:id="rId35">
        <w:r>
          <w:rPr>
            <w:rStyle w:val="Hyperlink"/>
          </w:rPr>
          <w:t xml:space="preserve">[14]</w:t>
        </w:r>
      </w:hyperlink>
      <w:r>
        <w:t xml:space="preserve">. By adopting OTel, the platform achieves consistent and interoperable monitoring – it becomes easy to export telemetry data to various monitoring tools or APM solutions since OTel is a de-facto standard for cloud-native app instrumentation</w:t>
      </w:r>
      <w:hyperlink r:id="rId36">
        <w:r>
          <w:rPr>
            <w:rStyle w:val="Hyperlink"/>
          </w:rPr>
          <w:t xml:space="preserve">[15]</w:t>
        </w:r>
      </w:hyperlink>
      <w:r>
        <w:t xml:space="preserve">. For example, every workflow execution can be assigned a trace ID; as an event flows from the ingress adapter through the orchestrator to various services and connectors, each step logs a span with timing and status data. This gives deep visibility into system performance and helps quickly pinpoint issues (e.g., if an extraction step is slow or an external API is failing).</w:t>
      </w:r>
    </w:p>
    <w:p>
      <w:pPr>
        <w:pStyle w:val="BodyText"/>
      </w:pPr>
      <w:r>
        <w:t xml:space="preserve">Additionally,</w:t>
      </w:r>
      <w:r>
        <w:t xml:space="preserve"> </w:t>
      </w:r>
      <w:r>
        <w:rPr>
          <w:b/>
          <w:bCs/>
        </w:rPr>
        <w:t xml:space="preserve">structured logging</w:t>
      </w:r>
      <w:r>
        <w:t xml:space="preserve"> </w:t>
      </w:r>
      <w:r>
        <w:t xml:space="preserve">is employed throughout (JSON logs with keys like tenant, workflow ID, step name, duration, etc.), and metrics (counters, histograms) are collected for critical KPIs such as number of documents processed, average approval time, error rates, etc. The platform also maintains an</w:t>
      </w:r>
      <w:r>
        <w:t xml:space="preserve"> </w:t>
      </w:r>
      <w:r>
        <w:rPr>
          <w:b/>
          <w:bCs/>
        </w:rPr>
        <w:t xml:space="preserve">audit log</w:t>
      </w:r>
      <w:r>
        <w:t xml:space="preserve"> </w:t>
      </w:r>
      <w:r>
        <w:t xml:space="preserve">and</w:t>
      </w:r>
      <w:r>
        <w:t xml:space="preserve"> </w:t>
      </w:r>
      <w:r>
        <w:rPr>
          <w:b/>
          <w:bCs/>
        </w:rPr>
        <w:t xml:space="preserve">lineage records</w:t>
      </w:r>
      <w:r>
        <w:t xml:space="preserve"> </w:t>
      </w:r>
      <w:r>
        <w:t xml:space="preserve">for compliance – every action taken (especially any human decision or any LLM output) can be recorded with timestamp, responsible user/agent, and before/after states. These capabilities not only aid debugging and reliability, but also enable</w:t>
      </w:r>
      <w:r>
        <w:t xml:space="preserve"> </w:t>
      </w:r>
      <w:r>
        <w:rPr>
          <w:b/>
          <w:bCs/>
        </w:rPr>
        <w:t xml:space="preserve">SLA management</w:t>
      </w:r>
      <w:r>
        <w:t xml:space="preserve">: we can define Service-Level Agreements for certain processes (for instance, an invoice should be processed within 2 hours) and have monitors (or even workflow timers) raise alerts if breaches occur. The architecture allows plugging in monitoring hooks or notifications when SLA thresholds are approached or exceeded, ensuring operational transparency for both providers and customers.</w:t>
      </w:r>
    </w:p>
    <w:p>
      <w:pPr>
        <w:pStyle w:val="BodyText"/>
      </w:pPr>
      <w:r>
        <w:t xml:space="preserve">In summary, the modular EJWCS architecture is</w:t>
      </w:r>
      <w:r>
        <w:t xml:space="preserve"> </w:t>
      </w:r>
      <w:r>
        <w:rPr>
          <w:b/>
          <w:bCs/>
        </w:rPr>
        <w:t xml:space="preserve">scalable, extensible, and maintainable</w:t>
      </w:r>
      <w:r>
        <w:t xml:space="preserve">. New tenants can be onboarded with isolated data slices; new skills or connectors can be added without altering core logic; and the use of standard protocols (BPMN for workflow modeling, OpenAPI for integration, OpenTelemetry for monitoring) means the system can easily integrate into enterprise IT environments and be understood by both technical and non-technical stakeholders.</w:t>
      </w:r>
    </w:p>
    <w:bookmarkEnd w:id="37"/>
    <w:bookmarkStart w:id="44" w:name="X3a83a8deb8273e723fc7c49e82e59708454a150"/>
    <w:p>
      <w:pPr>
        <w:pStyle w:val="Heading2"/>
      </w:pPr>
      <w:r>
        <w:t xml:space="preserve">Workflow Execution Path Example – Accounts Payable Ingestion</w:t>
      </w:r>
    </w:p>
    <w:p>
      <w:pPr>
        <w:pStyle w:val="FirstParagraph"/>
      </w:pPr>
      <w:r>
        <w:t xml:space="preserve">To demonstrate how the enhanced EJWCS orchestrates a real-world scenario, let’s walk through an example</w:t>
      </w:r>
      <w:r>
        <w:t xml:space="preserve"> </w:t>
      </w:r>
      <w:r>
        <w:rPr>
          <w:b/>
          <w:bCs/>
        </w:rPr>
        <w:t xml:space="preserve">Accounts Payable (AP) invoice processing workflow</w:t>
      </w:r>
      <w:r>
        <w:t xml:space="preserve">. This example will show the end-to-end execution path of a job, from the moment a user submits an invoice to the final posting in an accounting system, highlighting how different components interact.</w:t>
      </w:r>
    </w:p>
    <w:p>
      <w:pPr>
        <w:pStyle w:val="BodyText"/>
      </w:pPr>
      <w:r>
        <w:rPr>
          <w:b/>
          <w:bCs/>
        </w:rPr>
        <w:t xml:space="preserve">Scenario:</w:t>
      </w:r>
      <w:r>
        <w:t xml:space="preserve"> </w:t>
      </w:r>
      <w:r>
        <w:t xml:space="preserve">A user at a client company wants to process a new vendor invoice. They send the invoice document (PDF) via WhatsApp to the system, which should extract the data, get it approved, and then record it in the company’s accounting software (e.g., QuickBooks Online).</w:t>
      </w:r>
    </w:p>
    <w:p>
      <w:pPr>
        <w:numPr>
          <w:ilvl w:val="0"/>
          <w:numId w:val="1001"/>
        </w:numPr>
      </w:pPr>
      <w:r>
        <w:rPr>
          <w:b/>
          <w:bCs/>
        </w:rPr>
        <w:t xml:space="preserve">Ingress and Event Trigger:</w:t>
      </w:r>
      <w:r>
        <w:t xml:space="preserve"> </w:t>
      </w:r>
      <w:r>
        <w:t xml:space="preserve">The process begins when the user sends a WhatsApp message to the company’s finance bot with the invoice attached. The</w:t>
      </w:r>
      <w:r>
        <w:t xml:space="preserve"> </w:t>
      </w:r>
      <w:r>
        <w:rPr>
          <w:b/>
          <w:bCs/>
        </w:rPr>
        <w:t xml:space="preserve">WhatsApp Ingress Adapter</w:t>
      </w:r>
      <w:r>
        <w:t xml:space="preserve"> </w:t>
      </w:r>
      <w:r>
        <w:t xml:space="preserve">receives the incoming message via a webhook (e.g., an HTTP POST to</w:t>
      </w:r>
      <w:r>
        <w:t xml:space="preserve"> </w:t>
      </w:r>
      <w:r>
        <w:rPr>
          <w:rStyle w:val="VerbatimChar"/>
        </w:rPr>
        <w:t xml:space="preserve">/v1/chat/whatsapp/webhook</w:t>
      </w:r>
      <w:r>
        <w:t xml:space="preserve"> </w:t>
      </w:r>
      <w:r>
        <w:t xml:space="preserve">on our platform)</w:t>
      </w:r>
      <w:hyperlink r:id="rId38">
        <w:r>
          <w:rPr>
            <w:rStyle w:val="Hyperlink"/>
          </w:rPr>
          <w:t xml:space="preserve">[16]</w:t>
        </w:r>
      </w:hyperlink>
      <w:hyperlink r:id="rId39">
        <w:r>
          <w:rPr>
            <w:rStyle w:val="Hyperlink"/>
          </w:rPr>
          <w:t xml:space="preserve">[17]</w:t>
        </w:r>
      </w:hyperlink>
      <w:r>
        <w:t xml:space="preserve">. This adapter validates the message, uploads the file to the object store, and publishes an event like</w:t>
      </w:r>
      <w:r>
        <w:t xml:space="preserve"> </w:t>
      </w:r>
      <w:r>
        <w:rPr>
          <w:rStyle w:val="VerbatimChar"/>
        </w:rPr>
        <w:t xml:space="preserve">invoice.document.received</w:t>
      </w:r>
      <w:r>
        <w:t xml:space="preserve"> </w:t>
      </w:r>
      <w:r>
        <w:t xml:space="preserve">on the Event Bus, containing metadata (e.g.,</w:t>
      </w:r>
      <w:r>
        <w:t xml:space="preserve"> </w:t>
      </w:r>
      <w:r>
        <w:rPr>
          <w:rStyle w:val="VerbatimChar"/>
        </w:rPr>
        <w:t xml:space="preserve">org_id</w:t>
      </w:r>
      <w:r>
        <w:t xml:space="preserve"> </w:t>
      </w:r>
      <w:r>
        <w:t xml:space="preserve">of the company,</w:t>
      </w:r>
      <w:r>
        <w:t xml:space="preserve"> </w:t>
      </w:r>
      <w:r>
        <w:rPr>
          <w:rStyle w:val="VerbatimChar"/>
        </w:rPr>
        <w:t xml:space="preserve">user_id</w:t>
      </w:r>
      <w:r>
        <w:t xml:space="preserve">, and a reference to the stored document file).</w:t>
      </w:r>
    </w:p>
    <w:p>
      <w:pPr>
        <w:numPr>
          <w:ilvl w:val="0"/>
          <w:numId w:val="1001"/>
        </w:numPr>
      </w:pPr>
      <w:r>
        <w:rPr>
          <w:b/>
          <w:bCs/>
        </w:rPr>
        <w:t xml:space="preserve">Orchestration Kickoff:</w:t>
      </w:r>
      <w:r>
        <w:t xml:space="preserve"> </w:t>
      </w:r>
      <w:r>
        <w:t xml:space="preserve">The Orchestrator, subscribed to</w:t>
      </w:r>
      <w:r>
        <w:t xml:space="preserve"> </w:t>
      </w:r>
      <w:r>
        <w:rPr>
          <w:rStyle w:val="VerbatimChar"/>
        </w:rPr>
        <w:t xml:space="preserve">invoice.document.received</w:t>
      </w:r>
      <w:r>
        <w:t xml:space="preserve">, picks up the event. It identifies which workflow to run (in this case, the “AP Ingestion” workflow for that tenant). Using either a BPMN-defined process or a predefined DAG, the orchestrator initiates the sequence of tasks. It creates a new workflow instance (with a unique workflow ID and trace ID for monitoring) and logs the start in the audit log.</w:t>
      </w:r>
    </w:p>
    <w:p>
      <w:pPr>
        <w:numPr>
          <w:ilvl w:val="0"/>
          <w:numId w:val="1001"/>
        </w:numPr>
      </w:pPr>
      <w:r>
        <w:rPr>
          <w:b/>
          <w:bCs/>
        </w:rPr>
        <w:t xml:space="preserve">Document Triage &amp; Extraction:</w:t>
      </w:r>
      <w:r>
        <w:t xml:space="preserve"> </w:t>
      </w:r>
      <w:r>
        <w:t xml:space="preserve">The first automated step is often</w:t>
      </w:r>
      <w:r>
        <w:t xml:space="preserve"> </w:t>
      </w:r>
      <w:r>
        <w:rPr>
          <w:b/>
          <w:bCs/>
        </w:rPr>
        <w:t xml:space="preserve">document triage and extraction</w:t>
      </w:r>
      <w:r>
        <w:t xml:space="preserve">. The orchestrator calls the</w:t>
      </w:r>
      <w:r>
        <w:t xml:space="preserve"> </w:t>
      </w:r>
      <w:r>
        <w:rPr>
          <w:b/>
          <w:bCs/>
        </w:rPr>
        <w:t xml:space="preserve">Document Extraction Service</w:t>
      </w:r>
      <w:r>
        <w:t xml:space="preserve"> </w:t>
      </w:r>
      <w:r>
        <w:t xml:space="preserve">(perhaps by enqueueing a task or via an API call). This service retrieves the document from the object store (using the link from the event) and performs extraction. Under the hood, it could use an LLM-based document parser or OCR:</w:t>
      </w:r>
    </w:p>
    <w:p>
      <w:pPr>
        <w:pStyle w:val="Compact"/>
        <w:numPr>
          <w:ilvl w:val="0"/>
          <w:numId w:val="1001"/>
        </w:numPr>
      </w:pPr>
      <w:r>
        <w:t xml:space="preserve">If an advanced Vision-LLM model is configured, the service sends the file to that model (e.g., a hosted AI service or local model) to extract fields like vendor name, invoice number, date, line items, totals, etc., returning structured JSON. The model might be prompted with a description of the desired JSON schema to ensure well-formatted output.</w:t>
      </w:r>
    </w:p>
    <w:p>
      <w:pPr>
        <w:pStyle w:val="Compact"/>
        <w:numPr>
          <w:ilvl w:val="0"/>
          <w:numId w:val="1001"/>
        </w:numPr>
      </w:pPr>
      <w:r>
        <w:t xml:space="preserve">The extraction service is equipped with</w:t>
      </w:r>
      <w:r>
        <w:t xml:space="preserve"> </w:t>
      </w:r>
      <w:r>
        <w:rPr>
          <w:b/>
          <w:bCs/>
        </w:rPr>
        <w:t xml:space="preserve">quality checks</w:t>
      </w:r>
      <w:r>
        <w:t xml:space="preserve">: if the AI confidence is low or it detects an unreadable scan, it could flag an error or trigger a remediation sub-process (like asking for a better image).</w:t>
      </w:r>
    </w:p>
    <w:p>
      <w:pPr>
        <w:pStyle w:val="Compact"/>
        <w:numPr>
          <w:ilvl w:val="0"/>
          <w:numId w:val="1001"/>
        </w:numPr>
      </w:pPr>
      <w:r>
        <w:t xml:space="preserve">For backup, an OCR engine (Tesseract or cloud OCR) might run to extract raw text if the LLM fails</w:t>
      </w:r>
      <w:hyperlink r:id="rId31">
        <w:r>
          <w:rPr>
            <w:rStyle w:val="Hyperlink"/>
          </w:rPr>
          <w:t xml:space="preserve">[10]</w:t>
        </w:r>
      </w:hyperlink>
      <w:r>
        <w:t xml:space="preserve">.</w:t>
      </w:r>
    </w:p>
    <w:p>
      <w:pPr>
        <w:numPr>
          <w:ilvl w:val="0"/>
          <w:numId w:val="1001"/>
        </w:numPr>
      </w:pPr>
      <w:r>
        <w:t xml:space="preserve">The result, say an</w:t>
      </w:r>
      <w:r>
        <w:t xml:space="preserve"> </w:t>
      </w:r>
      <w:r>
        <w:rPr>
          <w:rStyle w:val="VerbatimChar"/>
        </w:rPr>
        <w:t xml:space="preserve">ExtractedInvoice</w:t>
      </w:r>
      <w:r>
        <w:t xml:space="preserve"> </w:t>
      </w:r>
      <w:r>
        <w:t xml:space="preserve">JSON object, is saved to the database and emitted as an event</w:t>
      </w:r>
      <w:r>
        <w:t xml:space="preserve"> </w:t>
      </w:r>
      <w:r>
        <w:rPr>
          <w:rStyle w:val="VerbatimChar"/>
        </w:rPr>
        <w:t xml:space="preserve">invoice.data.extracted</w:t>
      </w:r>
      <w:r>
        <w:t xml:space="preserve"> </w:t>
      </w:r>
      <w:r>
        <w:t xml:space="preserve">for the next steps.</w:t>
      </w:r>
    </w:p>
    <w:p>
      <w:pPr>
        <w:numPr>
          <w:ilvl w:val="0"/>
          <w:numId w:val="1001"/>
        </w:numPr>
      </w:pPr>
      <w:r>
        <w:rPr>
          <w:b/>
          <w:bCs/>
        </w:rPr>
        <w:t xml:space="preserve">Enrichment and Business Logic:</w:t>
      </w:r>
      <w:r>
        <w:t xml:space="preserve"> </w:t>
      </w:r>
      <w:r>
        <w:t xml:space="preserve">Upon receiving extracted data, the orchestrator proceeds with</w:t>
      </w:r>
      <w:r>
        <w:t xml:space="preserve"> </w:t>
      </w:r>
      <w:r>
        <w:rPr>
          <w:b/>
          <w:bCs/>
        </w:rPr>
        <w:t xml:space="preserve">business logic services</w:t>
      </w:r>
      <w:r>
        <w:t xml:space="preserve">:</w:t>
      </w:r>
    </w:p>
    <w:p>
      <w:pPr>
        <w:pStyle w:val="Compact"/>
        <w:numPr>
          <w:ilvl w:val="0"/>
          <w:numId w:val="1001"/>
        </w:numPr>
      </w:pPr>
      <w:r>
        <w:t xml:space="preserve">The</w:t>
      </w:r>
      <w:r>
        <w:t xml:space="preserve"> </w:t>
      </w:r>
      <w:r>
        <w:rPr>
          <w:b/>
          <w:bCs/>
        </w:rPr>
        <w:t xml:space="preserve">Vendor Resolution Service</w:t>
      </w:r>
      <w:r>
        <w:t xml:space="preserve"> </w:t>
      </w:r>
      <w:r>
        <w:t xml:space="preserve">is invoked to match the vendor from the invoice to an internal vendor master. It might query an internal database or external API. If no match is found, it can create a</w:t>
      </w:r>
      <w:r>
        <w:t xml:space="preserve"> </w:t>
      </w:r>
      <w:r>
        <w:rPr>
          <w:i/>
          <w:iCs/>
        </w:rPr>
        <w:t xml:space="preserve">new vendor onboarding</w:t>
      </w:r>
      <w:r>
        <w:t xml:space="preserve"> </w:t>
      </w:r>
      <w:r>
        <w:t xml:space="preserve">task (which could be a separate workflow)</w:t>
      </w:r>
      <w:hyperlink r:id="rId33">
        <w:r>
          <w:rPr>
            <w:rStyle w:val="Hyperlink"/>
          </w:rPr>
          <w:t xml:space="preserve">[12]</w:t>
        </w:r>
      </w:hyperlink>
      <w:r>
        <w:t xml:space="preserve">. For now, assume it found a match and adds the vendor’s unique ID to the invoice data.</w:t>
      </w:r>
    </w:p>
    <w:p>
      <w:pPr>
        <w:pStyle w:val="Compact"/>
        <w:numPr>
          <w:ilvl w:val="0"/>
          <w:numId w:val="1001"/>
        </w:numPr>
      </w:pPr>
      <w:r>
        <w:t xml:space="preserve">Next, the</w:t>
      </w:r>
      <w:r>
        <w:t xml:space="preserve"> </w:t>
      </w:r>
      <w:r>
        <w:rPr>
          <w:b/>
          <w:bCs/>
        </w:rPr>
        <w:t xml:space="preserve">GL Coding Service</w:t>
      </w:r>
      <w:r>
        <w:t xml:space="preserve"> </w:t>
      </w:r>
      <w:r>
        <w:t xml:space="preserve">runs. Using a combination of predefined rules and ML, it allocates accounting codes to each line item or the invoice as a whole</w:t>
      </w:r>
      <w:hyperlink r:id="rId32">
        <w:r>
          <w:rPr>
            <w:rStyle w:val="Hyperlink"/>
          </w:rPr>
          <w:t xml:space="preserve">[11]</w:t>
        </w:r>
      </w:hyperlink>
      <w:r>
        <w:t xml:space="preserve">. For example, it might classify an expense as “Office Supplies” vs “Travel” and assign the appropriate GL account code. The output is an enriched invoice object with fields like</w:t>
      </w:r>
      <w:r>
        <w:t xml:space="preserve"> </w:t>
      </w:r>
      <w:r>
        <w:rPr>
          <w:rStyle w:val="VerbatimChar"/>
        </w:rPr>
        <w:t xml:space="preserve">account_code</w:t>
      </w:r>
      <w:r>
        <w:t xml:space="preserve"> </w:t>
      </w:r>
      <w:r>
        <w:t xml:space="preserve">for each line.</w:t>
      </w:r>
    </w:p>
    <w:p>
      <w:pPr>
        <w:pStyle w:val="Compact"/>
        <w:numPr>
          <w:ilvl w:val="0"/>
          <w:numId w:val="1001"/>
        </w:numPr>
      </w:pPr>
      <w:r>
        <w:t xml:space="preserve">We then perform an</w:t>
      </w:r>
      <w:r>
        <w:t xml:space="preserve"> </w:t>
      </w:r>
      <w:r>
        <w:rPr>
          <w:b/>
          <w:bCs/>
        </w:rPr>
        <w:t xml:space="preserve">anomaly/risk check</w:t>
      </w:r>
      <w:r>
        <w:t xml:space="preserve"> </w:t>
      </w:r>
      <w:r>
        <w:t xml:space="preserve">(if enabled). An</w:t>
      </w:r>
      <w:r>
        <w:t xml:space="preserve"> </w:t>
      </w:r>
      <w:r>
        <w:rPr>
          <w:b/>
          <w:bCs/>
        </w:rPr>
        <w:t xml:space="preserve">Anomaly Detection skill</w:t>
      </w:r>
      <w:r>
        <w:t xml:space="preserve"> </w:t>
      </w:r>
      <w:r>
        <w:t xml:space="preserve">(could be a simple ruleset or an ML model like isolation forest) assesses if anything looks off – e.g., the amount is unusually high for this vendor or duplicate invoice number – producing a risk score</w:t>
      </w:r>
      <w:hyperlink r:id="rId40">
        <w:r>
          <w:rPr>
            <w:rStyle w:val="Hyperlink"/>
          </w:rPr>
          <w:t xml:space="preserve">[18]</w:t>
        </w:r>
      </w:hyperlink>
      <w:r>
        <w:t xml:space="preserve">. If risk is above threshold, the orchestrator could adjust the flow (for instance, requiring an additional manager approval or notifying finance).</w:t>
      </w:r>
    </w:p>
    <w:p>
      <w:pPr>
        <w:numPr>
          <w:ilvl w:val="0"/>
          <w:numId w:val="1001"/>
        </w:numPr>
      </w:pPr>
      <w:r>
        <w:t xml:space="preserve">Throughout these steps, any transformations are logged. If any service fails (network issue, etc.), the orchestrator can retry or mark the workflow as errored and send a notification to admins. Error handling policies are in place for robustness.</w:t>
      </w:r>
    </w:p>
    <w:p>
      <w:pPr>
        <w:numPr>
          <w:ilvl w:val="0"/>
          <w:numId w:val="1001"/>
        </w:numPr>
      </w:pPr>
      <w:r>
        <w:rPr>
          <w:b/>
          <w:bCs/>
        </w:rPr>
        <w:t xml:space="preserve">Human-in-the-Loop Approval:</w:t>
      </w:r>
      <w:r>
        <w:t xml:space="preserve"> </w:t>
      </w:r>
      <w:r>
        <w:t xml:space="preserve">Once the invoice data is fully prepared and validated, the orchestrator reaches a</w:t>
      </w:r>
      <w:r>
        <w:t xml:space="preserve"> </w:t>
      </w:r>
      <w:r>
        <w:rPr>
          <w:b/>
          <w:bCs/>
        </w:rPr>
        <w:t xml:space="preserve">human approval</w:t>
      </w:r>
      <w:r>
        <w:t xml:space="preserve"> </w:t>
      </w:r>
      <w:r>
        <w:t xml:space="preserve">checkpoint. According to the company’s business rules, invoices over a certain amount or with certain risk flags require managerial approval. The orchestrator transitions the workflow to a</w:t>
      </w:r>
      <w:r>
        <w:t xml:space="preserve"> </w:t>
      </w:r>
      <w:r>
        <w:rPr>
          <w:b/>
          <w:bCs/>
        </w:rPr>
        <w:t xml:space="preserve">waiting state</w:t>
      </w:r>
      <w:r>
        <w:t xml:space="preserve"> </w:t>
      </w:r>
      <w:r>
        <w:t xml:space="preserve">and creates an approval task. This could involve sending a notification (via email or WhatsApp) to the approver with key details and a link to review the invoice. The approver can then respond (e.g., clicking “Approve” in a web UI or replying with a command). The system provides an API endpoint for approvals (e.g.,</w:t>
      </w:r>
      <w:r>
        <w:t xml:space="preserve"> </w:t>
      </w:r>
      <w:r>
        <w:rPr>
          <w:rStyle w:val="VerbatimChar"/>
        </w:rPr>
        <w:t xml:space="preserve">POST /v1/approvals/:doc_id</w:t>
      </w:r>
      <w:r>
        <w:t xml:space="preserve"> </w:t>
      </w:r>
      <w:r>
        <w:t xml:space="preserve">which the UI or bot calls)</w:t>
      </w:r>
      <w:hyperlink r:id="rId38">
        <w:r>
          <w:rPr>
            <w:rStyle w:val="Hyperlink"/>
          </w:rPr>
          <w:t xml:space="preserve">[19]</w:t>
        </w:r>
      </w:hyperlink>
      <w:hyperlink r:id="rId41">
        <w:r>
          <w:rPr>
            <w:rStyle w:val="Hyperlink"/>
          </w:rPr>
          <w:t xml:space="preserve">[20]</w:t>
        </w:r>
      </w:hyperlink>
      <w:r>
        <w:t xml:space="preserve">. The approval decision (approve or reject) is received by the platform (ingress via the API adapter), which then publishes an event like</w:t>
      </w:r>
      <w:r>
        <w:t xml:space="preserve"> </w:t>
      </w:r>
      <w:r>
        <w:rPr>
          <w:rStyle w:val="VerbatimChar"/>
        </w:rPr>
        <w:t xml:space="preserve">invoice.approved</w:t>
      </w:r>
      <w:r>
        <w:t xml:space="preserve"> </w:t>
      </w:r>
      <w:r>
        <w:t xml:space="preserve">or</w:t>
      </w:r>
      <w:r>
        <w:t xml:space="preserve"> </w:t>
      </w:r>
      <w:r>
        <w:rPr>
          <w:rStyle w:val="VerbatimChar"/>
        </w:rPr>
        <w:t xml:space="preserve">invoice.rejected</w:t>
      </w:r>
      <w:r>
        <w:t xml:space="preserve"> </w:t>
      </w:r>
      <w:r>
        <w:t xml:space="preserve">with the approver’s ID and timestamp.</w:t>
      </w:r>
    </w:p>
    <w:p>
      <w:pPr>
        <w:numPr>
          <w:ilvl w:val="0"/>
          <w:numId w:val="1001"/>
        </w:numPr>
      </w:pPr>
      <w:r>
        <w:rPr>
          <w:b/>
          <w:bCs/>
        </w:rPr>
        <w:t xml:space="preserve">Conditional Workflow Path:</w:t>
      </w:r>
      <w:r>
        <w:t xml:space="preserve"> </w:t>
      </w:r>
      <w:r>
        <w:t xml:space="preserve">The orchestrator resumes the workflow upon the approval event. If</w:t>
      </w:r>
      <w:r>
        <w:t xml:space="preserve"> </w:t>
      </w:r>
      <w:r>
        <w:rPr>
          <w:b/>
          <w:bCs/>
        </w:rPr>
        <w:t xml:space="preserve">rejected</w:t>
      </w:r>
      <w:r>
        <w:t xml:space="preserve">, it might halt the process, mark the invoice as rejected in the database, and trigger a notification back to the user (and perhaps escalate or close the task). If</w:t>
      </w:r>
      <w:r>
        <w:t xml:space="preserve"> </w:t>
      </w:r>
      <w:r>
        <w:rPr>
          <w:b/>
          <w:bCs/>
        </w:rPr>
        <w:t xml:space="preserve">approved</w:t>
      </w:r>
      <w:r>
        <w:t xml:space="preserve"> </w:t>
      </w:r>
      <w:r>
        <w:t xml:space="preserve">(our main path here), the workflow continues to completion. (In a complex scenario, rejection could branch to a remediation sub-flow or request changes.)</w:t>
      </w:r>
    </w:p>
    <w:p>
      <w:pPr>
        <w:numPr>
          <w:ilvl w:val="0"/>
          <w:numId w:val="1001"/>
        </w:numPr>
      </w:pPr>
      <w:r>
        <w:rPr>
          <w:b/>
          <w:bCs/>
        </w:rPr>
        <w:t xml:space="preserve">Posting to Accounting System:</w:t>
      </w:r>
      <w:r>
        <w:t xml:space="preserve"> </w:t>
      </w:r>
      <w:r>
        <w:t xml:space="preserve">Now that the invoice is approved and fully coded, the final step is to</w:t>
      </w:r>
      <w:r>
        <w:t xml:space="preserve"> </w:t>
      </w:r>
      <w:r>
        <w:rPr>
          <w:b/>
          <w:bCs/>
        </w:rPr>
        <w:t xml:space="preserve">record it in the ledger</w:t>
      </w:r>
      <w:r>
        <w:t xml:space="preserve">. The orchestrator invokes the</w:t>
      </w:r>
      <w:r>
        <w:t xml:space="preserve"> </w:t>
      </w:r>
      <w:r>
        <w:rPr>
          <w:b/>
          <w:bCs/>
        </w:rPr>
        <w:t xml:space="preserve">ERP Connector</w:t>
      </w:r>
      <w:r>
        <w:t xml:space="preserve"> </w:t>
      </w:r>
      <w:r>
        <w:t xml:space="preserve">service for the company’s accounting software. For example, if the tenant is configured to use QuickBooks Online (QBO), the connector will call QBO’s API to create a Bill/Vendor Invoice entry with all the extracted details. This corresponds to an endpoint like</w:t>
      </w:r>
      <w:r>
        <w:t xml:space="preserve"> </w:t>
      </w:r>
      <w:r>
        <w:rPr>
          <w:rStyle w:val="VerbatimChar"/>
        </w:rPr>
        <w:t xml:space="preserve">POST /v1/ledger/qbo/bills</w:t>
      </w:r>
      <w:r>
        <w:t xml:space="preserve"> </w:t>
      </w:r>
      <w:r>
        <w:t xml:space="preserve">in the platform</w:t>
      </w:r>
      <w:hyperlink r:id="rId42">
        <w:r>
          <w:rPr>
            <w:rStyle w:val="Hyperlink"/>
          </w:rPr>
          <w:t xml:space="preserve">[21]</w:t>
        </w:r>
      </w:hyperlink>
      <w:hyperlink r:id="rId43">
        <w:r>
          <w:rPr>
            <w:rStyle w:val="Hyperlink"/>
          </w:rPr>
          <w:t xml:space="preserve">[22]</w:t>
        </w:r>
      </w:hyperlink>
      <w:r>
        <w:t xml:space="preserve">. The connector handles authentication to QBO and translates our internal invoice schema to the external API format. On success, the external system returns an ID (e.g., QBO invoice ID) which we store in our database for reference. The connector could also handle failures (if QBO is down, it may retry after some time, or use a dead-letter queue to retry later without losing data).</w:t>
      </w:r>
    </w:p>
    <w:p>
      <w:pPr>
        <w:numPr>
          <w:ilvl w:val="0"/>
          <w:numId w:val="1001"/>
        </w:numPr>
      </w:pPr>
      <w:r>
        <w:rPr>
          <w:b/>
          <w:bCs/>
        </w:rPr>
        <w:t xml:space="preserve">Notifications and Completion:</w:t>
      </w:r>
      <w:r>
        <w:t xml:space="preserve"> </w:t>
      </w:r>
      <w:r>
        <w:t xml:space="preserve">After posting, the orchestrator emits a final event</w:t>
      </w:r>
      <w:r>
        <w:t xml:space="preserve"> </w:t>
      </w:r>
      <w:r>
        <w:rPr>
          <w:rStyle w:val="VerbatimChar"/>
        </w:rPr>
        <w:t xml:space="preserve">invoice.processed</w:t>
      </w:r>
      <w:r>
        <w:t xml:space="preserve"> </w:t>
      </w:r>
      <w:r>
        <w:t xml:space="preserve">and marks the workflow as completed in our system. A</w:t>
      </w:r>
      <w:r>
        <w:t xml:space="preserve"> </w:t>
      </w:r>
      <w:r>
        <w:rPr>
          <w:b/>
          <w:bCs/>
        </w:rPr>
        <w:t xml:space="preserve">Notifier service</w:t>
      </w:r>
      <w:r>
        <w:t xml:space="preserve"> </w:t>
      </w:r>
      <w:r>
        <w:t xml:space="preserve">might send a message back to the user on WhatsApp confirming that the invoice was processed successfully and is now in the system (this leverages the messaging connector). The entire process from submission to completion is thus closed-loop. The user receives near-real-time feedback, and internal systems are updated without manual data entry.</w:t>
      </w:r>
    </w:p>
    <w:p>
      <w:pPr>
        <w:numPr>
          <w:ilvl w:val="0"/>
          <w:numId w:val="1001"/>
        </w:numPr>
      </w:pPr>
      <w:r>
        <w:rPr>
          <w:b/>
          <w:bCs/>
        </w:rPr>
        <w:t xml:space="preserve">Observability and Audit:</w:t>
      </w:r>
      <w:r>
        <w:t xml:space="preserve"> </w:t>
      </w:r>
      <w:r>
        <w:t xml:space="preserve">Throughout the execution, observability data was captured. If we trace this workflow instance:</w:t>
      </w:r>
    </w:p>
    <w:p>
      <w:pPr>
        <w:pStyle w:val="Compact"/>
        <w:numPr>
          <w:ilvl w:val="0"/>
          <w:numId w:val="1001"/>
        </w:numPr>
      </w:pPr>
      <w:r>
        <w:t xml:space="preserve">A distributed trace would show spans for each major step (ingress, extraction, vendor match, approval wait, posting, etc.) along with timings. This is invaluable for performance analysis (e.g., to see if extraction is taking 30 seconds and needs optimization or if a particular tenant’s process consistently experiences delays).</w:t>
      </w:r>
    </w:p>
    <w:p>
      <w:pPr>
        <w:pStyle w:val="Compact"/>
        <w:numPr>
          <w:ilvl w:val="0"/>
          <w:numId w:val="1001"/>
        </w:numPr>
      </w:pPr>
      <w:r>
        <w:t xml:space="preserve">Logs were generated with contextual information. For example, when the approval came in, a log entry might read:</w:t>
      </w:r>
      <w:r>
        <w:t xml:space="preserve"> </w:t>
      </w:r>
      <w:r>
        <w:rPr>
          <w:rStyle w:val="VerbatimChar"/>
        </w:rPr>
        <w:t xml:space="preserve">INFO {"org":"AcmeCorp","workflow":"AP_Ingest","doc_id":"12345","event":"invoice.approved","approver":"user42","time":"2025-10-14T12:00:00Z"}</w:t>
      </w:r>
      <w:r>
        <w:t xml:space="preserve">. These structured logs enable easy querying (for auditing who approved what and when).</w:t>
      </w:r>
    </w:p>
    <w:p>
      <w:pPr>
        <w:pStyle w:val="Compact"/>
        <w:numPr>
          <w:ilvl w:val="0"/>
          <w:numId w:val="1001"/>
        </w:numPr>
      </w:pPr>
      <w:r>
        <w:t xml:space="preserve">If any error occurred, it would be logged and traced as well. For instance, if the QBO API was down and the posting failed, an alert could be raised via our monitoring system indicating “Posting to QBO failed for AcmeCorp invoice 12345”. This could trigger an SLA breach alarm if not resolved in time.</w:t>
      </w:r>
    </w:p>
    <w:p>
      <w:pPr>
        <w:pStyle w:val="Compact"/>
        <w:numPr>
          <w:ilvl w:val="0"/>
          <w:numId w:val="1001"/>
        </w:numPr>
      </w:pPr>
      <w:r>
        <w:t xml:space="preserve">The audit log for compliance would have an entry for the approval decision, linking the approver and maybe a snapshot of the invoice data they approved. This ensures regulatory compliance (important in finance) – every critical human or AI decision is auditable.</w:t>
      </w:r>
    </w:p>
    <w:p>
      <w:pPr>
        <w:pStyle w:val="FirstParagraph"/>
      </w:pPr>
      <w:r>
        <w:t xml:space="preserve">This AP ingest example underscores how EJWCS coordinates multiple components (messaging adapters, AI extraction, business logic, human interaction, external APIs) in a seamless pipeline. The use of a</w:t>
      </w:r>
      <w:r>
        <w:t xml:space="preserve"> </w:t>
      </w:r>
      <w:r>
        <w:rPr>
          <w:b/>
          <w:bCs/>
        </w:rPr>
        <w:t xml:space="preserve">standard workflow schema</w:t>
      </w:r>
      <w:r>
        <w:t xml:space="preserve"> </w:t>
      </w:r>
      <w:r>
        <w:t xml:space="preserve">(like BPMN) to model this process ensures that the path (including the approval gateway) is clearly documented and could even be visualized for stakeholders. The integration of an</w:t>
      </w:r>
      <w:r>
        <w:t xml:space="preserve"> </w:t>
      </w:r>
      <w:r>
        <w:rPr>
          <w:b/>
          <w:bCs/>
        </w:rPr>
        <w:t xml:space="preserve">LLM</w:t>
      </w:r>
      <w:r>
        <w:t xml:space="preserve"> </w:t>
      </w:r>
      <w:r>
        <w:t xml:space="preserve">in this flow was behind the scenes in the extraction step (where it helped parse the invoice) – importantly, this was done with guardrails (e.g., we could have a policy that the LLM cannot output certain sensitive fields or that it must cite its extraction confidence). If we were to illustrate this sequence in a simplified form:</w:t>
      </w:r>
    </w:p>
    <w:p>
      <w:pPr>
        <w:pStyle w:val="SourceCode"/>
      </w:pPr>
      <w:r>
        <w:rPr>
          <w:rStyle w:val="VerbatimChar"/>
        </w:rPr>
        <w:t xml:space="preserve">sequenceDiagram</w:t>
      </w:r>
      <w:r>
        <w:br/>
      </w:r>
      <w:r>
        <w:rPr>
          <w:rStyle w:val="VerbatimChar"/>
        </w:rPr>
        <w:t xml:space="preserve">    participant User as User (WhatsApp)</w:t>
      </w:r>
      <w:r>
        <w:br/>
      </w:r>
      <w:r>
        <w:rPr>
          <w:rStyle w:val="VerbatimChar"/>
        </w:rPr>
        <w:t xml:space="preserve">    participant Bot as Ingress (WA Bot)</w:t>
      </w:r>
      <w:r>
        <w:br/>
      </w:r>
      <w:r>
        <w:rPr>
          <w:rStyle w:val="VerbatimChar"/>
        </w:rPr>
        <w:t xml:space="preserve">    participant ORCH as Orchestrator</w:t>
      </w:r>
      <w:r>
        <w:br/>
      </w:r>
      <w:r>
        <w:rPr>
          <w:rStyle w:val="VerbatimChar"/>
        </w:rPr>
        <w:t xml:space="preserve">    participant EX as Extraction Service</w:t>
      </w:r>
      <w:r>
        <w:br/>
      </w:r>
      <w:r>
        <w:rPr>
          <w:rStyle w:val="VerbatimChar"/>
        </w:rPr>
        <w:t xml:space="preserve">    participant APPR as Approver (Manager)</w:t>
      </w:r>
      <w:r>
        <w:br/>
      </w:r>
      <w:r>
        <w:rPr>
          <w:rStyle w:val="VerbatimChar"/>
        </w:rPr>
        <w:t xml:space="preserve">    participant ERP as ERP Connector (QBO)</w:t>
      </w:r>
      <w:r>
        <w:br/>
      </w:r>
      <w:r>
        <w:rPr>
          <w:rStyle w:val="VerbatimChar"/>
        </w:rPr>
        <w:t xml:space="preserve">    Note over User,Bot: 1. User sends invoice via WhatsApp</w:t>
      </w:r>
      <w:r>
        <w:br/>
      </w:r>
      <w:r>
        <w:rPr>
          <w:rStyle w:val="VerbatimChar"/>
        </w:rPr>
        <w:t xml:space="preserve">    User -&gt;&gt; Bot: Invoice PDF upload</w:t>
      </w:r>
      <w:r>
        <w:br/>
      </w:r>
      <w:r>
        <w:rPr>
          <w:rStyle w:val="VerbatimChar"/>
        </w:rPr>
        <w:t xml:space="preserve">    Bot -&gt;&gt; ORCH: HTTP webhook (invoice.received)</w:t>
      </w:r>
      <w:r>
        <w:br/>
      </w:r>
      <w:r>
        <w:rPr>
          <w:rStyle w:val="VerbatimChar"/>
        </w:rPr>
        <w:t xml:space="preserve">    ORCH -&gt;&gt; EX: Extract data from document</w:t>
      </w:r>
      <w:r>
        <w:br/>
      </w:r>
      <w:r>
        <w:rPr>
          <w:rStyle w:val="VerbatimChar"/>
        </w:rPr>
        <w:t xml:space="preserve">    EX --&gt;&gt; ORCH: JSON data (fields &amp; line items)</w:t>
      </w:r>
      <w:r>
        <w:br/>
      </w:r>
      <w:r>
        <w:rPr>
          <w:rStyle w:val="VerbatimChar"/>
        </w:rPr>
        <w:t xml:space="preserve">    ORCH -&gt;&gt; APPR: Send approval request (if needed)</w:t>
      </w:r>
      <w:r>
        <w:br/>
      </w:r>
      <w:r>
        <w:rPr>
          <w:rStyle w:val="VerbatimChar"/>
        </w:rPr>
        <w:t xml:space="preserve">    APPR -&gt;&gt; ORCH: Approve via API/Chat</w:t>
      </w:r>
      <w:r>
        <w:br/>
      </w:r>
      <w:r>
        <w:rPr>
          <w:rStyle w:val="VerbatimChar"/>
        </w:rPr>
        <w:t xml:space="preserve">    ORCH -&gt;&gt; ERP: Post invoice to QBO via API</w:t>
      </w:r>
      <w:r>
        <w:br/>
      </w:r>
      <w:r>
        <w:rPr>
          <w:rStyle w:val="VerbatimChar"/>
        </w:rPr>
        <w:t xml:space="preserve">    ERP --&gt;&gt; ORCH: Success (ID returned)</w:t>
      </w:r>
      <w:r>
        <w:br/>
      </w:r>
      <w:r>
        <w:rPr>
          <w:rStyle w:val="VerbatimChar"/>
        </w:rPr>
        <w:t xml:space="preserve">    ORCH -&gt;&gt; User: Confirmation message sent</w:t>
      </w:r>
      <w:r>
        <w:br/>
      </w:r>
      <w:r>
        <w:rPr>
          <w:rStyle w:val="VerbatimChar"/>
        </w:rPr>
        <w:t xml:space="preserve">    Note over ORCH: Workflow complete; log and trace saved</w:t>
      </w:r>
    </w:p>
    <w:p>
      <w:pPr>
        <w:pStyle w:val="FirstParagraph"/>
      </w:pPr>
      <w:r>
        <w:rPr>
          <w:b/>
          <w:bCs/>
        </w:rPr>
        <w:t xml:space="preserve">Figure: AP Ingestion Sequence.</w:t>
      </w:r>
      <w:r>
        <w:t xml:space="preserve"> </w:t>
      </w:r>
      <w:r>
        <w:rPr>
          <w:i/>
          <w:iCs/>
        </w:rPr>
        <w:t xml:space="preserve">Step 1: A user sends an invoice via WhatsApp. Step 2: The WhatsApp bot triggers the orchestrator via webhook. Step 3: The orchestrator calls the extraction service to parse the document. Step 4: Extracted data is returned. Step 5: The orchestrator requests human approval. Step 6: Manager approves the invoice. Step 7: The orchestrator calls the ERP connector to record the invoice in the accounting system. Step 8: ERP confirms success. Step 9: The orchestrator notifies the user of completion. Throughout, the orchestrator logs telemetry and audit data.</w:t>
      </w:r>
    </w:p>
    <w:p>
      <w:pPr>
        <w:pStyle w:val="BodyText"/>
      </w:pPr>
      <w:r>
        <w:t xml:space="preserve">This example demonstrates a</w:t>
      </w:r>
      <w:r>
        <w:t xml:space="preserve"> </w:t>
      </w:r>
      <w:r>
        <w:rPr>
          <w:b/>
          <w:bCs/>
        </w:rPr>
        <w:t xml:space="preserve">happy path</w:t>
      </w:r>
      <w:r>
        <w:t xml:space="preserve">; the system also handles variations (like missing data, high-risk flag leading to additional checks, or a rejection path). It shows how EJWCS combines conversational interfaces, AI, human input, and legacy API integration in one coherent workflow. By aligning with BPMN 2.0 standards, such a workflow is not just hard-coded – it is represented in a portable format that could be shared, reviewed, and even edited with standard BPMN tools, underscoring the platform’s commitment to openness and flexibility.</w:t>
      </w:r>
    </w:p>
    <w:p>
      <w:pPr>
        <w:pStyle w:val="BodyText"/>
      </w:pPr>
      <w:r>
        <w:t xml:space="preserve">Notably, the EJWCS framework can support</w:t>
      </w:r>
      <w:r>
        <w:t xml:space="preserve"> </w:t>
      </w:r>
      <w:r>
        <w:rPr>
          <w:b/>
          <w:bCs/>
        </w:rPr>
        <w:t xml:space="preserve">many other workflow types</w:t>
      </w:r>
      <w:r>
        <w:t xml:space="preserve"> </w:t>
      </w:r>
      <w:r>
        <w:t xml:space="preserve">with similar patterns. For instance, an</w:t>
      </w:r>
      <w:r>
        <w:t xml:space="preserve"> </w:t>
      </w:r>
      <w:r>
        <w:rPr>
          <w:b/>
          <w:bCs/>
        </w:rPr>
        <w:t xml:space="preserve">LLM SQL Agent</w:t>
      </w:r>
      <w:r>
        <w:t xml:space="preserve"> </w:t>
      </w:r>
      <w:r>
        <w:t xml:space="preserve">workflow could let a user ask a question in natural language (via chat or API), and the orchestrator uses an LLM to parse the question, then a tool to run SQL against a database, and finally returns the answer. Thanks to the agentic design, the LLM could dynamically decide which queries or tools to use. The platform’s modular tools (connectors to databases, etc.) and guardrails would equally apply to ensure such an agent remains safe (e.g., not exposing unauthorized data) and effective. This highlights that EJWCS is not limited to document workflows – it’s a general orchestration engine capable of harnessing AI for various enterprise automation tasks.</w:t>
      </w:r>
    </w:p>
    <w:bookmarkEnd w:id="44"/>
    <w:bookmarkStart w:id="48" w:name="key-innovations-and-differentiators"/>
    <w:p>
      <w:pPr>
        <w:pStyle w:val="Heading2"/>
      </w:pPr>
      <w:r>
        <w:t xml:space="preserve">Key Innovations and Differentiators</w:t>
      </w:r>
    </w:p>
    <w:p>
      <w:pPr>
        <w:pStyle w:val="FirstParagraph"/>
      </w:pPr>
      <w:r>
        <w:t xml:space="preserve">The enhanced EJWCS platform introduces several innovations that distinguish it from both traditional workflow automation tools and emerging AI orchestration frameworks:</w:t>
      </w:r>
    </w:p>
    <w:p>
      <w:pPr>
        <w:numPr>
          <w:ilvl w:val="0"/>
          <w:numId w:val="1002"/>
        </w:numPr>
      </w:pPr>
      <w:r>
        <w:rPr>
          <w:b/>
          <w:bCs/>
        </w:rPr>
        <w:t xml:space="preserve">Hybrid Orchestration (Rule-based + Agentic):</w:t>
      </w:r>
      <w:r>
        <w:t xml:space="preserve"> </w:t>
      </w:r>
      <w:r>
        <w:t xml:space="preserve">Unlike traditional BPM systems that follow static flows, EJWCS supports a hybrid approach. Routine processes can be encoded as deterministic workflows (ensuring reliability and compliance), while also allowing</w:t>
      </w:r>
      <w:r>
        <w:t xml:space="preserve"> </w:t>
      </w:r>
      <w:r>
        <w:rPr>
          <w:i/>
          <w:iCs/>
        </w:rPr>
        <w:t xml:space="preserve">agentic flexibility</w:t>
      </w:r>
      <w:r>
        <w:t xml:space="preserve"> </w:t>
      </w:r>
      <w:r>
        <w:t xml:space="preserve">where appropriate. The integration of an LLM agent within workflows means the system can handle unstructured or unpredictable scenarios gracefully. This is a step beyond typical RPA (Robotic Process Automation) or iPaaS solutions – the workflows can literally “think” when needed. Yet, this is done without sacrificing control: the policy guardrails and structured I/O contracts mean even AI-driven steps remain auditable and within bounds.</w:t>
      </w:r>
    </w:p>
    <w:p>
      <w:pPr>
        <w:numPr>
          <w:ilvl w:val="0"/>
          <w:numId w:val="1002"/>
        </w:numPr>
      </w:pPr>
      <w:r>
        <w:rPr>
          <w:b/>
          <w:bCs/>
        </w:rPr>
        <w:t xml:space="preserve">Modular, Plug-and-Play Architecture:</w:t>
      </w:r>
      <w:r>
        <w:t xml:space="preserve"> </w:t>
      </w:r>
      <w:r>
        <w:t xml:space="preserve">Every component in EJWCS is designed as a</w:t>
      </w:r>
      <w:r>
        <w:t xml:space="preserve"> </w:t>
      </w:r>
      <w:r>
        <w:rPr>
          <w:b/>
          <w:bCs/>
        </w:rPr>
        <w:t xml:space="preserve">plug-in</w:t>
      </w:r>
      <w:r>
        <w:t xml:space="preserve">. This modularity is not only in services but also in the AI layer (pluggable LLM providers)</w:t>
      </w:r>
      <w:hyperlink r:id="rId45">
        <w:r>
          <w:rPr>
            <w:rStyle w:val="Hyperlink"/>
          </w:rPr>
          <w:t xml:space="preserve">[23]</w:t>
        </w:r>
      </w:hyperlink>
      <w:r>
        <w:t xml:space="preserve">. The platform can integrate different AI models (GPT-4, Claude, open-source models, etc.) or switch them based on cost or performance, without altering the workflow definitions. Similarly, connectors and skills can be added over time. This gives organizations the agility to extend the platform – for example, adding a new workflow for another department by reusing existing skills and adding a couple of new ones – akin to snapping together building blocks.</w:t>
      </w:r>
    </w:p>
    <w:p>
      <w:pPr>
        <w:numPr>
          <w:ilvl w:val="0"/>
          <w:numId w:val="1002"/>
        </w:numPr>
      </w:pPr>
      <w:r>
        <w:rPr>
          <w:b/>
          <w:bCs/>
        </w:rPr>
        <w:t xml:space="preserve">BPMN 2.0 Alignment and Transparency:</w:t>
      </w:r>
      <w:r>
        <w:t xml:space="preserve"> </w:t>
      </w:r>
      <w:r>
        <w:t xml:space="preserve">By adhering to BPMN 2.0 notation for workflow design, the platform ensures</w:t>
      </w:r>
      <w:r>
        <w:t xml:space="preserve"> </w:t>
      </w:r>
      <w:r>
        <w:rPr>
          <w:b/>
          <w:bCs/>
        </w:rPr>
        <w:t xml:space="preserve">business-user friendliness</w:t>
      </w:r>
      <w:r>
        <w:t xml:space="preserve"> </w:t>
      </w:r>
      <w:r>
        <w:t xml:space="preserve">and interoperability</w:t>
      </w:r>
      <w:hyperlink r:id="rId21">
        <w:r>
          <w:rPr>
            <w:rStyle w:val="Hyperlink"/>
          </w:rPr>
          <w:t xml:space="preserve">[1]</w:t>
        </w:r>
      </w:hyperlink>
      <w:r>
        <w:t xml:space="preserve">. Business analysts can design processes in a BPMN tool and import them, or export existing ones for review. This transparency in how the “jobs” are orchestrated is a major differentiator in an AI workflow platform – stakeholders can easily see and approve the process logic (gateways, approvals, loops, etc.) in a standardized diagram, bridging the gap between non-technical process owners and the technical implementation. Competing AI agent frameworks often lack this, as they focus on AI decisions but not on presenting the overall flow in a formalized way.</w:t>
      </w:r>
    </w:p>
    <w:p>
      <w:pPr>
        <w:numPr>
          <w:ilvl w:val="0"/>
          <w:numId w:val="1002"/>
        </w:numPr>
      </w:pPr>
      <w:r>
        <w:rPr>
          <w:b/>
          <w:bCs/>
        </w:rPr>
        <w:t xml:space="preserve">Enterprise-Grade Observability &amp; Reliability:</w:t>
      </w:r>
      <w:r>
        <w:t xml:space="preserve"> </w:t>
      </w:r>
      <w:r>
        <w:t xml:space="preserve">EJWCS bakes in enterprise observability from day one. The comprehensive use of OpenTelemetry for tracing and metrics, combined with structured logs and audit trails, means the platform is not a “black box.” Stakeholders (and paying customers) can be assured of</w:t>
      </w:r>
      <w:r>
        <w:t xml:space="preserve"> </w:t>
      </w:r>
      <w:r>
        <w:rPr>
          <w:b/>
          <w:bCs/>
        </w:rPr>
        <w:t xml:space="preserve">reliability</w:t>
      </w:r>
      <w:r>
        <w:t xml:space="preserve"> </w:t>
      </w:r>
      <w:r>
        <w:t xml:space="preserve">and</w:t>
      </w:r>
      <w:r>
        <w:t xml:space="preserve"> </w:t>
      </w:r>
      <w:r>
        <w:rPr>
          <w:b/>
          <w:bCs/>
        </w:rPr>
        <w:t xml:space="preserve">supportability</w:t>
      </w:r>
      <w:r>
        <w:t xml:space="preserve"> </w:t>
      </w:r>
      <w:r>
        <w:t xml:space="preserve">– when things go wrong, there is enough telemetry to diagnose issues quickly. The design anticipates failures and uses patterns like saga compensation for multi-step consistency</w:t>
      </w:r>
      <w:hyperlink r:id="rId46">
        <w:r>
          <w:rPr>
            <w:rStyle w:val="Hyperlink"/>
          </w:rPr>
          <w:t xml:space="preserve">[24]</w:t>
        </w:r>
      </w:hyperlink>
      <w:r>
        <w:t xml:space="preserve"> </w:t>
      </w:r>
      <w:r>
        <w:t xml:space="preserve">(for example, if posting to ERP fails after extraction succeeded, the system can compensate by marking the invoice as “pending” and retry later, rather than just dropping it). This level of robustness and clarity sets EJWCS apart from ad-hoc automation scripts or less mature AI tooling. In essence, it’s built to meet</w:t>
      </w:r>
      <w:r>
        <w:t xml:space="preserve"> </w:t>
      </w:r>
      <w:r>
        <w:rPr>
          <w:b/>
          <w:bCs/>
        </w:rPr>
        <w:t xml:space="preserve">SLA commitments</w:t>
      </w:r>
      <w:r>
        <w:t xml:space="preserve"> </w:t>
      </w:r>
      <w:r>
        <w:t xml:space="preserve">and high uptime needs, which is essential for monetization as a SaaS.</w:t>
      </w:r>
    </w:p>
    <w:p>
      <w:pPr>
        <w:numPr>
          <w:ilvl w:val="0"/>
          <w:numId w:val="1002"/>
        </w:numPr>
      </w:pPr>
      <w:r>
        <w:rPr>
          <w:b/>
          <w:bCs/>
        </w:rPr>
        <w:t xml:space="preserve">Integrated Guardrails for AI:</w:t>
      </w:r>
      <w:r>
        <w:t xml:space="preserve"> </w:t>
      </w:r>
      <w:r>
        <w:t xml:space="preserve">With the rise of LLM-based features, many platforms treat guardrails as an afterthought or leave it to the application developer. EJWCS instead provides a</w:t>
      </w:r>
      <w:r>
        <w:t xml:space="preserve"> </w:t>
      </w:r>
      <w:r>
        <w:rPr>
          <w:b/>
          <w:bCs/>
        </w:rPr>
        <w:t xml:space="preserve">policy layer</w:t>
      </w:r>
      <w:r>
        <w:t xml:space="preserve"> </w:t>
      </w:r>
      <w:r>
        <w:t xml:space="preserve">out-of-the-box. Administrators can configure policies for LLM usage (for instance, disallowing any generated content that looks like PII or offensive language, or restricting certain knowledge sources). The framework could integrate existing solutions (like OpenAI’s content filter API or open-source libraries) under the hood, but importantly it surfaces a governance interface. This gives enterprises confidence that AI won’t go rogue – a necessary differentiator when pitching to sectors with compliance requirements (finance, healthcare, etc.). The guardrail mechanism also logs incidents (if an AI output was blocked or modified by the policy, it’s recorded), which is useful for model improvement and compliance audits.</w:t>
      </w:r>
    </w:p>
    <w:p>
      <w:pPr>
        <w:numPr>
          <w:ilvl w:val="0"/>
          <w:numId w:val="1002"/>
        </w:numPr>
      </w:pPr>
      <w:r>
        <w:rPr>
          <w:b/>
          <w:bCs/>
        </w:rPr>
        <w:t xml:space="preserve">Multi-Tenancy and Security by Design:</w:t>
      </w:r>
      <w:r>
        <w:t xml:space="preserve"> </w:t>
      </w:r>
      <w:r>
        <w:t xml:space="preserve">Unlike some developer-centric orchestration tools which might require a separate instance per customer, EJWCS is built from scratch with multi-tenancy. This is a huge advantage for scaling a commercial SaaS offering, as one deployment can securely serve many clients. Isolation techniques (data partitioning, tenant-specific encryption keys, scoped access tokens) ensure that each tenant’s processes and data remain invisible to others</w:t>
      </w:r>
      <w:hyperlink r:id="rId24">
        <w:r>
          <w:rPr>
            <w:rStyle w:val="Hyperlink"/>
          </w:rPr>
          <w:t xml:space="preserve">[3]</w:t>
        </w:r>
      </w:hyperlink>
      <w:r>
        <w:t xml:space="preserve">. Additionally, the inclusion of</w:t>
      </w:r>
      <w:r>
        <w:t xml:space="preserve"> </w:t>
      </w:r>
      <w:r>
        <w:rPr>
          <w:b/>
          <w:bCs/>
        </w:rPr>
        <w:t xml:space="preserve">fine-grained RBAC</w:t>
      </w:r>
      <w:r>
        <w:t xml:space="preserve"> </w:t>
      </w:r>
      <w:r>
        <w:t xml:space="preserve">means within a tenant, different users (or API keys) can be limited to certain actions (e.g., a junior employee can trigger an invoice processing but only a manager’s account can approve payments). These enterprise security features (SSO integration, audit logs, etc.) make the platform immediately appealing to organizations that vet software for compliance – it’s</w:t>
      </w:r>
      <w:r>
        <w:t xml:space="preserve"> </w:t>
      </w:r>
      <w:r>
        <w:rPr>
          <w:b/>
          <w:bCs/>
        </w:rPr>
        <w:t xml:space="preserve">“enterprise-ready”</w:t>
      </w:r>
      <w:r>
        <w:t xml:space="preserve"> </w:t>
      </w:r>
      <w:r>
        <w:t xml:space="preserve">in terms of security and governance.</w:t>
      </w:r>
    </w:p>
    <w:p>
      <w:pPr>
        <w:numPr>
          <w:ilvl w:val="0"/>
          <w:numId w:val="1002"/>
        </w:numPr>
      </w:pPr>
      <w:r>
        <w:rPr>
          <w:b/>
          <w:bCs/>
        </w:rPr>
        <w:t xml:space="preserve">LangChain-Style Tool Ecosystem:</w:t>
      </w:r>
      <w:r>
        <w:t xml:space="preserve"> </w:t>
      </w:r>
      <w:r>
        <w:t xml:space="preserve">By drawing inspiration from LangChain and similar frameworks, EJWCS promotes an ecosystem of</w:t>
      </w:r>
      <w:r>
        <w:t xml:space="preserve"> </w:t>
      </w:r>
      <w:r>
        <w:rPr>
          <w:b/>
          <w:bCs/>
        </w:rPr>
        <w:t xml:space="preserve">tools/skills that can be reused across workflows</w:t>
      </w:r>
      <w:r>
        <w:t xml:space="preserve">. For example, a “database query” skill or a “send email” skill can be used in many different processes. The</w:t>
      </w:r>
      <w:r>
        <w:t xml:space="preserve"> </w:t>
      </w:r>
      <w:r>
        <w:rPr>
          <w:b/>
          <w:bCs/>
        </w:rPr>
        <w:t xml:space="preserve">standard interface contracts</w:t>
      </w:r>
      <w:r>
        <w:t xml:space="preserve"> </w:t>
      </w:r>
      <w:r>
        <w:t xml:space="preserve">make these skills interchangeable. This also opens up opportunities for a</w:t>
      </w:r>
      <w:r>
        <w:t xml:space="preserve"> </w:t>
      </w:r>
      <w:r>
        <w:rPr>
          <w:b/>
          <w:bCs/>
        </w:rPr>
        <w:t xml:space="preserve">marketplace</w:t>
      </w:r>
      <w:r>
        <w:t xml:space="preserve"> </w:t>
      </w:r>
      <w:r>
        <w:t xml:space="preserve">of skills or third-party plugins in the future, where specialized vendors could provide, say, a “document fraud detection” module that any tenant could plug into their workflow. The ability to compose</w:t>
      </w:r>
      <w:r>
        <w:t xml:space="preserve"> </w:t>
      </w:r>
      <w:r>
        <w:rPr>
          <w:b/>
          <w:bCs/>
        </w:rPr>
        <w:t xml:space="preserve">smaller, focused agents in a coordinated workflow</w:t>
      </w:r>
      <w:hyperlink r:id="rId28">
        <w:r>
          <w:rPr>
            <w:rStyle w:val="Hyperlink"/>
            <w:b/>
            <w:bCs/>
          </w:rPr>
          <w:t xml:space="preserve">[7]</w:t>
        </w:r>
      </w:hyperlink>
      <w:r>
        <w:t xml:space="preserve"> </w:t>
      </w:r>
      <w:r>
        <w:t xml:space="preserve">not only improves performance (specialized agents are better at specific tasks) but also makes the system adaptable. Competitors that offer monolithic bots or one-size-fits-all AI agents might struggle on complex tasks, whereas our design can orchestrate multiple agents (e.g., one for language understanding, one for calculation, one for database lookup) in concert, via the supervisor pattern.</w:t>
      </w:r>
    </w:p>
    <w:p>
      <w:pPr>
        <w:numPr>
          <w:ilvl w:val="0"/>
          <w:numId w:val="1002"/>
        </w:numPr>
      </w:pPr>
      <w:r>
        <w:rPr>
          <w:b/>
          <w:bCs/>
        </w:rPr>
        <w:t xml:space="preserve">Standardized Integration (OpenAPI) and Extensibility:</w:t>
      </w:r>
      <w:r>
        <w:t xml:space="preserve"> </w:t>
      </w:r>
      <w:r>
        <w:t xml:space="preserve">The presence of a well-defined OpenAPI specification for the platform’s external APIs is a notable strength. It means any feature of the platform (triggering workflows, feeding data in, retrieving results) is accessible via documented REST endpoints. For example, the collection includes endpoints for uploading documents, searching vendors, posting transactions, etc., which external systems or customers can easily adopt</w:t>
      </w:r>
      <w:hyperlink r:id="rId47">
        <w:r>
          <w:rPr>
            <w:rStyle w:val="Hyperlink"/>
          </w:rPr>
          <w:t xml:space="preserve">[25]</w:t>
        </w:r>
      </w:hyperlink>
      <w:hyperlink r:id="rId42">
        <w:r>
          <w:rPr>
            <w:rStyle w:val="Hyperlink"/>
          </w:rPr>
          <w:t xml:space="preserve">[21]</w:t>
        </w:r>
      </w:hyperlink>
      <w:r>
        <w:t xml:space="preserve">. This “API-first” design enables easy integration into customers’ existing systems (they can call our API from their ERP or upload files from their CRM). Moreover, it lays the groundwork for generating client SDKs, command-line interfaces, or even a GUI. Being OpenAPI-compliant streamlines the creation of client libraries in various languages and the scaffolding of developer portals, which speeds up adoption – a key differentiator when offering this as a product.</w:t>
      </w:r>
    </w:p>
    <w:p>
      <w:pPr>
        <w:numPr>
          <w:ilvl w:val="0"/>
          <w:numId w:val="1002"/>
        </w:numPr>
      </w:pPr>
      <w:r>
        <w:rPr>
          <w:b/>
          <w:bCs/>
        </w:rPr>
        <w:t xml:space="preserve">Performance and Optimization Focus:</w:t>
      </w:r>
      <w:r>
        <w:t xml:space="preserve"> </w:t>
      </w:r>
      <w:r>
        <w:t xml:space="preserve">Achieving PhD-quality also implies rigorous optimization. Each component in EJWCS can be scaled horizontally (stateless services behind load balancers) or vertically optimized. We employ caching where appropriate (e.g., caching vendor lookup results or model responses for repeated queries) to reduce latency. The event-driven architecture allows high throughput (backpressure can be managed via the event broker). We also isolate heavy tasks (like LLM calls or OCR) so they can run asynchronously, preventing them from blocking the main workflow thread. The design contemplates streaming where possible – e.g., stream large documents in chunks, or use asynchronous callbacks for long tasks – which improves resource usage. All these ensure that as usage grows (more tenants, more workflows), the platform remains responsive and cost-efficient.</w:t>
      </w:r>
    </w:p>
    <w:p>
      <w:pPr>
        <w:pStyle w:val="FirstParagraph"/>
      </w:pPr>
      <w:r>
        <w:t xml:space="preserve">In summary, EJWCS’s differentiators lie in combining the</w:t>
      </w:r>
      <w:r>
        <w:t xml:space="preserve"> </w:t>
      </w:r>
      <w:r>
        <w:rPr>
          <w:b/>
          <w:bCs/>
        </w:rPr>
        <w:t xml:space="preserve">best of enterprise BPM automation</w:t>
      </w:r>
      <w:r>
        <w:t xml:space="preserve"> </w:t>
      </w:r>
      <w:r>
        <w:t xml:space="preserve">(standards, reliability, security) with the</w:t>
      </w:r>
      <w:r>
        <w:t xml:space="preserve"> </w:t>
      </w:r>
      <w:r>
        <w:rPr>
          <w:b/>
          <w:bCs/>
        </w:rPr>
        <w:t xml:space="preserve">best of AI agent frameworks</w:t>
      </w:r>
      <w:r>
        <w:t xml:space="preserve"> </w:t>
      </w:r>
      <w:r>
        <w:t xml:space="preserve">(flexibility, learning, unstructured data handling). This synergy yields a platform that is both</w:t>
      </w:r>
      <w:r>
        <w:t xml:space="preserve"> </w:t>
      </w:r>
      <w:r>
        <w:rPr>
          <w:b/>
          <w:bCs/>
        </w:rPr>
        <w:t xml:space="preserve">innovative</w:t>
      </w:r>
      <w:r>
        <w:t xml:space="preserve"> </w:t>
      </w:r>
      <w:r>
        <w:t xml:space="preserve">and</w:t>
      </w:r>
      <w:r>
        <w:t xml:space="preserve"> </w:t>
      </w:r>
      <w:r>
        <w:rPr>
          <w:b/>
          <w:bCs/>
        </w:rPr>
        <w:t xml:space="preserve">practical</w:t>
      </w:r>
      <w:r>
        <w:t xml:space="preserve">. For stakeholders and potential customers, the message is that EJWCS can automate the hard, messy parts of their processes (even ones involving understanding documents or conversations), not just the easy structured parts – and it can do so in a way that is controllable, transparent, and integrates with their existing tools. This translates into faster workflows, reduced manual effort, and the ability to unlock new insights (via AI) in their operations, giving EJWCS a compelling value proposition in the market.</w:t>
      </w:r>
    </w:p>
    <w:bookmarkEnd w:id="48"/>
    <w:bookmarkStart w:id="49" w:name="deployment-monetization-guide"/>
    <w:p>
      <w:pPr>
        <w:pStyle w:val="Heading2"/>
      </w:pPr>
      <w:r>
        <w:t xml:space="preserve">Deployment &amp; Monetization Guide</w:t>
      </w:r>
    </w:p>
    <w:p>
      <w:pPr>
        <w:pStyle w:val="FirstParagraph"/>
      </w:pPr>
      <w:r>
        <w:t xml:space="preserve">To transition EJWCS from an internal framework to a</w:t>
      </w:r>
      <w:r>
        <w:t xml:space="preserve"> </w:t>
      </w:r>
      <w:r>
        <w:rPr>
          <w:b/>
          <w:bCs/>
        </w:rPr>
        <w:t xml:space="preserve">commercial SaaS product</w:t>
      </w:r>
      <w:r>
        <w:t xml:space="preserve">, careful planning in deployment and monetization is required. This section outlines how the system can be deployed in various models and describes the strategies for monetization, including packaging of features and pricing considerations.</w:t>
      </w:r>
    </w:p>
    <w:p>
      <w:pPr>
        <w:pStyle w:val="BodyText"/>
      </w:pPr>
      <w:r>
        <w:rPr>
          <w:b/>
          <w:bCs/>
        </w:rPr>
        <w:t xml:space="preserve">Deployment Models:</w:t>
      </w:r>
    </w:p>
    <w:p>
      <w:pPr>
        <w:numPr>
          <w:ilvl w:val="0"/>
          <w:numId w:val="1003"/>
        </w:numPr>
      </w:pPr>
      <w:r>
        <w:rPr>
          <w:b/>
          <w:bCs/>
        </w:rPr>
        <w:t xml:space="preserve">Cloud Multi-Tenant SaaS:</w:t>
      </w:r>
      <w:r>
        <w:t xml:space="preserve"> </w:t>
      </w:r>
      <w:r>
        <w:t xml:space="preserve">The primary deployment model is a cloud-based SaaS where a single instance of EJWCS serves multiple customer organizations. In this model, the platform would run on a scalable cloud infrastructure (e.g., Kubernetes on AWS/Azure/GCP). Each core service (orchestrator, skill services, etc.) would be containerized and deployed with replication as needed. Multi-tenancy features would be fully utilized: a shared cluster, shared databases (with row-level tenant isolation or separate schemas), and shared event bus, all partitioned by tenant IDs. This setup is cost-efficient for the provider and allows rapid onboarding of new customers (just sign up and start using, no separate install). Security measures like network isolation, data encryption, and RBAC ensure that even though resources are shared, data is effectively siloed per tenant. For compliance-conscious clients, we can provide assurance of data isolation through measures such as tenant-specific encryption keys and rigorous access audits. The cloud SaaS model allows us to push updates frequently, manage all infrastructure, and monitor usage centrally – a benefit for both vendor and customer.</w:t>
      </w:r>
    </w:p>
    <w:p>
      <w:pPr>
        <w:numPr>
          <w:ilvl w:val="0"/>
          <w:numId w:val="1003"/>
        </w:numPr>
      </w:pPr>
      <w:r>
        <w:rPr>
          <w:b/>
          <w:bCs/>
        </w:rPr>
        <w:t xml:space="preserve">Single-Tenant (Managed) Deployments:</w:t>
      </w:r>
      <w:r>
        <w:t xml:space="preserve"> </w:t>
      </w:r>
      <w:r>
        <w:t xml:space="preserve">For some enterprise customers, especially in regulated industries, a dedicated deployment might be required (for data residency or enhanced isolation). EJWCS is designed to also support single-tenant deployments, which could be offered in two sub-models:</w:t>
      </w:r>
    </w:p>
    <w:p>
      <w:pPr>
        <w:pStyle w:val="Compact"/>
        <w:numPr>
          <w:ilvl w:val="0"/>
          <w:numId w:val="1003"/>
        </w:numPr>
      </w:pPr>
      <w:r>
        <w:rPr>
          <w:b/>
          <w:bCs/>
        </w:rPr>
        <w:t xml:space="preserve">Managed Single-Tenant Cloud:</w:t>
      </w:r>
      <w:r>
        <w:t xml:space="preserve"> </w:t>
      </w:r>
      <w:r>
        <w:t xml:space="preserve">We (the provider) deploy a dedicated instance of the platform for the customer in our cloud environment or their virtual private cloud. This ensures no resources are shared with others. It might be priced at a premium. The architecture remains largely the same, but with one tenant, certain multi-tenant toggles (like per-tenant DB) could be simplified. This model still allows the vendor to manage the infrastructure and updates, combining isolation with convenience.</w:t>
      </w:r>
    </w:p>
    <w:p>
      <w:pPr>
        <w:numPr>
          <w:ilvl w:val="0"/>
          <w:numId w:val="1003"/>
        </w:numPr>
      </w:pPr>
      <w:r>
        <w:rPr>
          <w:b/>
          <w:bCs/>
        </w:rPr>
        <w:t xml:space="preserve">On-Premises / Self-Hosted:</w:t>
      </w:r>
      <w:r>
        <w:t xml:space="preserve"> </w:t>
      </w:r>
      <w:r>
        <w:t xml:space="preserve">In rare cases where customers demand full control (due to strict internal policies), the platform could be delivered as a package that they deploy on their own servers (e.g., a Helm chart for Kubernetes or Docker Compose setup). Thanks to the modular design and containerization, deploying on-prem is feasible. However, this approach complicates providing managed updates and support, so it would likely be offered only on a case-by-case (with a higher license cost and possibly requiring professional services for setup).</w:t>
      </w:r>
    </w:p>
    <w:p>
      <w:pPr>
        <w:numPr>
          <w:ilvl w:val="0"/>
          <w:numId w:val="1003"/>
        </w:numPr>
      </w:pPr>
      <w:r>
        <w:rPr>
          <w:b/>
          <w:bCs/>
        </w:rPr>
        <w:t xml:space="preserve">Edge or Hybrid Deployment:</w:t>
      </w:r>
      <w:r>
        <w:t xml:space="preserve"> </w:t>
      </w:r>
      <w:r>
        <w:t xml:space="preserve">If latency or data locality is crucial (imagine use cases where the data or AI model needs to reside on-site), the architecture supports deploying certain components at the edge. For example, an on-site document scanner device could run an</w:t>
      </w:r>
      <w:r>
        <w:t xml:space="preserve"> </w:t>
      </w:r>
      <w:r>
        <w:rPr>
          <w:b/>
          <w:bCs/>
        </w:rPr>
        <w:t xml:space="preserve">Ingress Adapter</w:t>
      </w:r>
      <w:r>
        <w:t xml:space="preserve"> </w:t>
      </w:r>
      <w:r>
        <w:t xml:space="preserve">locally to capture documents and send metadata to the cloud orchestrator. Or the LLM integration could be configured to use an on-prem GPU server for model inference, with the orchestrator orchestrating from cloud. This flexibility caters to hybrid cloud scenarios. With OpenAPI endpoints and secure tunnels, hybrid flows can be achieved (the local component calls the SaaS APIs and vice versa securely).</w:t>
      </w:r>
    </w:p>
    <w:p>
      <w:pPr>
        <w:pStyle w:val="FirstParagraph"/>
      </w:pPr>
      <w:r>
        <w:rPr>
          <w:b/>
          <w:bCs/>
        </w:rPr>
        <w:t xml:space="preserve">Scalability &amp; DevOps:</w:t>
      </w:r>
      <w:r>
        <w:t xml:space="preserve"> </w:t>
      </w:r>
      <w:r>
        <w:t xml:space="preserve">In production, we would leverage autoscaling for stateless services (orchestrator, API gateway, etc.). The event bus can be a cloud-managed Kafka service to handle high throughput. Each skill service could scale out independently – e.g., multiple instances of the extraction worker can run in parallel to handle many documents concurrently. We’d use container orchestration (K8s) to manage this, and infrastructure-as-code to reproduce environments. CI/CD pipelines would ensure that new releases of EJWCS can be rolled out with minimal downtime (possibly using blue-green deployments or canary testing for safety given the critical nature of workflows). Observability being built-in helps DevOps teams to monitor system health in real time (with dashboards for error rates, latencies, etc., and alerts configured for anomalies).</w:t>
      </w:r>
    </w:p>
    <w:p>
      <w:pPr>
        <w:pStyle w:val="BodyText"/>
      </w:pPr>
      <w:r>
        <w:rPr>
          <w:b/>
          <w:bCs/>
        </w:rPr>
        <w:t xml:space="preserve">Monetization Strategy:</w:t>
      </w:r>
    </w:p>
    <w:p>
      <w:pPr>
        <w:pStyle w:val="BodyText"/>
      </w:pPr>
      <w:r>
        <w:t xml:space="preserve">EJWCS can be monetized through a combination of</w:t>
      </w:r>
      <w:r>
        <w:t xml:space="preserve"> </w:t>
      </w:r>
      <w:r>
        <w:rPr>
          <w:b/>
          <w:bCs/>
        </w:rPr>
        <w:t xml:space="preserve">subscription tiers</w:t>
      </w:r>
      <w:r>
        <w:t xml:space="preserve"> </w:t>
      </w:r>
      <w:r>
        <w:t xml:space="preserve">and</w:t>
      </w:r>
      <w:r>
        <w:t xml:space="preserve"> </w:t>
      </w:r>
      <w:r>
        <w:rPr>
          <w:b/>
          <w:bCs/>
        </w:rPr>
        <w:t xml:space="preserve">usage-based pricing</w:t>
      </w:r>
      <w:r>
        <w:t xml:space="preserve">, ensuring that pricing aligns with the value delivered and scales with the customer’s usage.</w:t>
      </w:r>
    </w:p>
    <w:p>
      <w:pPr>
        <w:pStyle w:val="Compact"/>
        <w:numPr>
          <w:ilvl w:val="0"/>
          <w:numId w:val="1004"/>
        </w:numPr>
      </w:pPr>
      <w:r>
        <w:rPr>
          <w:b/>
          <w:bCs/>
        </w:rPr>
        <w:t xml:space="preserve">Tiered Subscription Plans:</w:t>
      </w:r>
      <w:r>
        <w:t xml:space="preserve"> </w:t>
      </w:r>
      <w:r>
        <w:t xml:space="preserve">We can offer multiple plans (e.g., Basic, Professional, Enterprise), each unlocking a certain set of features and capacity:</w:t>
      </w:r>
    </w:p>
    <w:p>
      <w:pPr>
        <w:pStyle w:val="Compact"/>
        <w:numPr>
          <w:ilvl w:val="0"/>
          <w:numId w:val="1004"/>
        </w:numPr>
      </w:pPr>
      <w:r>
        <w:rPr>
          <w:i/>
          <w:iCs/>
        </w:rPr>
        <w:t xml:space="preserve">Basic Tier:</w:t>
      </w:r>
      <w:r>
        <w:t xml:space="preserve"> </w:t>
      </w:r>
      <w:r>
        <w:t xml:space="preserve">Suitable for small businesses or trials. It might include a limited number of workflows (or a fixed library of pre-built workflows), support for one LLM provider (perhaps an open-source or smaller model), lower processing volume (e.g., X number of documents per month), and community support. Multi-tenancy in the app allows us to host many small customers cost-effectively on one instance.</w:t>
      </w:r>
    </w:p>
    <w:p>
      <w:pPr>
        <w:pStyle w:val="Compact"/>
        <w:numPr>
          <w:ilvl w:val="0"/>
          <w:numId w:val="1004"/>
        </w:numPr>
      </w:pPr>
      <w:r>
        <w:rPr>
          <w:i/>
          <w:iCs/>
        </w:rPr>
        <w:t xml:space="preserve">Professional Tier:</w:t>
      </w:r>
      <w:r>
        <w:t xml:space="preserve"> </w:t>
      </w:r>
      <w:r>
        <w:t xml:space="preserve">A mid-level plan for growing organizations. This could include the ability to customize workflows (maybe even upload their BPMN diagrams to create custom flows), a higher volume of transactions, integration with popular services (connectors to common CRMs or ERPs included), and perhaps access to a better LLM (like a certain quota of GPT-4 API calls for the extraction/QA tasks). It would also come with standard support SLAs (e.g., email support with 1-2 business day response, etc.).</w:t>
      </w:r>
    </w:p>
    <w:p>
      <w:pPr>
        <w:numPr>
          <w:ilvl w:val="0"/>
          <w:numId w:val="1004"/>
        </w:numPr>
      </w:pPr>
      <w:r>
        <w:rPr>
          <w:i/>
          <w:iCs/>
        </w:rPr>
        <w:t xml:space="preserve">Enterprise Tier:</w:t>
      </w:r>
      <w:r>
        <w:t xml:space="preserve"> </w:t>
      </w:r>
      <w:r>
        <w:t xml:space="preserve">A premium plan for large corporations. This would offer unlimited or very high volumes, all features enabled (full custom workflow authoring, the entire library of connectors and skills, ability to use their own OpenAI API keys or on-prem models, etc.). It would also include dedicated support (possibly a technical account manager, faster SLAs), and options for single-tenant deployment if needed. Enterprise could also include compliance features like on-premise connectors, advanced analytics dashboards, and training/consultation services to fully integrate EJWCS into their environment. Pricing for this tier might be custom (negotiated contracts, annually billed).</w:t>
      </w:r>
    </w:p>
    <w:p>
      <w:pPr>
        <w:numPr>
          <w:ilvl w:val="0"/>
          <w:numId w:val="1004"/>
        </w:numPr>
      </w:pPr>
      <w:r>
        <w:rPr>
          <w:b/>
          <w:bCs/>
        </w:rPr>
        <w:t xml:space="preserve">Usage-Based Components:</w:t>
      </w:r>
      <w:r>
        <w:t xml:space="preserve"> </w:t>
      </w:r>
      <w:r>
        <w:t xml:space="preserve">Within each tier or across tiers, we can include usage-based pricing to accommodate variable workloads. For example:</w:t>
      </w:r>
    </w:p>
    <w:p>
      <w:pPr>
        <w:pStyle w:val="Compact"/>
        <w:numPr>
          <w:ilvl w:val="0"/>
          <w:numId w:val="1004"/>
        </w:numPr>
      </w:pPr>
      <w:r>
        <w:t xml:space="preserve">Charge per document processed or per workflow run beyond the included quota. E.g., the Basic plan might include 500 documents/month, and then charge a small fee for each additional document.</w:t>
      </w:r>
    </w:p>
    <w:p>
      <w:pPr>
        <w:pStyle w:val="Compact"/>
        <w:numPr>
          <w:ilvl w:val="0"/>
          <w:numId w:val="1004"/>
        </w:numPr>
      </w:pPr>
      <w:r>
        <w:t xml:space="preserve">Charge per API call or per certain AI usage. If customers heavily use the LLM features, we might pass on costs (with margin) for, say, per 1,000 tokens of GPT-4 used in their workflows. This ensures heavy users contribute more to the cost of the system. We could also have packages of AI credits included in higher tiers.</w:t>
      </w:r>
    </w:p>
    <w:p>
      <w:pPr>
        <w:pStyle w:val="Compact"/>
        <w:numPr>
          <w:ilvl w:val="0"/>
          <w:numId w:val="1004"/>
        </w:numPr>
      </w:pPr>
      <w:r>
        <w:t xml:space="preserve">Storage or retention beyond a point could be another lever (though storage is cheap, but if we store all documents and data, enterprise might want longer retention which we could monetize in Enterprise tier).</w:t>
      </w:r>
    </w:p>
    <w:p>
      <w:pPr>
        <w:numPr>
          <w:ilvl w:val="0"/>
          <w:numId w:val="1004"/>
        </w:numPr>
      </w:pPr>
      <w:r>
        <w:t xml:space="preserve">Premium connectors or modules might have add-on fees. For example, if we integrate a third-party service (like a credit score check or a sanctions screening tool for vendors), use of that could be an add-on service billed per use.</w:t>
      </w:r>
    </w:p>
    <w:p>
      <w:pPr>
        <w:numPr>
          <w:ilvl w:val="0"/>
          <w:numId w:val="1004"/>
        </w:numPr>
      </w:pPr>
      <w:r>
        <w:rPr>
          <w:b/>
          <w:bCs/>
        </w:rPr>
        <w:t xml:space="preserve">Marketplace Revenue (Future):</w:t>
      </w:r>
      <w:r>
        <w:t xml:space="preserve"> </w:t>
      </w:r>
      <w:r>
        <w:t xml:space="preserve">If we enable third-party developers to create and sell custom skills or connectors in an ecosystem around EJWCS, the company could take a revenue share for those transactions. This is a longer-term strategy once the platform has a sizable user base and an open SDK for plugins.</w:t>
      </w:r>
    </w:p>
    <w:p>
      <w:pPr>
        <w:numPr>
          <w:ilvl w:val="0"/>
          <w:numId w:val="1004"/>
        </w:numPr>
      </w:pPr>
      <w:r>
        <w:rPr>
          <w:b/>
          <w:bCs/>
        </w:rPr>
        <w:t xml:space="preserve">OpenAPI and Developer Platform:</w:t>
      </w:r>
      <w:r>
        <w:t xml:space="preserve"> </w:t>
      </w:r>
      <w:r>
        <w:t xml:space="preserve">By providing an OpenAPI-spec’d interface</w:t>
      </w:r>
      <w:hyperlink r:id="rId47">
        <w:r>
          <w:rPr>
            <w:rStyle w:val="Hyperlink"/>
          </w:rPr>
          <w:t xml:space="preserve">[25]</w:t>
        </w:r>
      </w:hyperlink>
      <w:r>
        <w:t xml:space="preserve">, we encourage other developers and partners to build on top of EJWCS. While the OpenAPI itself is free to use, we could monetize API usage beyond a certain rate (similar to how platforms like Slack charge for API calls in some contexts or how Twilio charges per message). However, generally, the OpenAPI approach is mainly to drive adoption – the more our platform is embedded in others, the more stickiness we gain. So likely, we won’t charge per API call except as part of usage metrics in tiers.</w:t>
      </w:r>
    </w:p>
    <w:p>
      <w:pPr>
        <w:numPr>
          <w:ilvl w:val="0"/>
          <w:numId w:val="1004"/>
        </w:numPr>
      </w:pPr>
      <w:r>
        <w:rPr>
          <w:b/>
          <w:bCs/>
        </w:rPr>
        <w:t xml:space="preserve">CLI/GUI Tools:</w:t>
      </w:r>
      <w:r>
        <w:t xml:space="preserve"> </w:t>
      </w:r>
      <w:r>
        <w:t xml:space="preserve">As part of onboarding and developer experience, we can offer a CLI tool that lets developers deploy workflows, check status, etc., and perhaps a simple web GUI for monitoring their workflows or designing simple automations. These tools themselves might not be direct revenue generators, but they are value adds that justify higher tier costs and reduce churn (if customers find it easy to use the platform, they’ll stay). A rich GUI especially – if we build a workflow editor UI or a monitoring dashboard – could even be an Enterprise feature (whereas smaller tiers might rely on using external BPMN tools and basic monitoring).</w:t>
      </w:r>
    </w:p>
    <w:p>
      <w:pPr>
        <w:pStyle w:val="FirstParagraph"/>
      </w:pPr>
      <w:r>
        <w:rPr>
          <w:b/>
          <w:bCs/>
        </w:rPr>
        <w:t xml:space="preserve">Cost Considerations &amp; Pricing Model:</w:t>
      </w:r>
      <w:r>
        <w:t xml:space="preserve"> </w:t>
      </w:r>
      <w:r>
        <w:t xml:space="preserve">We need to ensure the pricing covers our costs and desired margins. Our costs include compute (running the orchestrator and services), especially the LLM calls which can be expensive, storage, and support. Pricing should scale such that high usage clients provide proportionally higher revenue. A possible approach is</w:t>
      </w:r>
      <w:r>
        <w:t xml:space="preserve"> </w:t>
      </w:r>
      <w:r>
        <w:rPr>
          <w:b/>
          <w:bCs/>
        </w:rPr>
        <w:t xml:space="preserve">monthly subscription + overages</w:t>
      </w:r>
      <w:r>
        <w:t xml:space="preserve">. For example, Professional tier could be \$X per month for up to Y workflows or docs, and beyond that, overage fees apply. Enterprise might be a flat yearly fee based on an estimated volume, perhaps with an upper cap (with the option to increase if they exceed consistently).</w:t>
      </w:r>
    </w:p>
    <w:p>
      <w:pPr>
        <w:pStyle w:val="BodyText"/>
      </w:pPr>
      <w:r>
        <w:t xml:space="preserve">We should also consider</w:t>
      </w:r>
      <w:r>
        <w:t xml:space="preserve"> </w:t>
      </w:r>
      <w:r>
        <w:rPr>
          <w:b/>
          <w:bCs/>
        </w:rPr>
        <w:t xml:space="preserve">free trials or a freemium model</w:t>
      </w:r>
      <w:r>
        <w:t xml:space="preserve"> </w:t>
      </w:r>
      <w:r>
        <w:t xml:space="preserve">to attract users. Perhaps a limited free tier (with maybe 1 small workflow, limited volume, and maybe using only an open-source model to avoid cost) could let developers experiment. Then to use it in production or at scale, they upgrade to paid plans.</w:t>
      </w:r>
    </w:p>
    <w:p>
      <w:pPr>
        <w:pStyle w:val="BodyText"/>
      </w:pPr>
      <w:r>
        <w:rPr>
          <w:b/>
          <w:bCs/>
        </w:rPr>
        <w:t xml:space="preserve">Premium Features for Monetization:</w:t>
      </w:r>
      <w:r>
        <w:t xml:space="preserve"> </w:t>
      </w:r>
      <w:r>
        <w:t xml:space="preserve">We can identify certain features that are premium:</w:t>
      </w:r>
      <w:r>
        <w:t xml:space="preserve"> </w:t>
      </w:r>
      <w:r>
        <w:t xml:space="preserve">- Advanced AI model access (e.g., integration with the latest GPT-5 or domain-specific models might only be in higher tiers).</w:t>
      </w:r>
      <w:r>
        <w:t xml:space="preserve"> </w:t>
      </w:r>
      <w:r>
        <w:t xml:space="preserve">- Higher levels of support and customization (Enterprise might get custom model fine-tuning or on-prem deployment assistance as part of the package).</w:t>
      </w:r>
      <w:r>
        <w:t xml:space="preserve"> </w:t>
      </w:r>
      <w:r>
        <w:t xml:space="preserve">- Enhanced compliance features (like dedicated audit exports, on-demand model output explainability reports, etc., for enterprise clients).</w:t>
      </w:r>
      <w:r>
        <w:t xml:space="preserve"> </w:t>
      </w:r>
      <w:r>
        <w:t xml:space="preserve">- Perhaps white-labeling or VPC hosting options as paid add-ons.</w:t>
      </w:r>
    </w:p>
    <w:p>
      <w:pPr>
        <w:pStyle w:val="BodyText"/>
      </w:pPr>
      <w:r>
        <w:rPr>
          <w:b/>
          <w:bCs/>
        </w:rPr>
        <w:t xml:space="preserve">Go-to-Market and Stakeholder Value:</w:t>
      </w:r>
      <w:r>
        <w:t xml:space="preserve"> </w:t>
      </w:r>
      <w:r>
        <w:t xml:space="preserve">For stakeholder review, we emphasize that this monetization strategy balances value and revenue:</w:t>
      </w:r>
      <w:r>
        <w:t xml:space="preserve"> </w:t>
      </w:r>
      <w:r>
        <w:t xml:space="preserve">- Smaller clients pay for what they use, making it attractive and lowering entry barriers.</w:t>
      </w:r>
      <w:r>
        <w:t xml:space="preserve"> </w:t>
      </w:r>
      <w:r>
        <w:t xml:space="preserve">- Larger clients get the assurances and features they need at a price that reflects the value (and covers our support overhead for them).</w:t>
      </w:r>
      <w:r>
        <w:t xml:space="preserve"> </w:t>
      </w:r>
      <w:r>
        <w:t xml:space="preserve">- The platform’s differentiation (AI + BPM + multi-tenancy) means we can justify a premium over basic automation tools, especially given the productivity gains and headcount savings it can enable. For instance, if our platform automates what used to take 5 full-time employees, even a \$100k/year enterprise subscription is a bargain for the client.</w:t>
      </w:r>
    </w:p>
    <w:p>
      <w:pPr>
        <w:pStyle w:val="BodyText"/>
      </w:pPr>
      <w:r>
        <w:rPr>
          <w:b/>
          <w:bCs/>
        </w:rPr>
        <w:t xml:space="preserve">Example Pricing (Hypothetical):</w:t>
      </w:r>
      <w:r>
        <w:t xml:space="preserve"> </w:t>
      </w:r>
      <w:r>
        <w:t xml:space="preserve">- Basic: \$500/month, up to 1,000 documents or 10,000 workflow runs, using base AI model.</w:t>
      </w:r>
      <w:r>
        <w:t xml:space="preserve"> </w:t>
      </w:r>
      <w:r>
        <w:t xml:space="preserve">- Professional: \$2000/month, up to 10,000 documents, includes priority AI models, standard support.</w:t>
      </w:r>
      <w:r>
        <w:t xml:space="preserve"> </w:t>
      </w:r>
      <w:r>
        <w:t xml:space="preserve">- Enterprise: \$10,000/month (or custom quote), unlimited usage, dedicated instance or resources, premium support, custom integrations included.</w:t>
      </w:r>
    </w:p>
    <w:p>
      <w:pPr>
        <w:pStyle w:val="BodyText"/>
      </w:pPr>
      <w:r>
        <w:t xml:space="preserve">These numbers would be refined through market research and pilot customer feedback, but serve to illustrate a tiered approach.</w:t>
      </w:r>
    </w:p>
    <w:p>
      <w:pPr>
        <w:pStyle w:val="BodyText"/>
      </w:pPr>
      <w:r>
        <w:rPr>
          <w:b/>
          <w:bCs/>
        </w:rPr>
        <w:t xml:space="preserve">Monitoring and SLA for SaaS:</w:t>
      </w:r>
      <w:r>
        <w:t xml:space="preserve"> </w:t>
      </w:r>
      <w:r>
        <w:t xml:space="preserve">As part of deployment, we will run extensive monitoring. We aim for</w:t>
      </w:r>
      <w:r>
        <w:t xml:space="preserve"> </w:t>
      </w:r>
      <w:r>
        <w:rPr>
          <w:b/>
          <w:bCs/>
        </w:rPr>
        <w:t xml:space="preserve">high availability</w:t>
      </w:r>
      <w:r>
        <w:t xml:space="preserve"> </w:t>
      </w:r>
      <w:r>
        <w:t xml:space="preserve">(possibly 99.5% or above uptime SLA for enterprise). We may run multiple instances in different availability zones for resilience. SLAs to customers could include response times (e.g., the system will process a document within 5 minutes on average, or critical webhooks are responded to within 1 second, etc., depending on the operation). We’ll include these in contracts as needed for enterprise deals.</w:t>
      </w:r>
    </w:p>
    <w:p>
      <w:pPr>
        <w:pStyle w:val="BodyText"/>
      </w:pPr>
      <w:r>
        <w:rPr>
          <w:b/>
          <w:bCs/>
        </w:rPr>
        <w:t xml:space="preserve">Security &amp; Compliance:</w:t>
      </w:r>
      <w:r>
        <w:t xml:space="preserve"> </w:t>
      </w:r>
      <w:r>
        <w:t xml:space="preserve">To monetize especially at enterprise level, we’ll often need compliance certifications (like SOC 2, ISO 27001, etc.). The architecture’s strong security foundations (audit logs, SSO, encryption) will help in achieving these. We’d plan to undergo necessary audits and emphasize to stakeholders that the platform is built to meet compliance from ground up.</w:t>
      </w:r>
    </w:p>
    <w:p>
      <w:pPr>
        <w:pStyle w:val="BodyText"/>
      </w:pPr>
      <w:r>
        <w:t xml:space="preserve">In conclusion, the deployment strategy for EJWCS is flexible – enabling us to meet customers where they are – and the monetization approach is crafted to maximize adoption while scaling revenue with usage. By packaging the platform’s powerful capabilities into clear value-oriented tiers and ensuring a smooth deployment and integration experience, we poise EJWCS not just as a technology, but as a</w:t>
      </w:r>
      <w:r>
        <w:t xml:space="preserve"> </w:t>
      </w:r>
      <w:r>
        <w:rPr>
          <w:b/>
          <w:bCs/>
        </w:rPr>
        <w:t xml:space="preserve">marketable product</w:t>
      </w:r>
      <w:r>
        <w:t xml:space="preserve">. This alignment of technical excellence with business strategy will be key to successfully launching EJWCS as a commercial SaaS offering and achieving stakeholder buy-in. The combination of a robust, standards-grounded architecture with a clear path to revenue makes the proposition highly attractive: it shows that we have not only built something technologically impressive, but also something that addresses real market needs and can sustain a profitable business model.</w:t>
      </w:r>
    </w:p>
    <w:bookmarkEnd w:id="49"/>
    <w:bookmarkEnd w:id="50"/>
    <w:bookmarkEnd w:id="5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r>
        <w:t xml:space="preserve">About the Business Process Model And Notation Specification Version 2.0</w:t>
      </w:r>
    </w:p>
    <w:p>
      <w:pPr>
        <w:pStyle w:val="BodyText"/>
      </w:pPr>
      <w:hyperlink r:id="rId52">
        <w:r>
          <w:rPr>
            <w:rStyle w:val="Hyperlink"/>
          </w:rPr>
          <w:t xml:space="preserve">https://www.omg.org/spec/BPMN/2.0/About-BPMN</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0">
        <w:r>
          <w:rPr>
            <w:rStyle w:val="Hyperlink"/>
          </w:rPr>
          <w:t xml:space="preserve">[18]</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Accounting Ai Agent Workflows (n8n‑free) — Productized Offering.pdf</w:t>
      </w:r>
    </w:p>
    <w:p>
      <w:pPr>
        <w:pStyle w:val="BodyText"/>
      </w:pPr>
      <w:hyperlink r:id="rId53">
        <w:r>
          <w:rPr>
            <w:rStyle w:val="Hyperlink"/>
          </w:rPr>
          <w:t xml:space="preserve">file://file_0000000067fc6230a74ebb567125c1e6</w:t>
        </w:r>
      </w:hyperlink>
    </w:p>
    <w:p>
      <w:pPr>
        <w:pStyle w:val="BodyText"/>
      </w:pPr>
      <w:hyperlink r:id="rId24">
        <w:r>
          <w:rPr>
            <w:rStyle w:val="Hyperlink"/>
          </w:rPr>
          <w:t xml:space="preserve">[3]</w:t>
        </w:r>
      </w:hyperlink>
      <w:r>
        <w:t xml:space="preserve"> </w:t>
      </w:r>
      <w:r>
        <w:t xml:space="preserve">Tenant isolation in multi-tenant systems: What you need to know</w:t>
      </w:r>
    </w:p>
    <w:p>
      <w:pPr>
        <w:pStyle w:val="BodyText"/>
      </w:pPr>
      <w:hyperlink r:id="rId54">
        <w:r>
          <w:rPr>
            <w:rStyle w:val="Hyperlink"/>
          </w:rPr>
          <w:t xml:space="preserve">https://workos.com/blog/tenant-isolation-in-multi-tenant-systems</w:t>
        </w:r>
      </w:hyperlink>
    </w:p>
    <w:p>
      <w:pPr>
        <w:pStyle w:val="BodyText"/>
      </w:pPr>
      <w:hyperlink r:id="rId25">
        <w:r>
          <w:rPr>
            <w:rStyle w:val="Hyperlink"/>
          </w:rPr>
          <w:t xml:space="preserve">[4]</w:t>
        </w:r>
      </w:hyperlink>
      <w:r>
        <w:t xml:space="preserve"> </w:t>
      </w:r>
      <w:r>
        <w:t xml:space="preserve">SaaS Multitenancy: Components, Pros and Cons and 5 Best Practices</w:t>
      </w:r>
    </w:p>
    <w:p>
      <w:pPr>
        <w:pStyle w:val="BodyText"/>
      </w:pPr>
      <w:hyperlink r:id="rId55">
        <w:r>
          <w:rPr>
            <w:rStyle w:val="Hyperlink"/>
          </w:rPr>
          <w:t xml:space="preserve">https://frontegg.com/blog/saas-multitenancy</w:t>
        </w:r>
      </w:hyperlink>
    </w:p>
    <w:p>
      <w:pPr>
        <w:pStyle w:val="BodyText"/>
      </w:pPr>
      <w:hyperlink r:id="rId28">
        <w:r>
          <w:rPr>
            <w:rStyle w:val="Hyperlink"/>
          </w:rPr>
          <w:t xml:space="preserve">[7]</w:t>
        </w:r>
      </w:hyperlink>
      <w:r>
        <w:t xml:space="preserve"> </w:t>
      </w:r>
      <w:r>
        <w:t xml:space="preserve">Multi-agent - Docs by LangChain</w:t>
      </w:r>
    </w:p>
    <w:p>
      <w:pPr>
        <w:pStyle w:val="BodyText"/>
      </w:pPr>
      <w:hyperlink r:id="rId56">
        <w:r>
          <w:rPr>
            <w:rStyle w:val="Hyperlink"/>
          </w:rPr>
          <w:t xml:space="preserve">https://docs.langchain.com/oss/python/langchain/multi-agent</w:t>
        </w:r>
      </w:hyperlink>
    </w:p>
    <w:p>
      <w:pPr>
        <w:pStyle w:val="BodyText"/>
      </w:pPr>
      <w:hyperlink r:id="rId29">
        <w:r>
          <w:rPr>
            <w:rStyle w:val="Hyperlink"/>
          </w:rPr>
          <w:t xml:space="preserve">[8]</w:t>
        </w:r>
      </w:hyperlink>
      <w:r>
        <w:t xml:space="preserve"> </w:t>
      </w:r>
      <w:r>
        <w:t xml:space="preserve">LLM guardrails guide AI toward safe, reliable outputs - K2view</w:t>
      </w:r>
    </w:p>
    <w:p>
      <w:pPr>
        <w:pStyle w:val="BodyText"/>
      </w:pPr>
      <w:hyperlink r:id="rId57">
        <w:r>
          <w:rPr>
            <w:rStyle w:val="Hyperlink"/>
          </w:rPr>
          <w:t xml:space="preserve">https://www.k2view.com/blog/llm-guardrails/</w:t>
        </w:r>
      </w:hyperlink>
    </w:p>
    <w:p>
      <w:pPr>
        <w:pStyle w:val="BodyText"/>
      </w:pPr>
      <w:hyperlink r:id="rId30">
        <w:r>
          <w:rPr>
            <w:rStyle w:val="Hyperlink"/>
          </w:rPr>
          <w:t xml:space="preserve">[9]</w:t>
        </w:r>
      </w:hyperlink>
      <w:r>
        <w:t xml:space="preserve"> </w:t>
      </w:r>
      <w:r>
        <w:t xml:space="preserve">How Good Are the LLM Guardrails on the Market? A Comparative ...</w:t>
      </w:r>
    </w:p>
    <w:p>
      <w:pPr>
        <w:pStyle w:val="BodyText"/>
      </w:pPr>
      <w:hyperlink r:id="rId58">
        <w:r>
          <w:rPr>
            <w:rStyle w:val="Hyperlink"/>
          </w:rPr>
          <w:t xml:space="preserve">https://unit42.paloaltonetworks.com/comparing-llm-guardrails-across-genai-platforms/</w:t>
        </w:r>
      </w:hyperlink>
    </w:p>
    <w:p>
      <w:pPr>
        <w:pStyle w:val="BodyText"/>
      </w:pPr>
      <w:hyperlink r:id="rId34">
        <w:r>
          <w:rPr>
            <w:rStyle w:val="Hyperlink"/>
          </w:rPr>
          <w:t xml:space="preserve">[13]</w:t>
        </w:r>
      </w:hyperlink>
      <w:r>
        <w:t xml:space="preserve"> </w:t>
      </w:r>
      <w:r>
        <w:t xml:space="preserve">LangChain: Building LLM Applications through Composability - DataRoot Labs</w:t>
      </w:r>
    </w:p>
    <w:p>
      <w:pPr>
        <w:pStyle w:val="BodyText"/>
      </w:pPr>
      <w:hyperlink r:id="rId59">
        <w:r>
          <w:rPr>
            <w:rStyle w:val="Hyperlink"/>
          </w:rPr>
          <w:t xml:space="preserve">https://datarootlabs.com/blog/langchain-building-llm-applications-through-composability</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What is OpenTelemetry?</w:t>
      </w:r>
    </w:p>
    <w:p>
      <w:pPr>
        <w:pStyle w:val="BodyText"/>
      </w:pPr>
      <w:hyperlink r:id="rId60">
        <w:r>
          <w:rPr>
            <w:rStyle w:val="Hyperlink"/>
          </w:rPr>
          <w:t xml:space="preserve">https://www.dynatrace.com/news/blog/what-is-opentelemetry/</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38">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7">
        <w:r>
          <w:rPr>
            <w:rStyle w:val="Hyperlink"/>
          </w:rPr>
          <w:t xml:space="preserve">[25]</w:t>
        </w:r>
      </w:hyperlink>
      <w:r>
        <w:t xml:space="preserve"> </w:t>
      </w:r>
      <w:r>
        <w:t xml:space="preserve">Acme-Automation.postman_collection.json</w:t>
      </w:r>
    </w:p>
    <w:p>
      <w:pPr>
        <w:pStyle w:val="BodyText"/>
      </w:pPr>
      <w:hyperlink r:id="rId61">
        <w:r>
          <w:rPr>
            <w:rStyle w:val="Hyperlink"/>
          </w:rPr>
          <w:t xml:space="preserve">file://file_000000002b446230b48df3635cd0b89a</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file://file_000000002b446230b48df3635cd0b89a" TargetMode="External" /><Relationship Type="http://schemas.openxmlformats.org/officeDocument/2006/relationships/hyperlink" Id="rId42" Target="file://file_000000002b446230b48df3635cd0b89a#:~:text=%7B%20,Type%22%2C%20%22value%22%3A%20%22application%2Fjson%22" TargetMode="External" /><Relationship Type="http://schemas.openxmlformats.org/officeDocument/2006/relationships/hyperlink" Id="rId47" Target="file://file_000000002b446230b48df3635cd0b89a#:~:text=," TargetMode="External" /><Relationship Type="http://schemas.openxmlformats.org/officeDocument/2006/relationships/hyperlink" Id="rId39" Target="file://file_000000002b446230b48df3635cd0b89a#:~:text=,10234%5C%22%7D%22%20%7D%20%7D%20%7D%2C" TargetMode="External" /><Relationship Type="http://schemas.openxmlformats.org/officeDocument/2006/relationships/hyperlink" Id="rId41" Target="file://file_000000002b446230b48df3635cd0b89a#:~:text=,14T12%3A00%3A00Z%5C%22%7D%22" TargetMode="External" /><Relationship Type="http://schemas.openxmlformats.org/officeDocument/2006/relationships/hyperlink" Id="rId38" Target="file://file_000000002b446230b48df3635cd0b89a#:~:text=,Type%22%2C%20%22value%22%3A%20%22application%2Fjson%22%20%7D" TargetMode="External" /><Relationship Type="http://schemas.openxmlformats.org/officeDocument/2006/relationships/hyperlink" Id="rId43" Target="file://file_000000002b446230b48df3635cd0b89a#:~:text=,qbo" TargetMode="External" /><Relationship Type="http://schemas.openxmlformats.org/officeDocument/2006/relationships/hyperlink" Id="rId53" Target="file://file_0000000067fc6230a74ebb567125c1e6" TargetMode="External" /><Relationship Type="http://schemas.openxmlformats.org/officeDocument/2006/relationships/hyperlink" Id="rId46" Target="file://file_0000000067fc6230a74ebb567125c1e6#:~:text=DAG%20%2B%20BPMN%20support%20Skill,pattern%20for%20compensation%20Human%E2%80%91in%E2%80%91the%E2%80%91loop%20checkpoints" TargetMode="External" /><Relationship Type="http://schemas.openxmlformats.org/officeDocument/2006/relationships/hyperlink" Id="rId27" Target="file://file_0000000067fc6230a74ebb567125c1e6#:~:text=Event%20Bus%3A%20Kafka%20or%20NATS,allowed%3B%20governed%20by%20policy%20guards" TargetMode="External" /><Relationship Type="http://schemas.openxmlformats.org/officeDocument/2006/relationships/hyperlink" Id="rId26" Target="file://file_0000000067fc6230a74ebb567125c1e6#:~:text=Identity%20%26%20Governance%3A%20OIDC%20SSO%2C,lineage%20%26%20audit%20log" TargetMode="External" /><Relationship Type="http://schemas.openxmlformats.org/officeDocument/2006/relationships/hyperlink" Id="rId45" Target="file://file_0000000067fc6230a74ebb567125c1e6#:~:text=LLM%20Layer%3A%20Pluggable%20providers%20,allowed%3B%20governed%20by%20policy%20guards" TargetMode="External" /><Relationship Type="http://schemas.openxmlformats.org/officeDocument/2006/relationships/hyperlink" Id="rId40" Target="file://file_0000000067fc6230a74ebb567125c1e6#:~:text=SK%E2%80%91RISK%20,vendor%20profiles%2C%20contracts%2C%20prior%20invoices" TargetMode="External" /><Relationship Type="http://schemas.openxmlformats.org/officeDocument/2006/relationships/hyperlink" Id="rId32" Target="file://file_0000000067fc6230a74ebb567125c1e6#:~:text=SK%E2%80%91VALIDATE%20,cost_center_id%20%2C%20tax_code" TargetMode="External" /><Relationship Type="http://schemas.openxmlformats.org/officeDocument/2006/relationships/hyperlink" Id="rId33" Target="file://file_0000000067fc6230a74ebb567125c1e6#:~:text=VR%E2%80%91ONB%3A%20Vendor%20onboarding%20,PII%20detection%20%26%20redaction%20logs" TargetMode="External" /><Relationship Type="http://schemas.openxmlformats.org/officeDocument/2006/relationships/hyperlink" Id="rId22" Target="file://file_0000000067fc6230a74ebb567125c1e6#:~:text=policies%2C%20KMS%20envelope%20encryption,lineage%20%26%20audit%20log" TargetMode="External" /><Relationship Type="http://schemas.openxmlformats.org/officeDocument/2006/relationships/hyperlink" Id="rId31" Target="file://file_0000000067fc6230a74ebb567125c1e6#:~:text=tool%E2%80%91use%20allowed%3B%20governed%20by%20policy,CSV%2FOFX%2FMT940" TargetMode="External" /><Relationship Type="http://schemas.openxmlformats.org/officeDocument/2006/relationships/hyperlink" Id="rId59" Target="https://datarootlabs.com/blog/langchain-building-llm-applications-through-composability" TargetMode="External" /><Relationship Type="http://schemas.openxmlformats.org/officeDocument/2006/relationships/hyperlink" Id="rId34" Target="https://datarootlabs.com/blog/langchain-building-llm-applications-through-composability#:~:text=LangChain%20simplifies%20the%20process%20of,the%20development%20of%20sophisticated%20applications" TargetMode="External" /><Relationship Type="http://schemas.openxmlformats.org/officeDocument/2006/relationships/hyperlink" Id="rId56" Target="https://docs.langchain.com/oss/python/langchain/multi-agent" TargetMode="External" /><Relationship Type="http://schemas.openxmlformats.org/officeDocument/2006/relationships/hyperlink" Id="rId28" Target="https://docs.langchain.com/oss/python/langchain/multi-agent#:~:text=Multi,agent%20systems%20are%20useful%20when" TargetMode="External" /><Relationship Type="http://schemas.openxmlformats.org/officeDocument/2006/relationships/hyperlink" Id="rId55" Target="https://frontegg.com/blog/saas-multitenancy" TargetMode="External" /><Relationship Type="http://schemas.openxmlformats.org/officeDocument/2006/relationships/hyperlink" Id="rId25" Target="https://frontegg.com/blog/saas-multitenancy#:~:text=Practices%20frontegg,data%20leakage%20and%20unauthorized%20access" TargetMode="External" /><Relationship Type="http://schemas.openxmlformats.org/officeDocument/2006/relationships/hyperlink" Id="rId58" Target="https://unit42.paloaltonetworks.com/comparing-llm-guardrails-across-genai-platforms/" TargetMode="External" /><Relationship Type="http://schemas.openxmlformats.org/officeDocument/2006/relationships/hyperlink" Id="rId30" Target="https://unit42.paloaltonetworks.com/comparing-llm-guardrails-across-genai-platforms/#:~:text=,outputs%20that%20violate%20policy%20guidelines" TargetMode="External" /><Relationship Type="http://schemas.openxmlformats.org/officeDocument/2006/relationships/hyperlink" Id="rId54" Target="https://workos.com/blog/tenant-isolation-in-multi-tenant-systems" TargetMode="External" /><Relationship Type="http://schemas.openxmlformats.org/officeDocument/2006/relationships/hyperlink" Id="rId24" Target="https://workos.com/blog/tenant-isolation-in-multi-tenant-systems#:~:text=Tenant%20isolation%20in%20a%20multi,tenants%20share%20the%20same" TargetMode="External" /><Relationship Type="http://schemas.openxmlformats.org/officeDocument/2006/relationships/hyperlink" Id="rId60" Target="https://www.dynatrace.com/news/blog/what-is-opentelemetry/" TargetMode="External" /><Relationship Type="http://schemas.openxmlformats.org/officeDocument/2006/relationships/hyperlink" Id="rId36" Target="https://www.dynatrace.com/news/blog/what-is-opentelemetry/#:~:text=OTel%20is%20backed%20by%20most,and%20deliver%20experiences%20customers%20love" TargetMode="External" /><Relationship Type="http://schemas.openxmlformats.org/officeDocument/2006/relationships/hyperlink" Id="rId35" Target="https://www.dynatrace.com/news/blog/what-is-opentelemetry/#:~:text=OpenTelemetry%20is%20an%20open,in%20the%20world%20of%20observability" TargetMode="External" /><Relationship Type="http://schemas.openxmlformats.org/officeDocument/2006/relationships/hyperlink" Id="rId57" Target="https://www.k2view.com/blog/llm-guardrails/" TargetMode="External" /><Relationship Type="http://schemas.openxmlformats.org/officeDocument/2006/relationships/hyperlink" Id="rId29" Target="https://www.k2view.com/blog/llm-guardrails/#:~:text=K2view%20www,controlling%20its%20inputs%20and%20outputs" TargetMode="External" /><Relationship Type="http://schemas.openxmlformats.org/officeDocument/2006/relationships/hyperlink" Id="rId52" Target="https://www.omg.org/spec/BPMN/2.0/About-BPMN" TargetMode="External" /><Relationship Type="http://schemas.openxmlformats.org/officeDocument/2006/relationships/hyperlink" Id="rId21" Target="https://www.omg.org/spec/BPMN/2.0/About-BPMN#:~:text=Business%20Process%20Model%20and%20Notation,of%20any%20particular%20implementation%20environment" TargetMode="External" /></Relationships>
</file>

<file path=word/_rels/footnotes.xml.rels><?xml version="1.0" encoding="UTF-8"?><Relationships xmlns="http://schemas.openxmlformats.org/package/2006/relationships"><Relationship Type="http://schemas.openxmlformats.org/officeDocument/2006/relationships/hyperlink" Id="rId61" Target="file://file_000000002b446230b48df3635cd0b89a" TargetMode="External" /><Relationship Type="http://schemas.openxmlformats.org/officeDocument/2006/relationships/hyperlink" Id="rId42" Target="file://file_000000002b446230b48df3635cd0b89a#:~:text=%7B%20,Type%22%2C%20%22value%22%3A%20%22application%2Fjson%22" TargetMode="External" /><Relationship Type="http://schemas.openxmlformats.org/officeDocument/2006/relationships/hyperlink" Id="rId47" Target="file://file_000000002b446230b48df3635cd0b89a#:~:text=," TargetMode="External" /><Relationship Type="http://schemas.openxmlformats.org/officeDocument/2006/relationships/hyperlink" Id="rId39" Target="file://file_000000002b446230b48df3635cd0b89a#:~:text=,10234%5C%22%7D%22%20%7D%20%7D%20%7D%2C" TargetMode="External" /><Relationship Type="http://schemas.openxmlformats.org/officeDocument/2006/relationships/hyperlink" Id="rId41" Target="file://file_000000002b446230b48df3635cd0b89a#:~:text=,14T12%3A00%3A00Z%5C%22%7D%22" TargetMode="External" /><Relationship Type="http://schemas.openxmlformats.org/officeDocument/2006/relationships/hyperlink" Id="rId38" Target="file://file_000000002b446230b48df3635cd0b89a#:~:text=,Type%22%2C%20%22value%22%3A%20%22application%2Fjson%22%20%7D" TargetMode="External" /><Relationship Type="http://schemas.openxmlformats.org/officeDocument/2006/relationships/hyperlink" Id="rId43" Target="file://file_000000002b446230b48df3635cd0b89a#:~:text=,qbo" TargetMode="External" /><Relationship Type="http://schemas.openxmlformats.org/officeDocument/2006/relationships/hyperlink" Id="rId53" Target="file://file_0000000067fc6230a74ebb567125c1e6" TargetMode="External" /><Relationship Type="http://schemas.openxmlformats.org/officeDocument/2006/relationships/hyperlink" Id="rId46" Target="file://file_0000000067fc6230a74ebb567125c1e6#:~:text=DAG%20%2B%20BPMN%20support%20Skill,pattern%20for%20compensation%20Human%E2%80%91in%E2%80%91the%E2%80%91loop%20checkpoints" TargetMode="External" /><Relationship Type="http://schemas.openxmlformats.org/officeDocument/2006/relationships/hyperlink" Id="rId27" Target="file://file_0000000067fc6230a74ebb567125c1e6#:~:text=Event%20Bus%3A%20Kafka%20or%20NATS,allowed%3B%20governed%20by%20policy%20guards" TargetMode="External" /><Relationship Type="http://schemas.openxmlformats.org/officeDocument/2006/relationships/hyperlink" Id="rId26" Target="file://file_0000000067fc6230a74ebb567125c1e6#:~:text=Identity%20%26%20Governance%3A%20OIDC%20SSO%2C,lineage%20%26%20audit%20log" TargetMode="External" /><Relationship Type="http://schemas.openxmlformats.org/officeDocument/2006/relationships/hyperlink" Id="rId45" Target="file://file_0000000067fc6230a74ebb567125c1e6#:~:text=LLM%20Layer%3A%20Pluggable%20providers%20,allowed%3B%20governed%20by%20policy%20guards" TargetMode="External" /><Relationship Type="http://schemas.openxmlformats.org/officeDocument/2006/relationships/hyperlink" Id="rId40" Target="file://file_0000000067fc6230a74ebb567125c1e6#:~:text=SK%E2%80%91RISK%20,vendor%20profiles%2C%20contracts%2C%20prior%20invoices" TargetMode="External" /><Relationship Type="http://schemas.openxmlformats.org/officeDocument/2006/relationships/hyperlink" Id="rId32" Target="file://file_0000000067fc6230a74ebb567125c1e6#:~:text=SK%E2%80%91VALIDATE%20,cost_center_id%20%2C%20tax_code" TargetMode="External" /><Relationship Type="http://schemas.openxmlformats.org/officeDocument/2006/relationships/hyperlink" Id="rId33" Target="file://file_0000000067fc6230a74ebb567125c1e6#:~:text=VR%E2%80%91ONB%3A%20Vendor%20onboarding%20,PII%20detection%20%26%20redaction%20logs" TargetMode="External" /><Relationship Type="http://schemas.openxmlformats.org/officeDocument/2006/relationships/hyperlink" Id="rId22" Target="file://file_0000000067fc6230a74ebb567125c1e6#:~:text=policies%2C%20KMS%20envelope%20encryption,lineage%20%26%20audit%20log" TargetMode="External" /><Relationship Type="http://schemas.openxmlformats.org/officeDocument/2006/relationships/hyperlink" Id="rId31" Target="file://file_0000000067fc6230a74ebb567125c1e6#:~:text=tool%E2%80%91use%20allowed%3B%20governed%20by%20policy,CSV%2FOFX%2FMT940" TargetMode="External" /><Relationship Type="http://schemas.openxmlformats.org/officeDocument/2006/relationships/hyperlink" Id="rId59" Target="https://datarootlabs.com/blog/langchain-building-llm-applications-through-composability" TargetMode="External" /><Relationship Type="http://schemas.openxmlformats.org/officeDocument/2006/relationships/hyperlink" Id="rId34" Target="https://datarootlabs.com/blog/langchain-building-llm-applications-through-composability#:~:text=LangChain%20simplifies%20the%20process%20of,the%20development%20of%20sophisticated%20applications" TargetMode="External" /><Relationship Type="http://schemas.openxmlformats.org/officeDocument/2006/relationships/hyperlink" Id="rId56" Target="https://docs.langchain.com/oss/python/langchain/multi-agent" TargetMode="External" /><Relationship Type="http://schemas.openxmlformats.org/officeDocument/2006/relationships/hyperlink" Id="rId28" Target="https://docs.langchain.com/oss/python/langchain/multi-agent#:~:text=Multi,agent%20systems%20are%20useful%20when" TargetMode="External" /><Relationship Type="http://schemas.openxmlformats.org/officeDocument/2006/relationships/hyperlink" Id="rId55" Target="https://frontegg.com/blog/saas-multitenancy" TargetMode="External" /><Relationship Type="http://schemas.openxmlformats.org/officeDocument/2006/relationships/hyperlink" Id="rId25" Target="https://frontegg.com/blog/saas-multitenancy#:~:text=Practices%20frontegg,data%20leakage%20and%20unauthorized%20access" TargetMode="External" /><Relationship Type="http://schemas.openxmlformats.org/officeDocument/2006/relationships/hyperlink" Id="rId58" Target="https://unit42.paloaltonetworks.com/comparing-llm-guardrails-across-genai-platforms/" TargetMode="External" /><Relationship Type="http://schemas.openxmlformats.org/officeDocument/2006/relationships/hyperlink" Id="rId30" Target="https://unit42.paloaltonetworks.com/comparing-llm-guardrails-across-genai-platforms/#:~:text=,outputs%20that%20violate%20policy%20guidelines" TargetMode="External" /><Relationship Type="http://schemas.openxmlformats.org/officeDocument/2006/relationships/hyperlink" Id="rId54" Target="https://workos.com/blog/tenant-isolation-in-multi-tenant-systems" TargetMode="External" /><Relationship Type="http://schemas.openxmlformats.org/officeDocument/2006/relationships/hyperlink" Id="rId24" Target="https://workos.com/blog/tenant-isolation-in-multi-tenant-systems#:~:text=Tenant%20isolation%20in%20a%20multi,tenants%20share%20the%20same" TargetMode="External" /><Relationship Type="http://schemas.openxmlformats.org/officeDocument/2006/relationships/hyperlink" Id="rId60" Target="https://www.dynatrace.com/news/blog/what-is-opentelemetry/" TargetMode="External" /><Relationship Type="http://schemas.openxmlformats.org/officeDocument/2006/relationships/hyperlink" Id="rId36" Target="https://www.dynatrace.com/news/blog/what-is-opentelemetry/#:~:text=OTel%20is%20backed%20by%20most,and%20deliver%20experiences%20customers%20love" TargetMode="External" /><Relationship Type="http://schemas.openxmlformats.org/officeDocument/2006/relationships/hyperlink" Id="rId35" Target="https://www.dynatrace.com/news/blog/what-is-opentelemetry/#:~:text=OpenTelemetry%20is%20an%20open,in%20the%20world%20of%20observability" TargetMode="External" /><Relationship Type="http://schemas.openxmlformats.org/officeDocument/2006/relationships/hyperlink" Id="rId57" Target="https://www.k2view.com/blog/llm-guardrails/" TargetMode="External" /><Relationship Type="http://schemas.openxmlformats.org/officeDocument/2006/relationships/hyperlink" Id="rId29" Target="https://www.k2view.com/blog/llm-guardrails/#:~:text=K2view%20www,controlling%20its%20inputs%20and%20outputs" TargetMode="External" /><Relationship Type="http://schemas.openxmlformats.org/officeDocument/2006/relationships/hyperlink" Id="rId52" Target="https://www.omg.org/spec/BPMN/2.0/About-BPMN" TargetMode="External" /><Relationship Type="http://schemas.openxmlformats.org/officeDocument/2006/relationships/hyperlink" Id="rId21" Target="https://www.omg.org/spec/BPMN/2.0/About-BPMN#:~:text=Business%20Process%20Model%20and%20Notation,of%20any%20particular%20implementation%20enviro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2025-10-14T14:46:24Z</dcterms:created>
  <dcterms:modified xsi:type="dcterms:W3CDTF">2025-10-14T14:46:24Z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