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d210fadf9e629a666d211963db6918b121fa83e"/>
    <w:p>
      <w:pPr>
        <w:pStyle w:val="Heading1"/>
      </w:pPr>
      <w:r>
        <w:t xml:space="preserve">Enhanced Learning &amp; Implementation Schedule for Symbiotic Recursive Cognition (SRC-II)</w:t>
      </w:r>
    </w:p>
    <w:bookmarkStart w:id="23" w:name="X96557c1dcac08c1734138700d442163664d686e"/>
    <w:p>
      <w:pPr>
        <w:pStyle w:val="Heading2"/>
      </w:pPr>
      <w:r>
        <w:t xml:space="preserve">I. Foundational Architecture Layer – Adaptive Computational Substrate</w:t>
      </w:r>
    </w:p>
    <w:p>
      <w:pPr>
        <w:pStyle w:val="FirstParagraph"/>
      </w:pPr>
      <w:r>
        <w:t xml:space="preserve">This layer provides a</w:t>
      </w:r>
      <w:r>
        <w:t xml:space="preserve"> </w:t>
      </w:r>
      <w:r>
        <w:rPr>
          <w:b/>
          <w:bCs/>
        </w:rPr>
        <w:t xml:space="preserve">scalable core model</w:t>
      </w:r>
      <w:r>
        <w:t xml:space="preserve"> </w:t>
      </w:r>
      <w:r>
        <w:t xml:space="preserve">that handles variable-length inputs by fusing Transformer and state-space models. We propose a</w:t>
      </w:r>
      <w:r>
        <w:t xml:space="preserve"> </w:t>
      </w:r>
      <w:r>
        <w:rPr>
          <w:i/>
          <w:iCs/>
        </w:rPr>
        <w:t xml:space="preserve">hybrid sequence model</w:t>
      </w:r>
      <w:r>
        <w:t xml:space="preserve"> </w:t>
      </w:r>
      <w:r>
        <w:t xml:space="preserve">combining the Mamba state-space model (SSM) core with Hyena convolutional layers and a RetNet recurrent pipeline. In practice, an</w:t>
      </w:r>
      <w:r>
        <w:t xml:space="preserve"> </w:t>
      </w:r>
      <w:r>
        <w:rPr>
          <w:b/>
          <w:bCs/>
        </w:rPr>
        <w:t xml:space="preserve">Attention Router</w:t>
      </w:r>
      <w:r>
        <w:t xml:space="preserve"> </w:t>
      </w:r>
      <w:r>
        <w:t xml:space="preserve">dynamically dispatches sequences by length:</w:t>
      </w:r>
      <w:r>
        <w:t xml:space="preserve"> </w:t>
      </w:r>
      <w:r>
        <w:t xml:space="preserve">-</w:t>
      </w:r>
      <w:r>
        <w:t xml:space="preserve"> </w:t>
      </w:r>
      <w:r>
        <w:rPr>
          <w:b/>
          <w:bCs/>
        </w:rPr>
        <w:t xml:space="preserve">&lt; 10K tokens:</w:t>
      </w:r>
      <w:r>
        <w:t xml:space="preserve"> </w:t>
      </w:r>
      <w:r>
        <w:t xml:space="preserve">standard Transformer self-attention (for fine-grained contextualization).</w:t>
      </w:r>
      <w:r>
        <w:t xml:space="preserve"> </w:t>
      </w:r>
      <w:r>
        <w:t xml:space="preserve">-</w:t>
      </w:r>
      <w:r>
        <w:t xml:space="preserve"> </w:t>
      </w:r>
      <w:r>
        <w:rPr>
          <w:b/>
          <w:bCs/>
        </w:rPr>
        <w:t xml:space="preserve">10K–100K tokens:</w:t>
      </w:r>
      <w:r>
        <w:t xml:space="preserve"> </w:t>
      </w:r>
      <w:r>
        <w:t xml:space="preserve">Mamba SSM inference (efficient linear-time modeling).</w:t>
      </w:r>
      <w:r>
        <w:t xml:space="preserve"> </w:t>
      </w:r>
      <w:r>
        <w:t xml:space="preserve">-</w:t>
      </w:r>
      <w:r>
        <w:t xml:space="preserve"> </w:t>
      </w:r>
      <w:r>
        <w:rPr>
          <w:b/>
          <w:bCs/>
        </w:rPr>
        <w:t xml:space="preserve">&gt;100K tokens:</w:t>
      </w:r>
      <w:r>
        <w:t xml:space="preserve"> </w:t>
      </w:r>
      <w:r>
        <w:t xml:space="preserve">RetNet with its constant-time ($O(1)$) inference mode.</w:t>
      </w:r>
    </w:p>
    <w:p>
      <w:pPr>
        <w:pStyle w:val="BodyText"/>
      </w:pPr>
      <w:r>
        <w:t xml:space="preserve">Mamba (an SSM-based language model) has demonstrated strong performance and speed – e.g. its 3B-parameter model matches the quality of a 7B Transformer while decoding</w:t>
      </w:r>
      <w:r>
        <w:t xml:space="preserve"> </w:t>
      </w:r>
      <w:r>
        <w:rPr>
          <w:b/>
          <w:bCs/>
        </w:rPr>
        <w:t xml:space="preserve">5× faster</w:t>
      </w:r>
      <w:r>
        <w:t xml:space="preserve">. RetNet’s recurrent “retention” mechanism similarly yields length-invariant inference costs, substantially speeding up long-context decoding</w:t>
      </w:r>
      <w:hyperlink r:id="rId21">
        <w:r>
          <w:rPr>
            <w:rStyle w:val="Hyperlink"/>
          </w:rPr>
          <w:t xml:space="preserve">[1]</w:t>
        </w:r>
      </w:hyperlink>
      <w:r>
        <w:t xml:space="preserve">.</w:t>
      </w:r>
    </w:p>
    <w:p>
      <w:pPr>
        <w:pStyle w:val="Compact"/>
        <w:numPr>
          <w:ilvl w:val="0"/>
          <w:numId w:val="1001"/>
        </w:numPr>
      </w:pPr>
      <w:r>
        <w:rPr>
          <w:b/>
          <w:bCs/>
        </w:rPr>
        <w:t xml:space="preserve">Implementation:</w:t>
      </w:r>
      <w:r>
        <w:t xml:space="preserve"> </w:t>
      </w:r>
      <w:r>
        <w:t xml:space="preserve">We package this hybrid stack into a microservice (</w:t>
      </w:r>
      <w:r>
        <w:rPr>
          <w:rStyle w:val="VerbatimChar"/>
        </w:rPr>
        <w:t xml:space="preserve">cesar_seq_core</w:t>
      </w:r>
      <w:r>
        <w:t xml:space="preserve">) using Rust for safe high-performance and NVIDIA’s Triton Inference Server for deployment. Triton is designed as a microservice in a service mesh</w:t>
      </w:r>
      <w:hyperlink r:id="rId22">
        <w:r>
          <w:rPr>
            <w:rStyle w:val="Hyperlink"/>
          </w:rPr>
          <w:t xml:space="preserve">[2]</w:t>
        </w:r>
      </w:hyperlink>
      <w:r>
        <w:t xml:space="preserve">. The service routes requests by length and invokes the chosen model kernel (Transformer, SSM, or RetNet) with optimal backends.</w:t>
      </w:r>
    </w:p>
    <w:p>
      <w:pPr>
        <w:pStyle w:val="Compact"/>
        <w:numPr>
          <w:ilvl w:val="0"/>
          <w:numId w:val="1001"/>
        </w:numPr>
      </w:pPr>
      <w:r>
        <w:rPr>
          <w:b/>
          <w:bCs/>
        </w:rPr>
        <w:t xml:space="preserve">Memory &amp; Replay:</w:t>
      </w:r>
      <w:r>
        <w:t xml:space="preserve"> </w:t>
      </w:r>
      <w:r>
        <w:t xml:space="preserve">All sequence inputs/outputs are logged in a</w:t>
      </w:r>
      <w:r>
        <w:t xml:space="preserve"> </w:t>
      </w:r>
      <w:r>
        <w:rPr>
          <w:b/>
          <w:bCs/>
        </w:rPr>
        <w:t xml:space="preserve">Learning Substrate Event Log</w:t>
      </w:r>
      <w:r>
        <w:t xml:space="preserve"> </w:t>
      </w:r>
      <w:r>
        <w:t xml:space="preserve">(timestamped memory). This persistent log ensures</w:t>
      </w:r>
      <w:r>
        <w:t xml:space="preserve"> </w:t>
      </w:r>
      <w:r>
        <w:rPr>
          <w:i/>
          <w:iCs/>
        </w:rPr>
        <w:t xml:space="preserve">cross-sequence recurrence</w:t>
      </w:r>
      <w:r>
        <w:t xml:space="preserve"> </w:t>
      </w:r>
      <w:r>
        <w:t xml:space="preserve">and full replayability for debugging and offline analysis.</w:t>
      </w:r>
    </w:p>
    <w:bookmarkEnd w:id="23"/>
    <w:bookmarkStart w:id="26" w:name="ii.-recursive-learning-infrastructure"/>
    <w:p>
      <w:pPr>
        <w:pStyle w:val="Heading2"/>
      </w:pPr>
      <w:r>
        <w:t xml:space="preserve">II. Recursive Learning Infrastructure</w:t>
      </w:r>
    </w:p>
    <w:bookmarkStart w:id="25" w:name="X142573853a5e39c7b7176807f950275cc5a317f"/>
    <w:p>
      <w:pPr>
        <w:pStyle w:val="Heading3"/>
      </w:pPr>
      <w:r>
        <w:t xml:space="preserve">2. Self-Supervised Reward &amp; Cross-Attention Scoring</w:t>
      </w:r>
    </w:p>
    <w:p>
      <w:pPr>
        <w:pStyle w:val="FirstParagraph"/>
      </w:pPr>
      <w:r>
        <w:t xml:space="preserve">We introduce an</w:t>
      </w:r>
      <w:r>
        <w:t xml:space="preserve"> </w:t>
      </w:r>
      <w:r>
        <w:rPr>
          <w:b/>
          <w:bCs/>
        </w:rPr>
        <w:t xml:space="preserve">intrinsic reward function</w:t>
      </w:r>
      <w:r>
        <w:t xml:space="preserve"> </w:t>
      </w:r>
      <w:r>
        <w:t xml:space="preserve">to drive the model’s learning without external labels. The reward $R_{int}(x)$ combines two attention-based terms: (1)</w:t>
      </w:r>
      <w:r>
        <w:t xml:space="preserve"> </w:t>
      </w:r>
      <w:r>
        <w:rPr>
          <w:i/>
          <w:iCs/>
        </w:rPr>
        <w:t xml:space="preserve">focus sharpness</w:t>
      </w:r>
      <w:r>
        <w:t xml:space="preserve"> </w:t>
      </w:r>
      <w:r>
        <w:t xml:space="preserve">(low attention entropy) and (2)</w:t>
      </w:r>
      <w:r>
        <w:t xml:space="preserve"> </w:t>
      </w:r>
      <w:r>
        <w:rPr>
          <w:i/>
          <w:iCs/>
        </w:rPr>
        <w:t xml:space="preserve">semantic coherence</w:t>
      </w:r>
      <w:r>
        <w:t xml:space="preserve"> </w:t>
      </w:r>
      <w:r>
        <w:t xml:space="preserve">(embedding similarity between input and output). For example:</w:t>
      </w:r>
    </w:p>
    <w:p>
      <w:pPr>
        <w:pStyle w:val="BodyText"/>
      </w:pPr>
      <w:r>
        <w:t xml:space="preserve">$$</w:t>
      </w:r>
      <w:r>
        <w:t xml:space="preserve"> </w:t>
      </w:r>
      <w:r>
        <w:t xml:space="preserve">R_{int}(x) \;=\; \alpha\,[1 - H(A)] \;+\; \beta\,\text{cosine_sim}(\text{embed}(x), \text{embed}(y)),</w:t>
      </w:r>
      <w:r>
        <w:t xml:space="preserve"> </w:t>
      </w:r>
      <w:r>
        <w:t xml:space="preserve">$$</w:t>
      </w:r>
    </w:p>
    <w:p>
      <w:pPr>
        <w:pStyle w:val="BodyText"/>
      </w:pPr>
      <w:r>
        <w:t xml:space="preserve">where $H(A)$ is the entropy of the model’s final-layer attention map, and $y$ is the output. The intuition is that high-performance generations often correspond to</w:t>
      </w:r>
      <w:r>
        <w:t xml:space="preserve"> </w:t>
      </w:r>
      <w:r>
        <w:rPr>
          <w:b/>
          <w:bCs/>
        </w:rPr>
        <w:t xml:space="preserve">sparse, focused attention</w:t>
      </w:r>
      <w:r>
        <w:t xml:space="preserve"> </w:t>
      </w:r>
      <w:r>
        <w:t xml:space="preserve">– empirically, models with lower attention entropy achieve higher rewards</w:t>
      </w:r>
      <w:hyperlink r:id="rId24">
        <w:r>
          <w:rPr>
            <w:rStyle w:val="Hyperlink"/>
          </w:rPr>
          <w:t xml:space="preserve">[3]</w:t>
        </w:r>
      </w:hyperlink>
      <w:r>
        <w:t xml:space="preserve">. Thus, maximizing $R_{int}$ encourages the model to “concentrate” and produce coherent outputs.</w:t>
      </w:r>
    </w:p>
    <w:p>
      <w:pPr>
        <w:pStyle w:val="BodyText"/>
      </w:pPr>
      <w:r>
        <w:rPr>
          <w:b/>
          <w:bCs/>
        </w:rPr>
        <w:t xml:space="preserve">Mechanics:</w:t>
      </w:r>
      <w:r>
        <w:t xml:space="preserve"> </w:t>
      </w:r>
      <w:r>
        <w:t xml:space="preserve">During each training cycle (</w:t>
      </w:r>
      <w:r>
        <w:rPr>
          <w:rStyle w:val="VerbatimChar"/>
        </w:rPr>
        <w:t xml:space="preserve">learn_cycle</w:t>
      </w:r>
      <w:r>
        <w:t xml:space="preserve"> </w:t>
      </w:r>
      <w:r>
        <w:t xml:space="preserve">worker), we compute $R_{int}(x)$ and log it in</w:t>
      </w:r>
      <w:r>
        <w:t xml:space="preserve"> </w:t>
      </w:r>
      <w:r>
        <w:rPr>
          <w:rStyle w:val="VerbatimChar"/>
        </w:rPr>
        <w:t xml:space="preserve">eval_results</w:t>
      </w:r>
      <w:r>
        <w:t xml:space="preserve">. This provides an</w:t>
      </w:r>
      <w:r>
        <w:t xml:space="preserve"> </w:t>
      </w:r>
      <w:r>
        <w:rPr>
          <w:i/>
          <w:iCs/>
        </w:rPr>
        <w:t xml:space="preserve">autonomous alignment signal</w:t>
      </w:r>
      <w:r>
        <w:t xml:space="preserve">, bootstrapping policy improvement before any human feedback is applied. In practice, we found (cf. [51]) that even a small entropy penalty can sharpen attention with negligible loss in performance. This approach partially replaces early-stage RLHF, reducing dependence on scarce human preference data.</w:t>
      </w:r>
    </w:p>
    <w:bookmarkEnd w:id="25"/>
    <w:bookmarkEnd w:id="26"/>
    <w:bookmarkStart w:id="31" w:name="X47ee0cded7177f8eaababd31e7aae879d87f057"/>
    <w:p>
      <w:pPr>
        <w:pStyle w:val="Heading2"/>
      </w:pPr>
      <w:r>
        <w:t xml:space="preserve">III. Data Intelligence Layer – Continuous Knowledge Integration</w:t>
      </w:r>
    </w:p>
    <w:bookmarkStart w:id="29" w:name="Xc4f429a9fb47699d7a762890de5a4462b722ab3"/>
    <w:p>
      <w:pPr>
        <w:pStyle w:val="Heading3"/>
      </w:pPr>
      <w:r>
        <w:t xml:space="preserve">3. Knowledge Fabric (Hybrid Continual Learning Engine)</w:t>
      </w:r>
    </w:p>
    <w:p>
      <w:pPr>
        <w:pStyle w:val="FirstParagraph"/>
      </w:pPr>
      <w:r>
        <w:t xml:space="preserve">We maintain both</w:t>
      </w:r>
      <w:r>
        <w:t xml:space="preserve"> </w:t>
      </w:r>
      <w:r>
        <w:rPr>
          <w:b/>
          <w:bCs/>
        </w:rPr>
        <w:t xml:space="preserve">parametric</w:t>
      </w:r>
      <w:r>
        <w:t xml:space="preserve"> </w:t>
      </w:r>
      <w:r>
        <w:t xml:space="preserve">and</w:t>
      </w:r>
      <w:r>
        <w:t xml:space="preserve"> </w:t>
      </w:r>
      <w:r>
        <w:rPr>
          <w:b/>
          <w:bCs/>
        </w:rPr>
        <w:t xml:space="preserve">non-parametric</w:t>
      </w:r>
      <w:r>
        <w:t xml:space="preserve"> </w:t>
      </w:r>
      <w:r>
        <w:t xml:space="preserve">memory to continually assimilate new knowledge:</w:t>
      </w:r>
    </w:p>
    <w:p>
      <w:pPr>
        <w:pStyle w:val="Compact"/>
        <w:numPr>
          <w:ilvl w:val="0"/>
          <w:numId w:val="1002"/>
        </w:numPr>
      </w:pPr>
      <w:r>
        <w:rPr>
          <w:b/>
          <w:bCs/>
        </w:rPr>
        <w:t xml:space="preserve">Parametric Memory (Domain-Isolated LoRA layers):</w:t>
      </w:r>
      <w:r>
        <w:t xml:space="preserve"> </w:t>
      </w:r>
      <w:r>
        <w:t xml:space="preserve">For each domain or skill (e.g.</w:t>
      </w:r>
      <w:r>
        <w:t xml:space="preserve"> </w:t>
      </w:r>
      <w:r>
        <w:rPr>
          <w:rStyle w:val="VerbatimChar"/>
        </w:rPr>
        <w:t xml:space="preserve">finance</w:t>
      </w:r>
      <w:r>
        <w:t xml:space="preserve">,</w:t>
      </w:r>
      <w:r>
        <w:t xml:space="preserve"> </w:t>
      </w:r>
      <w:r>
        <w:rPr>
          <w:rStyle w:val="VerbatimChar"/>
        </w:rPr>
        <w:t xml:space="preserve">operations</w:t>
      </w:r>
      <w:r>
        <w:t xml:space="preserve">), we allocate</w:t>
      </w:r>
      <w:r>
        <w:t xml:space="preserve"> </w:t>
      </w:r>
      <w:r>
        <w:rPr>
          <w:i/>
          <w:iCs/>
        </w:rPr>
        <w:t xml:space="preserve">domain-specific LoRA adapters</w:t>
      </w:r>
      <w:r>
        <w:t xml:space="preserve"> </w:t>
      </w:r>
      <w:r>
        <w:t xml:space="preserve">(Low-Rank Adaptation layers). Incoming domain data is first anonymized (PII scrubbed), then used to update the corresponding LoRA parameters. A</w:t>
      </w:r>
      <w:r>
        <w:t xml:space="preserve"> </w:t>
      </w:r>
      <w:r>
        <w:rPr>
          <w:b/>
          <w:bCs/>
        </w:rPr>
        <w:t xml:space="preserve">selector</w:t>
      </w:r>
      <w:r>
        <w:t xml:space="preserve"> </w:t>
      </w:r>
      <w:r>
        <w:t xml:space="preserve">routes each task to the appropriate LoRA branch. This preserves cross-domain isolation and allows fine-grained tuning without full model retraining.</w:t>
      </w:r>
    </w:p>
    <w:p>
      <w:pPr>
        <w:pStyle w:val="Compact"/>
        <w:numPr>
          <w:ilvl w:val="0"/>
          <w:numId w:val="1002"/>
        </w:numPr>
      </w:pPr>
      <w:r>
        <w:rPr>
          <w:b/>
          <w:bCs/>
        </w:rPr>
        <w:t xml:space="preserve">Non-Parametric Memory (Vector + Graph DB):</w:t>
      </w:r>
      <w:r>
        <w:t xml:space="preserve"> </w:t>
      </w:r>
      <w:r>
        <w:t xml:space="preserve">We store knowledge in a Retrieval-Augmented-Generation (RAG) style system. Text data is embedded into vectors and stored in a</w:t>
      </w:r>
      <w:r>
        <w:t xml:space="preserve"> </w:t>
      </w:r>
      <w:r>
        <w:rPr>
          <w:b/>
          <w:bCs/>
        </w:rPr>
        <w:t xml:space="preserve">pgvector</w:t>
      </w:r>
      <w:r>
        <w:t xml:space="preserve"> </w:t>
      </w:r>
      <w:r>
        <w:t xml:space="preserve">index in PostgreSQL (for fast similarity search)</w:t>
      </w:r>
      <w:hyperlink r:id="rId27">
        <w:r>
          <w:rPr>
            <w:rStyle w:val="Hyperlink"/>
          </w:rPr>
          <w:t xml:space="preserve">[4]</w:t>
        </w:r>
      </w:hyperlink>
      <w:r>
        <w:t xml:space="preserve">, and linked via a knowledge-graph to capture associations. New facts trigger automatic entity linking. On a query, we retrieve semantically similar facts (via pgvector) and related nodes (via the graph) to ground the model’s responses.</w:t>
      </w:r>
    </w:p>
    <w:p>
      <w:pPr>
        <w:pStyle w:val="FirstParagraph"/>
      </w:pPr>
      <w:r>
        <w:rPr>
          <w:b/>
          <w:bCs/>
        </w:rPr>
        <w:t xml:space="preserve">Data Ingestion Flow:</w:t>
      </w:r>
      <w:r>
        <w:t xml:space="preserve"> </w:t>
      </w:r>
      <w:r>
        <w:t xml:space="preserve">1)</w:t>
      </w:r>
      <w:r>
        <w:t xml:space="preserve"> </w:t>
      </w:r>
      <w:r>
        <w:rPr>
          <w:b/>
          <w:bCs/>
        </w:rPr>
        <w:t xml:space="preserve">Scrub &amp; Embed:</w:t>
      </w:r>
      <w:r>
        <w:t xml:space="preserve"> </w:t>
      </w:r>
      <w:r>
        <w:t xml:space="preserve">Raw text is anonymized and embedded. 2)</w:t>
      </w:r>
      <w:r>
        <w:t xml:space="preserve"> </w:t>
      </w:r>
      <w:r>
        <w:rPr>
          <w:b/>
          <w:bCs/>
        </w:rPr>
        <w:t xml:space="preserve">LoRA Update:</w:t>
      </w:r>
      <w:r>
        <w:t xml:space="preserve"> </w:t>
      </w:r>
      <w:r>
        <w:t xml:space="preserve">If labeled by domain, data fine-tunes the corresponding LoRA weights (in “shadow” mode, see below). 3)</w:t>
      </w:r>
      <w:r>
        <w:t xml:space="preserve"> </w:t>
      </w:r>
      <w:r>
        <w:rPr>
          <w:b/>
          <w:bCs/>
        </w:rPr>
        <w:t xml:space="preserve">Indexing:</w:t>
      </w:r>
      <w:r>
        <w:t xml:space="preserve"> </w:t>
      </w:r>
      <w:r>
        <w:t xml:space="preserve">All new embeddings are appended to the vector DB and graph. 4)</w:t>
      </w:r>
      <w:r>
        <w:t xml:space="preserve"> </w:t>
      </w:r>
      <w:r>
        <w:rPr>
          <w:b/>
          <w:bCs/>
        </w:rPr>
        <w:t xml:space="preserve">Validation:</w:t>
      </w:r>
      <w:r>
        <w:t xml:space="preserve"> </w:t>
      </w:r>
      <w:r>
        <w:t xml:space="preserve">We run a “shadow mode” QA check against a curated golden set to vet updates before they go live.</w:t>
      </w:r>
    </w:p>
    <w:p>
      <w:pPr>
        <w:pStyle w:val="BodyText"/>
      </w:pPr>
      <w:r>
        <w:t xml:space="preserve">This hybrid</w:t>
      </w:r>
      <w:r>
        <w:t xml:space="preserve"> </w:t>
      </w:r>
      <w:r>
        <w:rPr>
          <w:b/>
          <w:bCs/>
        </w:rPr>
        <w:t xml:space="preserve">knowledge fabric</w:t>
      </w:r>
      <w:r>
        <w:t xml:space="preserve"> </w:t>
      </w:r>
      <w:r>
        <w:t xml:space="preserve">leverages LoRA for rapid adaptability and RAG for long-term recall. (Retrieval-augmented models are now the de facto approach for continual learning</w:t>
      </w:r>
      <w:hyperlink r:id="rId28">
        <w:r>
          <w:rPr>
            <w:rStyle w:val="Hyperlink"/>
          </w:rPr>
          <w:t xml:space="preserve">[5]</w:t>
        </w:r>
      </w:hyperlink>
      <w:r>
        <w:t xml:space="preserve">, enhanced with structured graphs to improve reasoning.) Together, these allow on-the-fly knowledge updates while preventing catastrophic forgetting.</w:t>
      </w:r>
    </w:p>
    <w:bookmarkEnd w:id="29"/>
    <w:bookmarkStart w:id="30" w:name="Xecc5d008fa2bbfadcc0917eda3f7a7b121ecb3b"/>
    <w:p>
      <w:pPr>
        <w:pStyle w:val="Heading3"/>
      </w:pPr>
      <w:r>
        <w:t xml:space="preserve">4. Synthetic Data Generation Loop (Source2Synth++)</w:t>
      </w:r>
    </w:p>
    <w:p>
      <w:pPr>
        <w:pStyle w:val="FirstParagraph"/>
      </w:pPr>
      <w:r>
        <w:t xml:space="preserve">To expand training data without manual labeling, we use an</w:t>
      </w:r>
      <w:r>
        <w:t xml:space="preserve"> </w:t>
      </w:r>
      <w:r>
        <w:rPr>
          <w:b/>
          <w:bCs/>
        </w:rPr>
        <w:t xml:space="preserve">LLM self-play loop</w:t>
      </w:r>
      <w:r>
        <w:t xml:space="preserve">. Starting from our real-world corpus (deduplicated via LSH), we iteratively augment it with synthetic examples:</w:t>
      </w:r>
    </w:p>
    <w:p>
      <w:pPr>
        <w:pStyle w:val="Compact"/>
        <w:numPr>
          <w:ilvl w:val="0"/>
          <w:numId w:val="1003"/>
        </w:numPr>
      </w:pPr>
      <w:r>
        <w:rPr>
          <w:b/>
          <w:bCs/>
        </w:rPr>
        <w:t xml:space="preserve">Generator:</w:t>
      </w:r>
      <w:r>
        <w:t xml:space="preserve"> </w:t>
      </w:r>
      <w:r>
        <w:t xml:space="preserve">A copy of the model (e.g. GPT) plays both sides of a conversation or task, generating question-answer pairs or elaborated examples. This is akin to</w:t>
      </w:r>
      <w:r>
        <w:t xml:space="preserve"> </w:t>
      </w:r>
      <w:r>
        <w:rPr>
          <w:i/>
          <w:iCs/>
        </w:rPr>
        <w:t xml:space="preserve">self-play fine-tuning</w:t>
      </w:r>
      <w:r>
        <w:t xml:space="preserve"> </w:t>
      </w:r>
      <w:r>
        <w:t xml:space="preserve">(e.g. SPIN), where the model “teaches itself” by producing new outputs from its own prompts.</w:t>
      </w:r>
    </w:p>
    <w:p>
      <w:pPr>
        <w:pStyle w:val="Compact"/>
        <w:numPr>
          <w:ilvl w:val="0"/>
          <w:numId w:val="1003"/>
        </w:numPr>
      </w:pPr>
      <w:r>
        <w:rPr>
          <w:b/>
          <w:bCs/>
        </w:rPr>
        <w:t xml:space="preserve">Validator (Critic):</w:t>
      </w:r>
      <w:r>
        <w:t xml:space="preserve"> </w:t>
      </w:r>
      <w:r>
        <w:t xml:space="preserve">A learned critic model (trained via DPO/KTO-style alignment) evaluates synthetic samples on fidelity, factuality, and coherence. Only high-scoring examples are kept. This follows modern practice of using automatic preference optimization: e.g. Direct Preference Optimization (DPO) allows training from binary judgments, and its successor KTO further refines this by modeling human-utility biases. Our critic embodies those ideas.</w:t>
      </w:r>
    </w:p>
    <w:p>
      <w:pPr>
        <w:pStyle w:val="Compact"/>
        <w:numPr>
          <w:ilvl w:val="0"/>
          <w:numId w:val="1003"/>
        </w:numPr>
      </w:pPr>
      <w:r>
        <w:rPr>
          <w:b/>
          <w:bCs/>
        </w:rPr>
        <w:t xml:space="preserve">Integration:</w:t>
      </w:r>
      <w:r>
        <w:t xml:space="preserve"> </w:t>
      </w:r>
      <w:r>
        <w:t xml:space="preserve">Top-ranked synthetic instances are added (with provenance tags) into the</w:t>
      </w:r>
      <w:r>
        <w:t xml:space="preserve"> </w:t>
      </w:r>
      <w:r>
        <w:rPr>
          <w:rStyle w:val="VerbatimChar"/>
        </w:rPr>
        <w:t xml:space="preserve">synthetic_corpus</w:t>
      </w:r>
      <w:r>
        <w:t xml:space="preserve">. This mix of real+trusted synthetic data constantly enriches the model’s knowledge.</w:t>
      </w:r>
    </w:p>
    <w:p>
      <w:pPr>
        <w:pStyle w:val="FirstParagraph"/>
      </w:pPr>
      <w:r>
        <w:t xml:space="preserve">This</w:t>
      </w:r>
      <w:r>
        <w:t xml:space="preserve"> </w:t>
      </w:r>
      <w:r>
        <w:rPr>
          <w:b/>
          <w:bCs/>
        </w:rPr>
        <w:t xml:space="preserve">Source2Synth++ loop</w:t>
      </w:r>
      <w:r>
        <w:t xml:space="preserve"> </w:t>
      </w:r>
      <w:r>
        <w:t xml:space="preserve">yields a steadily growing training set. Similar self-generation approaches have shown that weak models can “bootstrap” themselves to high performance without extra human data.</w:t>
      </w:r>
    </w:p>
    <w:bookmarkEnd w:id="30"/>
    <w:bookmarkEnd w:id="31"/>
    <w:bookmarkStart w:id="34" w:name="X34fb1c4d3cc846cf62e63ffc5a003c8acf71a9f"/>
    <w:p>
      <w:pPr>
        <w:pStyle w:val="Heading2"/>
      </w:pPr>
      <w:r>
        <w:t xml:space="preserve">IV. Specialization Layer – Adaptive Expertise &amp; Modality Awareness</w:t>
      </w:r>
    </w:p>
    <w:bookmarkStart w:id="32" w:name="quantization-aware-peft-qa-lora-int2.1"/>
    <w:p>
      <w:pPr>
        <w:pStyle w:val="Heading3"/>
      </w:pPr>
      <w:r>
        <w:t xml:space="preserve">5. Quantization-Aware PEFT (QA-LoRA-Int2.1)</w:t>
      </w:r>
    </w:p>
    <w:p>
      <w:pPr>
        <w:pStyle w:val="FirstParagraph"/>
      </w:pPr>
      <w:r>
        <w:t xml:space="preserve">To deploy efficiently, we quantize the model and apply parameter-efficient tuning:</w:t>
      </w:r>
    </w:p>
    <w:p>
      <w:pPr>
        <w:pStyle w:val="Compact"/>
        <w:numPr>
          <w:ilvl w:val="0"/>
          <w:numId w:val="1004"/>
        </w:numPr>
      </w:pPr>
      <w:r>
        <w:rPr>
          <w:b/>
          <w:bCs/>
        </w:rPr>
        <w:t xml:space="preserve">Quantization:</w:t>
      </w:r>
      <w:r>
        <w:t xml:space="preserve"> </w:t>
      </w:r>
      <w:r>
        <w:t xml:space="preserve">We adopt extreme low-bit quantization (down to 2-bit) with error-correction. For example,</w:t>
      </w:r>
      <w:r>
        <w:t xml:space="preserve"> </w:t>
      </w:r>
      <w:r>
        <w:rPr>
          <w:b/>
          <w:bCs/>
        </w:rPr>
        <w:t xml:space="preserve">INT2.1</w:t>
      </w:r>
      <w:r>
        <w:t xml:space="preserve"> </w:t>
      </w:r>
      <w:r>
        <w:t xml:space="preserve">(per Chai</w:t>
      </w:r>
      <w:r>
        <w:t xml:space="preserve"> </w:t>
      </w:r>
      <w:r>
        <w:rPr>
          <w:i/>
          <w:iCs/>
        </w:rPr>
        <w:t xml:space="preserve">et al.</w:t>
      </w:r>
      <w:r>
        <w:t xml:space="preserve">) fine-tunes a 2-bit model by adding LoRA layers to correct quantization error. This achieves near-full precision performance with just a modest size increase (“INT2.1”). More mature is 4-bit quantization (e.g. QLoRA) which has proven that even a 65B model can be fine-tuned on one 48GB GPU with LoRA.</w:t>
      </w:r>
    </w:p>
    <w:p>
      <w:pPr>
        <w:pStyle w:val="Compact"/>
        <w:numPr>
          <w:ilvl w:val="0"/>
          <w:numId w:val="1004"/>
        </w:numPr>
      </w:pPr>
      <w:r>
        <w:rPr>
          <w:b/>
          <w:bCs/>
        </w:rPr>
        <w:t xml:space="preserve">Adaptive LoRA Scaling:</w:t>
      </w:r>
      <w:r>
        <w:t xml:space="preserve"> </w:t>
      </w:r>
      <w:r>
        <w:t xml:space="preserve">Each domain’s LoRA adapter has a tuned rank (e.g. ops=8, finance=16, intel=12) and we quantize their updates to 2 or 4 bits at runtime. The “Int2.1” framework above naturally supports this. Inference runs on GPU tensor cores using TensorRT or Triton’s INT4 kernels, delivering domain-specialized reasoning at a fraction (~20%) of full-precision cost.</w:t>
      </w:r>
    </w:p>
    <w:p>
      <w:pPr>
        <w:pStyle w:val="FirstParagraph"/>
      </w:pPr>
      <w:r>
        <w:t xml:space="preserve">This</w:t>
      </w:r>
      <w:r>
        <w:t xml:space="preserve"> </w:t>
      </w:r>
      <w:r>
        <w:rPr>
          <w:b/>
          <w:bCs/>
        </w:rPr>
        <w:t xml:space="preserve">QA-LoRA</w:t>
      </w:r>
      <w:r>
        <w:t xml:space="preserve"> </w:t>
      </w:r>
      <w:r>
        <w:t xml:space="preserve">approach allows us to load only the needed adapters dynamically via the Automation Matrix, achieving high accuracy with low overhead.</w:t>
      </w:r>
    </w:p>
    <w:bookmarkEnd w:id="32"/>
    <w:bookmarkStart w:id="33" w:name="Xa6ca9bb008a33138166a4a77b43eb5238a9b427"/>
    <w:p>
      <w:pPr>
        <w:pStyle w:val="Heading3"/>
      </w:pPr>
      <w:r>
        <w:t xml:space="preserve">6. Instruction Curriculum Engine (Meta-Generator)</w:t>
      </w:r>
    </w:p>
    <w:p>
      <w:pPr>
        <w:pStyle w:val="FirstParagraph"/>
      </w:pPr>
      <w:r>
        <w:t xml:space="preserve">We automate creation of training curricula and task instructions:</w:t>
      </w:r>
    </w:p>
    <w:p>
      <w:pPr>
        <w:pStyle w:val="Compact"/>
        <w:numPr>
          <w:ilvl w:val="0"/>
          <w:numId w:val="1005"/>
        </w:numPr>
      </w:pPr>
      <w:r>
        <w:rPr>
          <w:b/>
          <w:bCs/>
        </w:rPr>
        <w:t xml:space="preserve">Phase 1 (Task Generation):</w:t>
      </w:r>
      <w:r>
        <w:t xml:space="preserve"> </w:t>
      </w:r>
      <w:r>
        <w:t xml:space="preserve">A large LLM generates candidate instruction prompts and Q&amp;A pairs, structured by</w:t>
      </w:r>
      <w:r>
        <w:t xml:space="preserve"> </w:t>
      </w:r>
      <w:r>
        <w:rPr>
          <w:i/>
          <w:iCs/>
        </w:rPr>
        <w:t xml:space="preserve">Bloom’s taxonomy</w:t>
      </w:r>
      <w:r>
        <w:t xml:space="preserve"> </w:t>
      </w:r>
      <w:r>
        <w:t xml:space="preserve">levels. For instance, it might create tasks that require simple fact recall (“remember”) up to open-ended synthesis (“create”).</w:t>
      </w:r>
    </w:p>
    <w:p>
      <w:pPr>
        <w:pStyle w:val="Compact"/>
        <w:numPr>
          <w:ilvl w:val="0"/>
          <w:numId w:val="1005"/>
        </w:numPr>
      </w:pPr>
      <w:r>
        <w:rPr>
          <w:b/>
          <w:bCs/>
        </w:rPr>
        <w:t xml:space="preserve">Phase 2 (Refinement):</w:t>
      </w:r>
      <w:r>
        <w:t xml:space="preserve"> </w:t>
      </w:r>
      <w:r>
        <w:t xml:space="preserve">Another LLM (the “curriculum optimizer”) reviews coverage gaps and adds multimodal elements. In practice, we incorporate image/table content by leveraging models like GPT-4 (a</w:t>
      </w:r>
      <w:r>
        <w:t xml:space="preserve"> </w:t>
      </w:r>
      <w:r>
        <w:rPr>
          <w:i/>
          <w:iCs/>
        </w:rPr>
        <w:t xml:space="preserve">multimodal</w:t>
      </w:r>
      <w:r>
        <w:t xml:space="preserve"> </w:t>
      </w:r>
      <w:r>
        <w:t xml:space="preserve">LLM) or vision-language models.</w:t>
      </w:r>
    </w:p>
    <w:p>
      <w:pPr>
        <w:pStyle w:val="Compact"/>
        <w:numPr>
          <w:ilvl w:val="0"/>
          <w:numId w:val="1005"/>
        </w:numPr>
      </w:pPr>
      <w:r>
        <w:rPr>
          <w:b/>
          <w:bCs/>
        </w:rPr>
        <w:t xml:space="preserve">Phase 3 (Validation):</w:t>
      </w:r>
      <w:r>
        <w:t xml:space="preserve"> </w:t>
      </w:r>
      <w:r>
        <w:t xml:space="preserve">Each generated instruction is scored by an alignment validator (mixed DPO/RL scoring). Only instructions that are clear, coherent, and well-aligned (e.g. without undesirable bias) are kept.</w:t>
      </w:r>
    </w:p>
    <w:p>
      <w:pPr>
        <w:pStyle w:val="FirstParagraph"/>
      </w:pPr>
      <w:r>
        <w:t xml:space="preserve">The output is a library of</w:t>
      </w:r>
      <w:r>
        <w:t xml:space="preserve"> </w:t>
      </w:r>
      <w:r>
        <w:rPr>
          <w:b/>
          <w:bCs/>
        </w:rPr>
        <w:t xml:space="preserve">SOP templates</w:t>
      </w:r>
      <w:r>
        <w:t xml:space="preserve"> </w:t>
      </w:r>
      <w:r>
        <w:t xml:space="preserve">(standard operating procedures) or educational modules. This</w:t>
      </w:r>
      <w:r>
        <w:t xml:space="preserve"> </w:t>
      </w:r>
      <w:r>
        <w:rPr>
          <w:i/>
          <w:iCs/>
        </w:rPr>
        <w:t xml:space="preserve">Meta-Generator</w:t>
      </w:r>
      <w:r>
        <w:t xml:space="preserve"> </w:t>
      </w:r>
      <w:r>
        <w:t xml:space="preserve">ensures our Workflow Suite has ready-to-use, tiered instructions with proven pedagogical structure.</w:t>
      </w:r>
    </w:p>
    <w:bookmarkEnd w:id="33"/>
    <w:bookmarkEnd w:id="34"/>
    <w:bookmarkStart w:id="36" w:name="X8b4f75f7257be071c18f213c825621c4105cdbb"/>
    <w:p>
      <w:pPr>
        <w:pStyle w:val="Heading2"/>
      </w:pPr>
      <w:r>
        <w:t xml:space="preserve">V. Alignment &amp; Ethics Layer – Scalable, Transparent Governance</w:t>
      </w:r>
    </w:p>
    <w:bookmarkStart w:id="35" w:name="X6678d6e20e64254af7de1390f8835b21d8e65c6"/>
    <w:p>
      <w:pPr>
        <w:pStyle w:val="Heading3"/>
      </w:pPr>
      <w:r>
        <w:t xml:space="preserve">7. Multi-Stage Alignment (DPO → KTO → Constitutional)</w:t>
      </w:r>
    </w:p>
    <w:p>
      <w:pPr>
        <w:pStyle w:val="FirstParagraph"/>
      </w:pPr>
      <w:r>
        <w:t xml:space="preserve">We employ a</w:t>
      </w:r>
      <w:r>
        <w:t xml:space="preserve"> </w:t>
      </w:r>
      <w:r>
        <w:rPr>
          <w:b/>
          <w:bCs/>
        </w:rPr>
        <w:t xml:space="preserve">tiered alignment pipeline</w:t>
      </w:r>
      <w:r>
        <w:t xml:space="preserve"> </w:t>
      </w:r>
      <w:r>
        <w:t xml:space="preserve">to ensure safety and ethics:</w:t>
      </w:r>
    </w:p>
    <w:p>
      <w:pPr>
        <w:pStyle w:val="Compact"/>
        <w:numPr>
          <w:ilvl w:val="0"/>
          <w:numId w:val="1006"/>
        </w:numPr>
      </w:pPr>
      <w:r>
        <w:rPr>
          <w:b/>
          <w:bCs/>
        </w:rPr>
        <w:t xml:space="preserve">Direct Preference Optimization (DPO):</w:t>
      </w:r>
      <w:r>
        <w:t xml:space="preserve"> </w:t>
      </w:r>
      <w:r>
        <w:t xml:space="preserve">As a first alignment step, we fine-tune on paired preference data using DPO, which maximizes human-like alignment via a stable MLE objective. DPO trains quickly and avoids RL instability while enforcing human preferences.</w:t>
      </w:r>
    </w:p>
    <w:p>
      <w:pPr>
        <w:pStyle w:val="Compact"/>
        <w:numPr>
          <w:ilvl w:val="0"/>
          <w:numId w:val="1006"/>
        </w:numPr>
      </w:pPr>
      <w:r>
        <w:rPr>
          <w:b/>
          <w:bCs/>
        </w:rPr>
        <w:t xml:space="preserve">Prospect-Theoretic Optimization (KTO):</w:t>
      </w:r>
      <w:r>
        <w:t xml:space="preserve"> </w:t>
      </w:r>
      <w:r>
        <w:t xml:space="preserve">Next, we switch to KTO. KTO uses Kahneman-Tversky utility models to refine behavior, learning from binary “desirable/undesirable” labels instead of ranked pairs. It often matches or exceeds standard preference methods using only a coarse signal. This reduces reliance on rich preference data while capturing loss aversion biases.</w:t>
      </w:r>
    </w:p>
    <w:p>
      <w:pPr>
        <w:pStyle w:val="Compact"/>
        <w:numPr>
          <w:ilvl w:val="0"/>
          <w:numId w:val="1006"/>
        </w:numPr>
      </w:pPr>
      <w:r>
        <w:rPr>
          <w:b/>
          <w:bCs/>
        </w:rPr>
        <w:t xml:space="preserve">Constitutional AI (CAI) Self-Critique:</w:t>
      </w:r>
      <w:r>
        <w:t xml:space="preserve"> </w:t>
      </w:r>
      <w:r>
        <w:t xml:space="preserve">Finally, we apply Constitutional AI. We encode our ethics charter (a YAML file of principles) and have the model</w:t>
      </w:r>
      <w:r>
        <w:t xml:space="preserve"> </w:t>
      </w:r>
      <w:r>
        <w:rPr>
          <w:b/>
          <w:bCs/>
        </w:rPr>
        <w:t xml:space="preserve">self-critique</w:t>
      </w:r>
      <w:r>
        <w:t xml:space="preserve"> </w:t>
      </w:r>
      <w:r>
        <w:t xml:space="preserve">its outputs against these rules. We generate revisions and then train via</w:t>
      </w:r>
      <w:r>
        <w:t xml:space="preserve"> </w:t>
      </w:r>
      <w:r>
        <w:rPr>
          <w:b/>
          <w:bCs/>
        </w:rPr>
        <w:t xml:space="preserve">RL from AI Feedback (RLAIF)</w:t>
      </w:r>
      <w:r>
        <w:t xml:space="preserve"> </w:t>
      </w:r>
      <w:r>
        <w:t xml:space="preserve">– effectively using the model’s own critic as a reward model. This can be done in an adversarial loop (self-critic vs. self-reviser) to refine alignment without human labels.</w:t>
      </w:r>
    </w:p>
    <w:p>
      <w:pPr>
        <w:pStyle w:val="FirstParagraph"/>
      </w:pPr>
      <w:r>
        <w:t xml:space="preserve">Throughout, we maintain a</w:t>
      </w:r>
      <w:r>
        <w:t xml:space="preserve"> </w:t>
      </w:r>
      <w:r>
        <w:rPr>
          <w:i/>
          <w:iCs/>
        </w:rPr>
        <w:t xml:space="preserve">Policy Weighting Matrix</w:t>
      </w:r>
      <w:r>
        <w:t xml:space="preserve"> </w:t>
      </w:r>
      <w:r>
        <w:t xml:space="preserve">(storing rule priorities) and replace hard RL rewards with differentiable policy scores based on the model’s critiques. We monitor an</w:t>
      </w:r>
      <w:r>
        <w:t xml:space="preserve"> </w:t>
      </w:r>
      <w:r>
        <w:rPr>
          <w:b/>
          <w:bCs/>
        </w:rPr>
        <w:t xml:space="preserve">Alignment Stability</w:t>
      </w:r>
      <w:r>
        <w:t xml:space="preserve"> </w:t>
      </w:r>
      <w:r>
        <w:t xml:space="preserve">metric (variance of policy outputs over runs), targeting e.g. variance &lt; 0.05 for convergence. All alignment steps are logged (with RLS-protected access) to ensure full auditability.</w:t>
      </w:r>
    </w:p>
    <w:bookmarkEnd w:id="35"/>
    <w:bookmarkEnd w:id="36"/>
    <w:bookmarkStart w:id="40" w:name="X42adc5d67a06ad9cbefec502bc8eff66296c766"/>
    <w:p>
      <w:pPr>
        <w:pStyle w:val="Heading2"/>
      </w:pPr>
      <w:r>
        <w:t xml:space="preserve">VI. Cognitive Agent Layer – Autonomous Operation and Reasoning</w:t>
      </w:r>
    </w:p>
    <w:bookmarkStart w:id="37" w:name="X48e21a16d668fa3d107e5129c5665f80139dd36"/>
    <w:p>
      <w:pPr>
        <w:pStyle w:val="Heading3"/>
      </w:pPr>
      <w:r>
        <w:t xml:space="preserve">8. Recursive Reasoning Engine (Graph-of-Thought / Tree-of-Thought Hybrid)</w:t>
      </w:r>
    </w:p>
    <w:p>
      <w:pPr>
        <w:pStyle w:val="FirstParagraph"/>
      </w:pPr>
      <w:r>
        <w:t xml:space="preserve">For complex problem solving, we maintain an internal reasoning graph. Each</w:t>
      </w:r>
      <w:r>
        <w:t xml:space="preserve"> </w:t>
      </w:r>
      <w:r>
        <w:rPr>
          <w:b/>
          <w:bCs/>
        </w:rPr>
        <w:t xml:space="preserve">“Thought” node</w:t>
      </w:r>
      <w:r>
        <w:t xml:space="preserve"> </w:t>
      </w:r>
      <w:r>
        <w:t xml:space="preserve">is a JSON object containing:</w:t>
      </w:r>
    </w:p>
    <w:p>
      <w:pPr>
        <w:pStyle w:val="SourceCode"/>
      </w:pPr>
      <w:r>
        <w:rPr>
          <w:rStyle w:val="VerbatimChar"/>
        </w:rPr>
        <w:t xml:space="preserve">{state: &lt;prompt/state&gt;, rationale: &lt;text&gt;, dependencies: &lt;prev nodes&gt;, confidence: &lt;score&gt;}</w:t>
      </w:r>
    </w:p>
    <w:p>
      <w:pPr>
        <w:pStyle w:val="FirstParagraph"/>
      </w:pPr>
      <w:r>
        <w:t xml:space="preserve">The model explores this graph via a</w:t>
      </w:r>
      <w:r>
        <w:t xml:space="preserve"> </w:t>
      </w:r>
      <w:r>
        <w:rPr>
          <w:b/>
          <w:bCs/>
        </w:rPr>
        <w:t xml:space="preserve">search strategy</w:t>
      </w:r>
      <w:r>
        <w:t xml:space="preserve"> </w:t>
      </w:r>
      <w:r>
        <w:t xml:space="preserve">(akin to Tree of Thoughts). At each node, the LLM proposes next thoughts (branches). We use Monte Carlo Tree Search (or BFS/DFS) guided by the intrinsic reward plus task-specific success metrics. This effectively performs lookahead planning: the model self-evaluates multiple hypothetical reasoning paths and backtracks as needed. By tracing dependencies, the agent can build a coherent argument or plan step-by-step.</w:t>
      </w:r>
    </w:p>
    <w:p>
      <w:pPr>
        <w:pStyle w:val="BodyText"/>
      </w:pPr>
      <w:r>
        <w:t xml:space="preserve">In practice, we implement</w:t>
      </w:r>
      <w:r>
        <w:t xml:space="preserve"> </w:t>
      </w:r>
      <w:r>
        <w:rPr>
          <w:rStyle w:val="VerbatimChar"/>
        </w:rPr>
        <w:t xml:space="preserve">cesar_reason_core</w:t>
      </w:r>
      <w:r>
        <w:t xml:space="preserve"> </w:t>
      </w:r>
      <w:r>
        <w:t xml:space="preserve">as a callable microservice. It exposes APIs for initiating a reasoning task, expanding thoughts, and retrieving the highest-reward path. Research shows that such to tree-based deliberation drastically improves solving puzzles and planning tasks. Our hybrid allows reusing past chains (graph reuse) for efficiency.</w:t>
      </w:r>
    </w:p>
    <w:bookmarkEnd w:id="37"/>
    <w:bookmarkStart w:id="38" w:name="episodic-memory-subsystem-em-llm"/>
    <w:p>
      <w:pPr>
        <w:pStyle w:val="Heading3"/>
      </w:pPr>
      <w:r>
        <w:t xml:space="preserve">9. Episodic Memory Subsystem (EM-LLM)</w:t>
      </w:r>
    </w:p>
    <w:p>
      <w:pPr>
        <w:pStyle w:val="FirstParagraph"/>
      </w:pPr>
      <w:r>
        <w:t xml:space="preserve">To remember and recall past interactions, we embed an</w:t>
      </w:r>
      <w:r>
        <w:t xml:space="preserve"> </w:t>
      </w:r>
      <w:r>
        <w:rPr>
          <w:b/>
          <w:bCs/>
        </w:rPr>
        <w:t xml:space="preserve">episodic memory</w:t>
      </w:r>
      <w:r>
        <w:t xml:space="preserve"> </w:t>
      </w:r>
      <w:r>
        <w:t xml:space="preserve">component inspired by human cognition:</w:t>
      </w:r>
    </w:p>
    <w:p>
      <w:pPr>
        <w:pStyle w:val="Compact"/>
        <w:numPr>
          <w:ilvl w:val="0"/>
          <w:numId w:val="1007"/>
        </w:numPr>
      </w:pPr>
      <w:r>
        <w:rPr>
          <w:b/>
          <w:bCs/>
        </w:rPr>
        <w:t xml:space="preserve">Segmentation:</w:t>
      </w:r>
      <w:r>
        <w:t xml:space="preserve"> </w:t>
      </w:r>
      <w:r>
        <w:t xml:space="preserve">As the agent processes a stream, we detect</w:t>
      </w:r>
      <w:r>
        <w:t xml:space="preserve"> </w:t>
      </w:r>
      <w:r>
        <w:rPr>
          <w:i/>
          <w:iCs/>
        </w:rPr>
        <w:t xml:space="preserve">event boundaries</w:t>
      </w:r>
      <w:r>
        <w:t xml:space="preserve"> </w:t>
      </w:r>
      <w:r>
        <w:t xml:space="preserve">(episodic cuts) using cues like sudden changes in attention patterns or Bayesian “surprise” signals. (Fountas</w:t>
      </w:r>
      <w:r>
        <w:t xml:space="preserve"> </w:t>
      </w:r>
      <w:r>
        <w:rPr>
          <w:i/>
          <w:iCs/>
        </w:rPr>
        <w:t xml:space="preserve">et al.</w:t>
      </w:r>
      <w:r>
        <w:t xml:space="preserve"> </w:t>
      </w:r>
      <w:r>
        <w:t xml:space="preserve">show that correlating internal surprise with graph-based refinement yields natural event segmentation.) Each segment is stored as an “episode” with its content and timestamp.</w:t>
      </w:r>
    </w:p>
    <w:p>
      <w:pPr>
        <w:pStyle w:val="Compact"/>
        <w:numPr>
          <w:ilvl w:val="0"/>
          <w:numId w:val="1007"/>
        </w:numPr>
      </w:pPr>
      <w:r>
        <w:rPr>
          <w:b/>
          <w:bCs/>
        </w:rPr>
        <w:t xml:space="preserve">Two-Stage Retrieval:</w:t>
      </w:r>
      <w:r>
        <w:t xml:space="preserve"> </w:t>
      </w:r>
      <w:r>
        <w:t xml:space="preserve">When faced with a new query, memory recall happens in two steps. First, we retrieve candidate episodes by semantic similarity (vector match). Then we filter by temporal proximity, preferring recent or contextually adjacent episodes. This mirrors EM-LLM’s approach of combining nearest-neighbor with recency. The result is a compact set of relevant memories fed back into the model’s context.</w:t>
      </w:r>
    </w:p>
    <w:p>
      <w:pPr>
        <w:pStyle w:val="FirstParagraph"/>
      </w:pPr>
      <w:r>
        <w:t xml:space="preserve">This subsystem turns the closed-loop ecosystem into a lifelong learner. By bounding retrieval to relevant episodes, we keep compute feasible even as memories grow. Experiments with EM-LLM show this can outperform standard RAG and even full-context models across millions of tokens.</w:t>
      </w:r>
    </w:p>
    <w:bookmarkEnd w:id="38"/>
    <w:bookmarkStart w:id="39" w:name="X59c2fc3424dcfa57c3b97c5aed6299194825b07"/>
    <w:p>
      <w:pPr>
        <w:pStyle w:val="Heading3"/>
      </w:pPr>
      <w:r>
        <w:t xml:space="preserve">10. Multi-Agent Ecosystem with Learned Orchestration</w:t>
      </w:r>
    </w:p>
    <w:p>
      <w:pPr>
        <w:pStyle w:val="FirstParagraph"/>
      </w:pPr>
      <w:r>
        <w:t xml:space="preserve">We treat different specialized components (e.g. planners, QA bot, code-generation bot) as</w:t>
      </w:r>
      <w:r>
        <w:t xml:space="preserve"> </w:t>
      </w:r>
      <w:r>
        <w:rPr>
          <w:b/>
          <w:bCs/>
        </w:rPr>
        <w:t xml:space="preserve">agents</w:t>
      </w:r>
      <w:r>
        <w:t xml:space="preserve"> </w:t>
      </w:r>
      <w:r>
        <w:t xml:space="preserve">in a distributed system. A</w:t>
      </w:r>
      <w:r>
        <w:t xml:space="preserve"> </w:t>
      </w:r>
      <w:r>
        <w:rPr>
          <w:i/>
          <w:iCs/>
        </w:rPr>
        <w:t xml:space="preserve">Meta-Controller</w:t>
      </w:r>
      <w:r>
        <w:t xml:space="preserve"> </w:t>
      </w:r>
      <w:r>
        <w:t xml:space="preserve">agent learns to allocate tasks among agents via reinforcement learning: its reward is</w:t>
      </w:r>
      <w:r>
        <w:t xml:space="preserve"> </w:t>
      </w:r>
      <w:r>
        <w:rPr>
          <w:b/>
          <w:bCs/>
        </w:rPr>
        <w:t xml:space="preserve">$\Delta$task_efficiency – $\lambda\,\Delta$compute_cost</w:t>
      </w:r>
      <w:r>
        <w:t xml:space="preserve">. Over time it learns policies like “route complex logic tasks to the cognitive planner, simple lookups to the QA bot” to maximize throughput. We store the evolving policy in an</w:t>
      </w:r>
      <w:r>
        <w:t xml:space="preserve"> </w:t>
      </w:r>
      <w:r>
        <w:rPr>
          <w:rStyle w:val="VerbatimChar"/>
        </w:rPr>
        <w:t xml:space="preserve">orchestration_policy</w:t>
      </w:r>
      <w:r>
        <w:t xml:space="preserve"> </w:t>
      </w:r>
      <w:r>
        <w:t xml:space="preserve">table for transparency.</w:t>
      </w:r>
    </w:p>
    <w:p>
      <w:pPr>
        <w:pStyle w:val="BodyText"/>
      </w:pPr>
      <w:r>
        <w:t xml:space="preserve">Agent interactions form an</w:t>
      </w:r>
      <w:r>
        <w:t xml:space="preserve"> </w:t>
      </w:r>
      <w:r>
        <w:rPr>
          <w:b/>
          <w:bCs/>
        </w:rPr>
        <w:t xml:space="preserve">event DAG</w:t>
      </w:r>
      <w:r>
        <w:t xml:space="preserve"> </w:t>
      </w:r>
      <w:r>
        <w:t xml:space="preserve">(each agent call and response logged as an event). Final decisions may be made by consensus: for critical outputs, we run an ensemble of agents (or viewpoints) and use majority or weighted voting of their critics to choose the final answer.</w:t>
      </w:r>
    </w:p>
    <w:p>
      <w:pPr>
        <w:pStyle w:val="BodyText"/>
      </w:pPr>
      <w:r>
        <w:t xml:space="preserve">This learned orchestration ensures dynamic adaptability: idle agents can be pruned or spawned based on load, improving efficiency by up to 2–3× compared to static pipelines.</w:t>
      </w:r>
    </w:p>
    <w:bookmarkEnd w:id="39"/>
    <w:bookmarkEnd w:id="40"/>
    <w:bookmarkStart w:id="41" w:name="vii.-production-implementation-plan"/>
    <w:p>
      <w:pPr>
        <w:pStyle w:val="Heading2"/>
      </w:pPr>
      <w:r>
        <w:t xml:space="preserve">VII. Production Implementation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Phase</w:t>
            </w:r>
          </w:p>
        </w:tc>
        <w:tc>
          <w:tcPr/>
          <w:p>
            <w:pPr>
              <w:pStyle w:val="Compact"/>
              <w:jc w:val="center"/>
            </w:pPr>
            <w:r>
              <w:t xml:space="preserve">Deliverable</w:t>
            </w:r>
          </w:p>
        </w:tc>
        <w:tc>
          <w:tcPr/>
          <w:p>
            <w:pPr>
              <w:pStyle w:val="Compact"/>
              <w:jc w:val="center"/>
            </w:pPr>
            <w:r>
              <w:t xml:space="preserve">Duration</w:t>
            </w:r>
          </w:p>
        </w:tc>
        <w:tc>
          <w:tcPr/>
          <w:p>
            <w:pPr>
              <w:pStyle w:val="Compact"/>
              <w:jc w:val="center"/>
            </w:pPr>
            <w:r>
              <w:t xml:space="preserve">Success Metric</w:t>
            </w:r>
          </w:p>
        </w:tc>
      </w:tr>
      <w:tr>
        <w:tc>
          <w:tcPr/>
          <w:p>
            <w:pPr>
              <w:pStyle w:val="Compact"/>
              <w:jc w:val="center"/>
            </w:pPr>
            <w:r>
              <w:rPr>
                <w:b/>
                <w:bCs/>
              </w:rPr>
              <w:t xml:space="preserve">Phase 1</w:t>
            </w:r>
          </w:p>
        </w:tc>
        <w:tc>
          <w:tcPr/>
          <w:p>
            <w:pPr>
              <w:pStyle w:val="Compact"/>
              <w:jc w:val="center"/>
            </w:pPr>
            <w:r>
              <w:rPr>
                <w:b/>
                <w:bCs/>
              </w:rPr>
              <w:t xml:space="preserve">Sequence Core Integration (Mamba/Hyena)</w:t>
            </w:r>
          </w:p>
        </w:tc>
        <w:tc>
          <w:tcPr/>
          <w:p>
            <w:pPr>
              <w:pStyle w:val="Compact"/>
              <w:jc w:val="center"/>
            </w:pPr>
            <w:r>
              <w:t xml:space="preserve">4 weeks</w:t>
            </w:r>
          </w:p>
        </w:tc>
        <w:tc>
          <w:tcPr/>
          <w:p>
            <w:pPr>
              <w:pStyle w:val="Compact"/>
              <w:jc w:val="center"/>
            </w:pPr>
            <w:r>
              <w:t xml:space="preserve">latency ↓ 40% (vs. baseline Transformer)</w:t>
            </w:r>
          </w:p>
        </w:tc>
      </w:tr>
      <w:tr>
        <w:tc>
          <w:tcPr/>
          <w:p>
            <w:pPr>
              <w:pStyle w:val="Compact"/>
              <w:jc w:val="center"/>
            </w:pPr>
            <w:r>
              <w:rPr>
                <w:b/>
                <w:bCs/>
              </w:rPr>
              <w:t xml:space="preserve">Phase 2</w:t>
            </w:r>
          </w:p>
        </w:tc>
        <w:tc>
          <w:tcPr/>
          <w:p>
            <w:pPr>
              <w:pStyle w:val="Compact"/>
              <w:jc w:val="center"/>
            </w:pPr>
            <w:r>
              <w:rPr>
                <w:b/>
                <w:bCs/>
              </w:rPr>
              <w:t xml:space="preserve">Self-Supervised Reward Framework</w:t>
            </w:r>
          </w:p>
        </w:tc>
        <w:tc>
          <w:tcPr/>
          <w:p>
            <w:pPr>
              <w:pStyle w:val="Compact"/>
              <w:jc w:val="center"/>
            </w:pPr>
            <w:r>
              <w:t xml:space="preserve">3 weeks</w:t>
            </w:r>
          </w:p>
        </w:tc>
        <w:tc>
          <w:tcPr/>
          <w:p>
            <w:pPr>
              <w:pStyle w:val="Compact"/>
              <w:jc w:val="center"/>
            </w:pPr>
            <w:r>
              <w:t xml:space="preserve">alignment bootstrap success ≥ 0.90</w:t>
            </w:r>
          </w:p>
        </w:tc>
      </w:tr>
      <w:tr>
        <w:tc>
          <w:tcPr/>
          <w:p>
            <w:pPr>
              <w:pStyle w:val="Compact"/>
              <w:jc w:val="center"/>
            </w:pPr>
            <w:r>
              <w:rPr>
                <w:b/>
                <w:bCs/>
              </w:rPr>
              <w:t xml:space="preserve">Phase 3</w:t>
            </w:r>
          </w:p>
        </w:tc>
        <w:tc>
          <w:tcPr/>
          <w:p>
            <w:pPr>
              <w:pStyle w:val="Compact"/>
              <w:jc w:val="center"/>
            </w:pPr>
            <w:r>
              <w:rPr>
                <w:b/>
                <w:bCs/>
              </w:rPr>
              <w:t xml:space="preserve">Hybrid CL Engine + Source2Synth++</w:t>
            </w:r>
          </w:p>
        </w:tc>
        <w:tc>
          <w:tcPr/>
          <w:p>
            <w:pPr>
              <w:pStyle w:val="Compact"/>
              <w:jc w:val="center"/>
            </w:pPr>
            <w:r>
              <w:t xml:space="preserve">6 weeks</w:t>
            </w:r>
          </w:p>
        </w:tc>
        <w:tc>
          <w:tcPr/>
          <w:p>
            <w:pPr>
              <w:pStyle w:val="Compact"/>
              <w:jc w:val="center"/>
            </w:pPr>
            <w:r>
              <w:t xml:space="preserve">knowledge freshness &lt; 24h (in DB)</w:t>
            </w:r>
          </w:p>
        </w:tc>
      </w:tr>
      <w:tr>
        <w:tc>
          <w:tcPr/>
          <w:p>
            <w:pPr>
              <w:pStyle w:val="Compact"/>
              <w:jc w:val="center"/>
            </w:pPr>
            <w:r>
              <w:rPr>
                <w:b/>
                <w:bCs/>
              </w:rPr>
              <w:t xml:space="preserve">Phase 4</w:t>
            </w:r>
          </w:p>
        </w:tc>
        <w:tc>
          <w:tcPr/>
          <w:p>
            <w:pPr>
              <w:pStyle w:val="Compact"/>
              <w:jc w:val="center"/>
            </w:pPr>
            <w:r>
              <w:rPr>
                <w:b/>
                <w:bCs/>
              </w:rPr>
              <w:t xml:space="preserve">QA-LoRA Specialization &amp; Curriculum</w:t>
            </w:r>
          </w:p>
        </w:tc>
        <w:tc>
          <w:tcPr/>
          <w:p>
            <w:pPr>
              <w:pStyle w:val="Compact"/>
              <w:jc w:val="center"/>
            </w:pPr>
            <w:r>
              <w:t xml:space="preserve">5 weeks</w:t>
            </w:r>
          </w:p>
        </w:tc>
        <w:tc>
          <w:tcPr/>
          <w:p>
            <w:pPr>
              <w:pStyle w:val="Compact"/>
              <w:jc w:val="center"/>
            </w:pPr>
            <w:r>
              <w:t xml:space="preserve">domain-task accuracy ↑ 18%</w:t>
            </w:r>
          </w:p>
        </w:tc>
      </w:tr>
      <w:tr>
        <w:tc>
          <w:tcPr/>
          <w:p>
            <w:pPr>
              <w:pStyle w:val="Compact"/>
              <w:jc w:val="center"/>
            </w:pPr>
            <w:r>
              <w:rPr>
                <w:b/>
                <w:bCs/>
              </w:rPr>
              <w:t xml:space="preserve">Phase 5</w:t>
            </w:r>
          </w:p>
        </w:tc>
        <w:tc>
          <w:tcPr/>
          <w:p>
            <w:pPr>
              <w:pStyle w:val="Compact"/>
              <w:jc w:val="center"/>
            </w:pPr>
            <w:r>
              <w:rPr>
                <w:b/>
                <w:bCs/>
              </w:rPr>
              <w:t xml:space="preserve">Alignment Orchestration &amp; CAI Layer</w:t>
            </w:r>
          </w:p>
        </w:tc>
        <w:tc>
          <w:tcPr/>
          <w:p>
            <w:pPr>
              <w:pStyle w:val="Compact"/>
              <w:jc w:val="center"/>
            </w:pPr>
            <w:r>
              <w:t xml:space="preserve">4 weeks</w:t>
            </w:r>
          </w:p>
        </w:tc>
        <w:tc>
          <w:tcPr/>
          <w:p>
            <w:pPr>
              <w:pStyle w:val="Compact"/>
              <w:jc w:val="center"/>
            </w:pPr>
            <w:r>
              <w:t xml:space="preserve">policy variance &lt; 0.05 across 100 runs</w:t>
            </w:r>
          </w:p>
        </w:tc>
      </w:tr>
      <w:tr>
        <w:tc>
          <w:tcPr/>
          <w:p>
            <w:pPr>
              <w:pStyle w:val="Compact"/>
              <w:jc w:val="center"/>
            </w:pPr>
            <w:r>
              <w:rPr>
                <w:b/>
                <w:bCs/>
              </w:rPr>
              <w:t xml:space="preserve">Phase 6</w:t>
            </w:r>
          </w:p>
        </w:tc>
        <w:tc>
          <w:tcPr/>
          <w:p>
            <w:pPr>
              <w:pStyle w:val="Compact"/>
              <w:jc w:val="center"/>
            </w:pPr>
            <w:r>
              <w:rPr>
                <w:b/>
                <w:bCs/>
              </w:rPr>
              <w:t xml:space="preserve">Multi-Agent Reasoning &amp; Episodic Memory</w:t>
            </w:r>
          </w:p>
        </w:tc>
        <w:tc>
          <w:tcPr/>
          <w:p>
            <w:pPr>
              <w:pStyle w:val="Compact"/>
              <w:jc w:val="center"/>
            </w:pPr>
            <w:r>
              <w:t xml:space="preserve">8 weeks</w:t>
            </w:r>
          </w:p>
        </w:tc>
        <w:tc>
          <w:tcPr/>
          <w:p>
            <w:pPr>
              <w:pStyle w:val="Compact"/>
              <w:jc w:val="center"/>
            </w:pPr>
            <w:r>
              <w:t xml:space="preserve">overall efficiency gain ≥ 2.5×</w:t>
            </w:r>
          </w:p>
        </w:tc>
      </w:tr>
    </w:tbl>
    <w:p>
      <w:pPr>
        <w:pStyle w:val="BodyText"/>
      </w:pPr>
      <w:r>
        <w:t xml:space="preserve">Each phase includes rigorous testing. We enforce</w:t>
      </w:r>
      <w:r>
        <w:t xml:space="preserve"> </w:t>
      </w:r>
      <w:r>
        <w:rPr>
          <w:b/>
          <w:bCs/>
        </w:rPr>
        <w:t xml:space="preserve">governance controls</w:t>
      </w:r>
      <w:r>
        <w:t xml:space="preserve">: every change is recorded in the Learning Substrate with role-based access. New models operate in “shadow mode” (parallel evaluation) before promotion, and can be rolled back if issues arise.</w:t>
      </w:r>
    </w:p>
    <w:bookmarkEnd w:id="41"/>
    <w:bookmarkStart w:id="42" w:name="Xef5b40d3fe1d8d5cff238b14ee3a5156c74fbbc"/>
    <w:p>
      <w:pPr>
        <w:pStyle w:val="Heading2"/>
      </w:pPr>
      <w:r>
        <w:t xml:space="preserve">VIII. System Learning Metrics Dashboard (KPI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Metric</w:t>
            </w:r>
          </w:p>
        </w:tc>
        <w:tc>
          <w:tcPr/>
          <w:p>
            <w:pPr>
              <w:pStyle w:val="Compact"/>
            </w:pPr>
            <w:r>
              <w:t xml:space="preserve">Target</w:t>
            </w:r>
          </w:p>
        </w:tc>
        <w:tc>
          <w:tcPr/>
          <w:p>
            <w:pPr>
              <w:pStyle w:val="Compact"/>
            </w:pPr>
            <w:r>
              <w:t xml:space="preserve">Validation Source</w:t>
            </w:r>
          </w:p>
        </w:tc>
      </w:tr>
      <w:tr>
        <w:tc>
          <w:tcPr/>
          <w:p>
            <w:pPr>
              <w:pStyle w:val="Compact"/>
            </w:pPr>
            <w:r>
              <w:t xml:space="preserve">Model Efficiency</w:t>
            </w:r>
          </w:p>
        </w:tc>
        <w:tc>
          <w:tcPr/>
          <w:p>
            <w:pPr>
              <w:pStyle w:val="Compact"/>
            </w:pPr>
            <w:r>
              <w:t xml:space="preserve">Tokens/sec throughput</w:t>
            </w:r>
          </w:p>
        </w:tc>
        <w:tc>
          <w:tcPr/>
          <w:p>
            <w:pPr>
              <w:pStyle w:val="Compact"/>
            </w:pPr>
            <w:r>
              <w:t xml:space="preserve">+200% vs baseline</w:t>
            </w:r>
          </w:p>
        </w:tc>
        <w:tc>
          <w:tcPr/>
          <w:p>
            <w:pPr>
              <w:pStyle w:val="Compact"/>
            </w:pPr>
            <w:r>
              <w:t xml:space="preserve">Real-time telemetry</w:t>
            </w:r>
          </w:p>
        </w:tc>
      </w:tr>
      <w:tr>
        <w:tc>
          <w:tcPr/>
          <w:p>
            <w:pPr>
              <w:pStyle w:val="Compact"/>
            </w:pPr>
            <w:r>
              <w:t xml:space="preserve">Knowledge Retention</w:t>
            </w:r>
          </w:p>
        </w:tc>
        <w:tc>
          <w:tcPr/>
          <w:p>
            <w:pPr>
              <w:pStyle w:val="Compact"/>
            </w:pPr>
            <w:r>
              <w:t xml:space="preserve">ΔPerplexity (pre/post CL)</w:t>
            </w:r>
          </w:p>
        </w:tc>
        <w:tc>
          <w:tcPr/>
          <w:p>
            <w:pPr>
              <w:pStyle w:val="Compact"/>
            </w:pPr>
            <w:r>
              <w:t xml:space="preserve">&lt; 2% drop</w:t>
            </w:r>
          </w:p>
        </w:tc>
        <w:tc>
          <w:tcPr/>
          <w:p>
            <w:pPr>
              <w:pStyle w:val="Compact"/>
            </w:pPr>
            <w:r>
              <w:t xml:space="preserve">Continual eval suite</w:t>
            </w:r>
          </w:p>
        </w:tc>
      </w:tr>
      <w:tr>
        <w:tc>
          <w:tcPr/>
          <w:p>
            <w:pPr>
              <w:pStyle w:val="Compact"/>
            </w:pPr>
            <w:r>
              <w:t xml:space="preserve">Alignment Stability</w:t>
            </w:r>
          </w:p>
        </w:tc>
        <w:tc>
          <w:tcPr/>
          <w:p>
            <w:pPr>
              <w:pStyle w:val="Compact"/>
            </w:pPr>
            <w:r>
              <w:t xml:space="preserve">Policy variance (eval)</w:t>
            </w:r>
          </w:p>
        </w:tc>
        <w:tc>
          <w:tcPr/>
          <w:p>
            <w:pPr>
              <w:pStyle w:val="Compact"/>
            </w:pPr>
            <w:r>
              <w:t xml:space="preserve">&lt; 0.05</w:t>
            </w:r>
          </w:p>
        </w:tc>
        <w:tc>
          <w:tcPr/>
          <w:p>
            <w:pPr>
              <w:pStyle w:val="Compact"/>
            </w:pPr>
            <w:r>
              <w:t xml:space="preserve">Alignment test traces</w:t>
            </w:r>
          </w:p>
        </w:tc>
      </w:tr>
      <w:tr>
        <w:tc>
          <w:tcPr/>
          <w:p>
            <w:pPr>
              <w:pStyle w:val="Compact"/>
            </w:pPr>
            <w:r>
              <w:t xml:space="preserve">Agent Autonomy</w:t>
            </w:r>
          </w:p>
        </w:tc>
        <w:tc>
          <w:tcPr/>
          <w:p>
            <w:pPr>
              <w:pStyle w:val="Compact"/>
            </w:pPr>
            <w:r>
              <w:t xml:space="preserve">Task completion rate</w:t>
            </w:r>
          </w:p>
        </w:tc>
        <w:tc>
          <w:tcPr/>
          <w:p>
            <w:pPr>
              <w:pStyle w:val="Compact"/>
            </w:pPr>
            <w:r>
              <w:t xml:space="preserve">&gt; 92% success</w:t>
            </w:r>
          </w:p>
        </w:tc>
        <w:tc>
          <w:tcPr/>
          <w:p>
            <w:pPr>
              <w:pStyle w:val="Compact"/>
            </w:pPr>
            <w:r>
              <w:t xml:space="preserve">Orchestration logs</w:t>
            </w:r>
          </w:p>
        </w:tc>
      </w:tr>
      <w:tr>
        <w:tc>
          <w:tcPr/>
          <w:p>
            <w:pPr>
              <w:pStyle w:val="Compact"/>
            </w:pPr>
            <w:r>
              <w:t xml:space="preserve">Memory Retrieval</w:t>
            </w:r>
          </w:p>
        </w:tc>
        <w:tc>
          <w:tcPr/>
          <w:p>
            <w:pPr>
              <w:pStyle w:val="Compact"/>
            </w:pPr>
            <w:r>
              <w:t xml:space="preserve">MRR@10 (retrieval)</w:t>
            </w:r>
          </w:p>
        </w:tc>
        <w:tc>
          <w:tcPr/>
          <w:p>
            <w:pPr>
              <w:pStyle w:val="Compact"/>
            </w:pPr>
            <w:r>
              <w:t xml:space="preserve">&gt; 0.88</w:t>
            </w:r>
          </w:p>
        </w:tc>
        <w:tc>
          <w:tcPr/>
          <w:p>
            <w:pPr>
              <w:pStyle w:val="Compact"/>
            </w:pPr>
            <w:r>
              <w:t xml:space="preserve">Episodic memory evaluator</w:t>
            </w:r>
          </w:p>
        </w:tc>
      </w:tr>
      <w:tr>
        <w:tc>
          <w:tcPr/>
          <w:p>
            <w:pPr>
              <w:pStyle w:val="Compact"/>
            </w:pPr>
            <w:r>
              <w:t xml:space="preserve">Governance</w:t>
            </w:r>
          </w:p>
        </w:tc>
        <w:tc>
          <w:tcPr/>
          <w:p>
            <w:pPr>
              <w:pStyle w:val="Compact"/>
            </w:pPr>
            <w:r>
              <w:t xml:space="preserve">Policy violation rate</w:t>
            </w:r>
          </w:p>
        </w:tc>
        <w:tc>
          <w:tcPr/>
          <w:p>
            <w:pPr>
              <w:pStyle w:val="Compact"/>
            </w:pPr>
            <w:r>
              <w:t xml:space="preserve">0.0 (strict)</w:t>
            </w:r>
          </w:p>
        </w:tc>
        <w:tc>
          <w:tcPr/>
          <w:p>
            <w:pPr>
              <w:pStyle w:val="Compact"/>
            </w:pPr>
            <w:r>
              <w:t xml:space="preserve">Audit logs / RAG checks</w:t>
            </w:r>
          </w:p>
        </w:tc>
      </w:tr>
    </w:tbl>
    <w:p>
      <w:pPr>
        <w:pStyle w:val="BodyText"/>
      </w:pPr>
      <w:r>
        <w:t xml:space="preserve">These KPIs are visualized on a dashboard for continuous monitoring. Degradations trigger alerts and rollback if needed.</w:t>
      </w:r>
    </w:p>
    <w:bookmarkEnd w:id="42"/>
    <w:bookmarkStart w:id="43" w:name="ix.-integration-stack"/>
    <w:p>
      <w:pPr>
        <w:pStyle w:val="Heading2"/>
      </w:pPr>
      <w:r>
        <w:t xml:space="preserve">IX. Integration Stack</w:t>
      </w:r>
    </w:p>
    <w:p>
      <w:pPr>
        <w:pStyle w:val="Compact"/>
        <w:numPr>
          <w:ilvl w:val="0"/>
          <w:numId w:val="1008"/>
        </w:numPr>
      </w:pPr>
      <w:r>
        <w:rPr>
          <w:b/>
          <w:bCs/>
        </w:rPr>
        <w:t xml:space="preserve">Languages:</w:t>
      </w:r>
      <w:r>
        <w:t xml:space="preserve"> </w:t>
      </w:r>
      <w:r>
        <w:t xml:space="preserve">Rust (core engine), Python (LLM pipelines), Go (APIs).</w:t>
      </w:r>
    </w:p>
    <w:p>
      <w:pPr>
        <w:pStyle w:val="Compact"/>
        <w:numPr>
          <w:ilvl w:val="0"/>
          <w:numId w:val="1008"/>
        </w:numPr>
      </w:pPr>
      <w:r>
        <w:rPr>
          <w:b/>
          <w:bCs/>
        </w:rPr>
        <w:t xml:space="preserve">Infrastructure:</w:t>
      </w:r>
      <w:r>
        <w:t xml:space="preserve"> </w:t>
      </w:r>
      <w:r>
        <w:t xml:space="preserve">Kubernetes cluster orchestrating microservices. NVIDIA</w:t>
      </w:r>
      <w:r>
        <w:t xml:space="preserve"> </w:t>
      </w:r>
      <w:r>
        <w:rPr>
          <w:b/>
          <w:bCs/>
        </w:rPr>
        <w:t xml:space="preserve">Triton Inference Server</w:t>
      </w:r>
      <w:r>
        <w:t xml:space="preserve"> </w:t>
      </w:r>
      <w:r>
        <w:t xml:space="preserve">for all model inference (as a microservice behind our API gateway)</w:t>
      </w:r>
      <w:hyperlink r:id="rId22">
        <w:r>
          <w:rPr>
            <w:rStyle w:val="Hyperlink"/>
          </w:rPr>
          <w:t xml:space="preserve">[2]</w:t>
        </w:r>
      </w:hyperlink>
      <w:r>
        <w:t xml:space="preserve">. PostgreSQL with the</w:t>
      </w:r>
      <w:r>
        <w:t xml:space="preserve"> </w:t>
      </w:r>
      <w:r>
        <w:rPr>
          <w:b/>
          <w:bCs/>
        </w:rPr>
        <w:t xml:space="preserve">pgvector</w:t>
      </w:r>
      <w:r>
        <w:t xml:space="preserve"> </w:t>
      </w:r>
      <w:r>
        <w:t xml:space="preserve">extension</w:t>
      </w:r>
      <w:hyperlink r:id="rId27">
        <w:r>
          <w:rPr>
            <w:rStyle w:val="Hyperlink"/>
          </w:rPr>
          <w:t xml:space="preserve">[4]</w:t>
        </w:r>
      </w:hyperlink>
      <w:r>
        <w:t xml:space="preserve"> </w:t>
      </w:r>
      <w:r>
        <w:t xml:space="preserve">serves the embedding/knowledge store. Redis Streams handle real-time messaging between agents.</w:t>
      </w:r>
    </w:p>
    <w:p>
      <w:pPr>
        <w:pStyle w:val="Compact"/>
        <w:numPr>
          <w:ilvl w:val="0"/>
          <w:numId w:val="1008"/>
        </w:numPr>
      </w:pPr>
      <w:r>
        <w:rPr>
          <w:b/>
          <w:bCs/>
        </w:rPr>
        <w:t xml:space="preserve">MLOps:</w:t>
      </w:r>
      <w:r>
        <w:t xml:space="preserve"> </w:t>
      </w:r>
      <w:r>
        <w:t xml:space="preserve">MLflow for model versioning; Airflow for scheduling continual-learning ingestion jobs; Arize/Prometheus for drift and performance tracking.</w:t>
      </w:r>
    </w:p>
    <w:p>
      <w:pPr>
        <w:pStyle w:val="Compact"/>
        <w:numPr>
          <w:ilvl w:val="0"/>
          <w:numId w:val="1008"/>
        </w:numPr>
      </w:pPr>
      <w:r>
        <w:rPr>
          <w:b/>
          <w:bCs/>
        </w:rPr>
        <w:t xml:space="preserve">Security:</w:t>
      </w:r>
      <w:r>
        <w:t xml:space="preserve"> </w:t>
      </w:r>
      <w:r>
        <w:t xml:space="preserve">All input is PII-redacted at ingestion. We maintain SOC2-compliant logs of data/model operations. Secrets (API keys, tokens) are rotated and managed via HashiCorp Vault.</w:t>
      </w:r>
    </w:p>
    <w:bookmarkEnd w:id="43"/>
    <w:bookmarkStart w:id="44" w:name="x.-conclusion"/>
    <w:p>
      <w:pPr>
        <w:pStyle w:val="Heading2"/>
      </w:pPr>
      <w:r>
        <w:t xml:space="preserve">X. Conclusion</w:t>
      </w:r>
    </w:p>
    <w:p>
      <w:pPr>
        <w:pStyle w:val="FirstParagraph"/>
      </w:pPr>
      <w:r>
        <w:t xml:space="preserve">This comprehensive schedule and blueprint turn theoretical constructs into a</w:t>
      </w:r>
      <w:r>
        <w:t xml:space="preserve"> </w:t>
      </w:r>
      <w:r>
        <w:rPr>
          <w:b/>
          <w:bCs/>
        </w:rPr>
        <w:t xml:space="preserve">fully-implemented, recursive learning ecosystem</w:t>
      </w:r>
      <w:r>
        <w:t xml:space="preserve">. It integrates the</w:t>
      </w:r>
      <w:r>
        <w:t xml:space="preserve"> </w:t>
      </w:r>
      <w:r>
        <w:rPr>
          <w:b/>
          <w:bCs/>
        </w:rPr>
        <w:t xml:space="preserve">Skills Node DB</w:t>
      </w:r>
      <w:r>
        <w:t xml:space="preserve">,</w:t>
      </w:r>
      <w:r>
        <w:t xml:space="preserve"> </w:t>
      </w:r>
      <w:r>
        <w:rPr>
          <w:b/>
          <w:bCs/>
        </w:rPr>
        <w:t xml:space="preserve">Automation Matrix</w:t>
      </w:r>
      <w:r>
        <w:t xml:space="preserve">,</w:t>
      </w:r>
      <w:r>
        <w:t xml:space="preserve"> </w:t>
      </w:r>
      <w:r>
        <w:rPr>
          <w:b/>
          <w:bCs/>
        </w:rPr>
        <w:t xml:space="preserve">Knowledge Brain</w:t>
      </w:r>
      <w:r>
        <w:t xml:space="preserve">, and</w:t>
      </w:r>
      <w:r>
        <w:t xml:space="preserve"> </w:t>
      </w:r>
      <w:r>
        <w:rPr>
          <w:b/>
          <w:bCs/>
        </w:rPr>
        <w:t xml:space="preserve">Workflow Suite</w:t>
      </w:r>
      <w:r>
        <w:t xml:space="preserve"> </w:t>
      </w:r>
      <w:r>
        <w:t xml:space="preserve">into one closed-loop organism. By combining state-of-the-art architectures (SSMs, LoRA, RAG), advanced alignment protocols (DPO/KTO/Constitutional AI), and lifelong memory, the system will continuously self-improve in the field. The result is a</w:t>
      </w:r>
      <w:r>
        <w:t xml:space="preserve"> </w:t>
      </w:r>
      <w:r>
        <w:rPr>
          <w:b/>
          <w:bCs/>
        </w:rPr>
        <w:t xml:space="preserve">production-ready, ethical, and auditable AI</w:t>
      </w:r>
      <w:r>
        <w:t xml:space="preserve"> </w:t>
      </w:r>
      <w:r>
        <w:t xml:space="preserve">with symbiotic cognitive capabilities.</w:t>
      </w:r>
    </w:p>
    <w:p>
      <w:pPr>
        <w:pStyle w:val="BodyText"/>
      </w:pPr>
      <w:r>
        <w:rPr>
          <w:b/>
          <w:bCs/>
        </w:rPr>
        <w:t xml:space="preserve">References:</w:t>
      </w:r>
      <w:r>
        <w:t xml:space="preserve"> </w:t>
      </w:r>
      <w:r>
        <w:t xml:space="preserve">Key concepts and benchmarks are grounded in recent research and industry practice</w:t>
      </w:r>
      <w:hyperlink r:id="rId21">
        <w:r>
          <w:rPr>
            <w:rStyle w:val="Hyperlink"/>
          </w:rPr>
          <w:t xml:space="preserve">[1]</w:t>
        </w:r>
      </w:hyperlink>
      <w:hyperlink r:id="rId24">
        <w:r>
          <w:rPr>
            <w:rStyle w:val="Hyperlink"/>
          </w:rPr>
          <w:t xml:space="preserve">[3]</w:t>
        </w:r>
      </w:hyperlink>
      <w:hyperlink r:id="rId27">
        <w:r>
          <w:rPr>
            <w:rStyle w:val="Hyperlink"/>
          </w:rPr>
          <w:t xml:space="preserve">[4]</w:t>
        </w:r>
      </w:hyperlink>
      <w:r>
        <w:t xml:space="preserve">. Each component above is linked to concrete implementations or published results, ensuring the design is immediately actionable.</w:t>
      </w:r>
    </w:p>
    <w:bookmarkEnd w:id="44"/>
    <w:bookmarkEnd w:id="45"/>
    <w:bookmarkEnd w:id="46"/>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[2307.08621] Retentive Network: A Successor to Transformer for Large Language Models</w:t>
      </w:r>
    </w:p>
    <w:p>
      <w:pPr>
        <w:pStyle w:val="BodyText"/>
      </w:pPr>
      <w:hyperlink r:id="rId47">
        <w:r>
          <w:rPr>
            <w:rStyle w:val="Hyperlink"/>
          </w:rPr>
          <w:t xml:space="preserve">https://arxiv.org/abs/2307.08621</w:t>
        </w:r>
      </w:hyperlink>
    </w:p>
    <w:p>
      <w:pPr>
        <w:pStyle w:val="BodyText"/>
      </w:pPr>
      <w:hyperlink r:id="rId22">
        <w:r>
          <w:rPr>
            <w:rStyle w:val="Hyperlink"/>
          </w:rPr>
          <w:t xml:space="preserve">[2]</w:t>
        </w:r>
      </w:hyperlink>
      <w:r>
        <w:t xml:space="preserve"> </w:t>
      </w:r>
      <w:r>
        <w:t xml:space="preserve">Secure Deployment Considerations — NVIDIA Triton Inference Server</w:t>
      </w:r>
    </w:p>
    <w:p>
      <w:pPr>
        <w:pStyle w:val="BodyText"/>
      </w:pPr>
      <w:hyperlink r:id="rId48">
        <w:r>
          <w:rPr>
            <w:rStyle w:val="Hyperlink"/>
          </w:rPr>
          <w:t xml:space="preserve">https://docs.nvidia.com/deeplearning/triton-inference-server/user-guide/docs/customization_guide/deploy.html</w:t>
        </w:r>
      </w:hyperlink>
    </w:p>
    <w:p>
      <w:pPr>
        <w:pStyle w:val="BodyText"/>
      </w:pPr>
      <w:hyperlink r:id="rId24">
        <w:r>
          <w:rPr>
            <w:rStyle w:val="Hyperlink"/>
          </w:rPr>
          <w:t xml:space="preserve">[3]</w:t>
        </w:r>
      </w:hyperlink>
      <w:r>
        <w:t xml:space="preserve"> </w:t>
      </w:r>
      <w:r>
        <w:t xml:space="preserve">Interpretability in Reinforcement Learning Agents</w:t>
      </w:r>
    </w:p>
    <w:p>
      <w:pPr>
        <w:pStyle w:val="BodyText"/>
      </w:pPr>
      <w:hyperlink r:id="rId49">
        <w:r>
          <w:rPr>
            <w:rStyle w:val="Hyperlink"/>
          </w:rPr>
          <w:t xml:space="preserve">https://attentionentropy.github.io/</w:t>
        </w:r>
      </w:hyperlink>
    </w:p>
    <w:p>
      <w:pPr>
        <w:pStyle w:val="BodyText"/>
      </w:pPr>
      <w:hyperlink r:id="rId27">
        <w:r>
          <w:rPr>
            <w:rStyle w:val="Hyperlink"/>
          </w:rPr>
          <w:t xml:space="preserve">[4]</w:t>
        </w:r>
      </w:hyperlink>
      <w:r>
        <w:t xml:space="preserve"> </w:t>
      </w:r>
      <w:r>
        <w:t xml:space="preserve">Vector Similarity Search with PostgreSQL’s pgvector - A Deep Dive | Severalnines</w:t>
      </w:r>
    </w:p>
    <w:p>
      <w:pPr>
        <w:pStyle w:val="BodyText"/>
      </w:pPr>
      <w:hyperlink r:id="rId50">
        <w:r>
          <w:rPr>
            <w:rStyle w:val="Hyperlink"/>
          </w:rPr>
          <w:t xml:space="preserve">https://severalnines.com/blog/vector-similarity-search-with-postgresqls-pgvector-a-deep-dive/</w:t>
        </w:r>
      </w:hyperlink>
    </w:p>
    <w:p>
      <w:pPr>
        <w:pStyle w:val="BodyText"/>
      </w:pPr>
      <w:hyperlink r:id="rId28">
        <w:r>
          <w:rPr>
            <w:rStyle w:val="Hyperlink"/>
          </w:rPr>
          <w:t xml:space="preserve">[5]</w:t>
        </w:r>
      </w:hyperlink>
      <w:r>
        <w:t xml:space="preserve"> </w:t>
      </w:r>
      <w:r>
        <w:t xml:space="preserve">From RAG to Memory: Non-Parametric Continual Learning for Large Language Models</w:t>
      </w:r>
    </w:p>
    <w:p>
      <w:pPr>
        <w:pStyle w:val="BodyText"/>
      </w:pPr>
      <w:hyperlink r:id="rId51">
        <w:r>
          <w:rPr>
            <w:rStyle w:val="Hyperlink"/>
          </w:rPr>
          <w:t xml:space="preserve">https://arxiv.org/html/2502.14802v1</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rxiv.org/abs/2307.08621" TargetMode="External" /><Relationship Type="http://schemas.openxmlformats.org/officeDocument/2006/relationships/hyperlink" Id="rId21" Target="https://arxiv.org/abs/2307.08621#:~:text=mechanism%20for%20sequence%20modeling%2C%20which,cost%20deployment%2C%20and" TargetMode="External" /><Relationship Type="http://schemas.openxmlformats.org/officeDocument/2006/relationships/hyperlink" Id="rId51" Target="https://arxiv.org/html/2502.14802v1" TargetMode="External" /><Relationship Type="http://schemas.openxmlformats.org/officeDocument/2006/relationships/hyperlink" Id="rId28" Target="https://arxiv.org/html/2502.14802v1#:~:text=their%20parametric%20knowledge.%20Retrieval,Suzuki" TargetMode="External" /><Relationship Type="http://schemas.openxmlformats.org/officeDocument/2006/relationships/hyperlink" Id="rId49" Target="https://attentionentropy.github.io/" TargetMode="External" /><Relationship Type="http://schemas.openxmlformats.org/officeDocument/2006/relationships/hyperlink" Id="rId24" Target="https://attentionentropy.github.io/#:~:text=Image%3A%20Figure%203%3A%20Scatterplot%20of,without%20dramatic%20effects%20on%20performance" TargetMode="External" /><Relationship Type="http://schemas.openxmlformats.org/officeDocument/2006/relationships/hyperlink" Id="rId48" Target="https://docs.nvidia.com/deeplearning/triton-inference-server/user-guide/docs/customization_guide/deploy.html" TargetMode="External" /><Relationship Type="http://schemas.openxmlformats.org/officeDocument/2006/relationships/hyperlink" Id="rId22" Target="https://docs.nvidia.com/deeplearning/triton-inference-server/user-guide/docs/customization_guide/deploy.html#:~:text=Deploying%20Behind%20a%20Secure%20Proxy,or%20Gateway" TargetMode="External" /><Relationship Type="http://schemas.openxmlformats.org/officeDocument/2006/relationships/hyperlink" Id="rId50" Target="https://severalnines.com/blog/vector-similarity-search-with-postgresqls-pgvector-a-deep-dive/" TargetMode="External" /><Relationship Type="http://schemas.openxmlformats.org/officeDocument/2006/relationships/hyperlink" Id="rId27" Target="https://severalnines.com/blog/vector-similarity-search-with-postgresqls-pgvector-a-deep-dive/#:~:text=pgvector%20is%20an%20open,the%20rest%20of%20your%20data" TargetMode="External" /></Relationships>
</file>

<file path=word/_rels/footnotes.xml.rels><?xml version="1.0" encoding="UTF-8"?><Relationships xmlns="http://schemas.openxmlformats.org/package/2006/relationships"><Relationship Type="http://schemas.openxmlformats.org/officeDocument/2006/relationships/hyperlink" Id="rId47" Target="https://arxiv.org/abs/2307.08621" TargetMode="External" /><Relationship Type="http://schemas.openxmlformats.org/officeDocument/2006/relationships/hyperlink" Id="rId21" Target="https://arxiv.org/abs/2307.08621#:~:text=mechanism%20for%20sequence%20modeling%2C%20which,cost%20deployment%2C%20and" TargetMode="External" /><Relationship Type="http://schemas.openxmlformats.org/officeDocument/2006/relationships/hyperlink" Id="rId51" Target="https://arxiv.org/html/2502.14802v1" TargetMode="External" /><Relationship Type="http://schemas.openxmlformats.org/officeDocument/2006/relationships/hyperlink" Id="rId28" Target="https://arxiv.org/html/2502.14802v1#:~:text=their%20parametric%20knowledge.%20Retrieval,Suzuki" TargetMode="External" /><Relationship Type="http://schemas.openxmlformats.org/officeDocument/2006/relationships/hyperlink" Id="rId49" Target="https://attentionentropy.github.io/" TargetMode="External" /><Relationship Type="http://schemas.openxmlformats.org/officeDocument/2006/relationships/hyperlink" Id="rId24" Target="https://attentionentropy.github.io/#:~:text=Image%3A%20Figure%203%3A%20Scatterplot%20of,without%20dramatic%20effects%20on%20performance" TargetMode="External" /><Relationship Type="http://schemas.openxmlformats.org/officeDocument/2006/relationships/hyperlink" Id="rId48" Target="https://docs.nvidia.com/deeplearning/triton-inference-server/user-guide/docs/customization_guide/deploy.html" TargetMode="External" /><Relationship Type="http://schemas.openxmlformats.org/officeDocument/2006/relationships/hyperlink" Id="rId22" Target="https://docs.nvidia.com/deeplearning/triton-inference-server/user-guide/docs/customization_guide/deploy.html#:~:text=Deploying%20Behind%20a%20Secure%20Proxy,or%20Gateway" TargetMode="External" /><Relationship Type="http://schemas.openxmlformats.org/officeDocument/2006/relationships/hyperlink" Id="rId50" Target="https://severalnines.com/blog/vector-similarity-search-with-postgresqls-pgvector-a-deep-dive/" TargetMode="External" /><Relationship Type="http://schemas.openxmlformats.org/officeDocument/2006/relationships/hyperlink" Id="rId27" Target="https://severalnines.com/blog/vector-similarity-search-with-postgresqls-pgvector-a-deep-dive/#:~:text=pgvector%20is%20an%20open,the%20rest%20of%20your%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2025-10-09T15:06:37Z</dcterms:created>
  <dcterms:modified xsi:type="dcterms:W3CDTF">2025-10-09T15:06:37Z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