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UK PATENT APPLICATION SPECIFICATION AND CLAIMS</w:t>
      </w:r>
    </w:p>
    <w:p>
      <w:pPr>
        <w:spacing w:after="60"/>
      </w:pPr>
      <w:r>
        <w:t>**Filing Body**: United Kingdom Intellectual Property Office (UKIPO)</w:t>
      </w:r>
    </w:p>
    <w:p>
      <w:pPr>
        <w:spacing w:after="60"/>
      </w:pPr>
      <w:r>
        <w:t>**Application Type**: Second UK National Patent Application (Patents Act 1977 s.14)</w:t>
      </w:r>
    </w:p>
    <w:p>
      <w:pPr>
        <w:spacing w:after="60"/>
      </w:pPr>
      <w:r>
        <w:t>**Priority Claim**: Priority is hereby claimed under Section 5(2) of the UK Patents Act 1977 and Article 4 of the Paris Convention from earlier UK Patent Application No. **GB2609706.3**, filed **25 April 2026**.</w:t>
      </w:r>
    </w:p>
    <w:p>
      <w:pPr>
        <w:spacing w:after="60"/>
      </w:pPr>
      <w:r>
        <w:t>**Applicant**: STOREGRILL INC LTD (Company No. 14581073)</w:t>
      </w:r>
    </w:p>
    <w:p>
      <w:pPr>
        <w:spacing w:after="60"/>
      </w:pPr>
      <w:r>
        <w:t>**Inventor**: Dolapo Ariyo</w:t>
      </w:r>
    </w:p>
    <w:p>
      <w:pPr>
        <w:spacing w:after="60"/>
      </w:pPr>
      <w:r>
        <w:t>**Registered Address**: 18 Hampshire Close, Binley, Coventry, CV3 2FP, United Kingdom</w:t>
      </w:r>
    </w:p>
    <w:p>
      <w:pPr>
        <w:spacing w:after="60"/>
      </w:pPr>
      <w:r>
        <w:t>**Statutory Marking**: FEASIBILITY ON PUBLIC DATA. NOT CLINICAL EVIDENCE. PRE-CLINICAL SPECIFICATION (TRL 6).</w:t>
      </w:r>
    </w:p>
    <w:p>
      <w:pPr>
        <w:pStyle w:val="Heading1"/>
      </w:pPr>
      <w:r>
        <w:t>TITLE OF THE INVENTION</w:t>
      </w:r>
    </w:p>
    <w:p>
      <w:pPr>
        <w:spacing w:after="60"/>
      </w:pPr>
      <w:r>
        <w:t>**CLINICAL ARTIFICIAL INTELLIGENCE PLATFORM AND METHOD FOR DISTRIBUTION-FREE STATISTICAL RISK-CONTROLLED RADIOLOGICAL TRIAGE, ZERO-LABEL DOMAIN ADAPTATION, AND ANATOMICALLY-BOUNDED ATTRIBUTION**</w:t>
      </w:r>
    </w:p>
    <w:p>
      <w:pPr>
        <w:pStyle w:val="Heading1"/>
      </w:pPr>
      <w:r>
        <w:t>1. ABSTRACT</w:t>
      </w:r>
    </w:p>
    <w:p>
      <w:pPr>
        <w:spacing w:after="60"/>
      </w:pPr>
      <w: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Style w:val="Heading1"/>
      </w:pPr>
      <w:r>
        <w:t>2. FIELD OF THE INVENTION</w:t>
      </w:r>
    </w:p>
    <w:p>
      <w:pPr>
        <w:spacing w:after="60"/>
      </w:pPr>
      <w: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Style w:val="Heading1"/>
      </w:pPr>
      <w:r>
        <w:t>3. PRIORITY CLAIM AND PARTIAL PRIORITY ALLOCATION (SECTION 5(2) PATENTS ACT 1977)</w:t>
      </w:r>
    </w:p>
    <w:p>
      <w:pPr>
        <w:spacing w:after="60"/>
      </w:pPr>
      <w: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60"/>
      </w:pPr>
      <w:r>
        <w:t>Under the partial priority doctrine of Section 5 of the Patents Act 1977, Article 4F of the Paris Convention, and established jurisprudence (e.g., Enlarged Board of Appeal decision G 1/15):</w:t>
      </w:r>
    </w:p>
    <w:p>
      <w:pPr>
        <w:spacing w:after="60"/>
      </w:pPr>
      <w: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60"/>
      </w:pPr>
      <w: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60"/>
      </w:pPr>
      <w:r>
        <w:t>3. **Claims to Combined Inventions**: Any claim reciting a specific cooperative combination of senior features with later-developed features derives priority for the combination as a whole from the filing date of the present application.</w:t>
      </w:r>
    </w:p>
    <w:p>
      <w:pPr>
        <w:pStyle w:val="Heading1"/>
      </w:pPr>
      <w:r>
        <w:t>4. BACKGROUND OF THE INVENTION AND PRIOR ART DEFICIENCIES</w:t>
      </w:r>
    </w:p>
    <w:p>
      <w:pPr>
        <w:pStyle w:val="Heading2"/>
      </w:pPr>
      <w:r>
        <w:t>4.1 The Acute Radiology Workforce Emergency</w:t>
      </w:r>
    </w:p>
    <w:p>
      <w:pPr>
        <w:spacing w:after="60"/>
      </w:pPr>
      <w: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pStyle w:val="Heading2"/>
      </w:pPr>
      <w:r>
        <w:t>4.2 Deficiencies in Existing Clinical AI Systems</w:t>
      </w:r>
    </w:p>
    <w:p>
      <w:pPr>
        <w:spacing w:after="60"/>
      </w:pPr>
      <w:r>
        <w:t>Existing commercial and academic clinical AI triage systems exhibit five critical technical deficiencies that prevent safe clinical adoption:</w:t>
      </w:r>
    </w:p>
    <w:p>
      <w:pPr>
        <w:spacing w:after="60"/>
      </w:pPr>
      <w:r>
        <w:t>1. **Failure of Heuristic Probability Thresholds under Scanner Covariate Shift**:</w:t>
      </w:r>
    </w:p>
    <w:p>
      <w:pPr>
        <w:spacing w:after="60"/>
      </w:pPr>
      <w: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60"/>
      </w:pPr>
      <w:r>
        <w:t>2. **Absence of Distribution-Free Statistical Risk Bounds**:</w:t>
      </w:r>
    </w:p>
    <w:p>
      <w:pPr>
        <w:spacing w:after="60"/>
      </w:pPr>
      <w: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60"/>
      </w:pPr>
      <w:r>
        <w:t>3. **Activation Hijacking in Explainability Maps (Grad-CAM Bone Artifacts)**:</w:t>
      </w:r>
    </w:p>
    <w:p>
      <w:pPr>
        <w:spacing w:after="60"/>
      </w:pPr>
      <w: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60"/>
      </w:pPr>
      <w:r>
        <w:t>4. **Feature Variance Collapse under Naive Normalisation**:</w:t>
      </w:r>
    </w:p>
    <w:p>
      <w:pPr>
        <w:spacing w:after="60"/>
      </w:pPr>
      <w: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60"/>
      </w:pPr>
      <w:r>
        <w:t>5. **Overconfidence under Image Degradation**:</w:t>
      </w:r>
    </w:p>
    <w:p>
      <w:pPr>
        <w:spacing w:after="60"/>
      </w:pPr>
      <w:r>
        <w:t>Standard deep networks exhibit overconfidence on severely degraded inputs (radiation photon noise, motion blur). Prior art systems provide no mechanism ensuring that epistemic uncertainty responds monotonically as physical image quality degrades.</w:t>
      </w:r>
    </w:p>
    <w:p>
      <w:pPr>
        <w:pStyle w:val="Heading1"/>
      </w:pPr>
      <w:r>
        <w:t>5. SUMMARY OF THE INVENTION</w:t>
      </w:r>
    </w:p>
    <w:p>
      <w:pPr>
        <w:spacing w:after="60"/>
      </w:pPr>
      <w:r>
        <w:t>The present invention solves these technical problems by providing an integrated, multi-tier clinical AI triage platform and method. Specifically, the invention introduces:</w:t>
      </w:r>
    </w:p>
    <w:p>
      <w:pPr>
        <w:spacing w:after="60"/>
      </w:pPr>
      <w:r>
        <w:t>1. **Unsupervised Zero-Label Adaptive Batch Normalisation (AdaBN)**:</w:t>
      </w:r>
    </w:p>
    <w:p>
      <w:pPr>
        <w:spacing w:after="60"/>
      </w:pPr>
      <w: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60"/>
      </w:pPr>
      <w:r>
        <w:t>2. **Relative Mahalanobis Distance (RMD) Out-of-Distribution Gating**:</w:t>
      </w:r>
    </w:p>
    <w:p>
      <w:pPr>
        <w:spacing w:after="60"/>
      </w:pPr>
      <w:r>
        <w:t>An out-of-distribution detection module computing:</w:t>
      </w:r>
    </w:p>
    <w:p>
      <w:pPr>
        <w:spacing w:after="60"/>
      </w:pPr>
      <w:r>
        <w:t>RMD(x) = M(z(x); mu_c, Sigma) - M(z(x); mu_0, Sigma_0)</w:t>
      </w:r>
    </w:p>
    <w:p>
      <w:pPr>
        <w:spacing w:after="60"/>
      </w:pPr>
      <w: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60"/>
      </w:pPr>
      <w:r>
        <w:t>3. **Split Conformal Risk Control with Bounded Clinical Risk**:</w:t>
      </w:r>
    </w:p>
    <w:p>
      <w:pPr>
        <w:spacing w:after="60"/>
      </w:pPr>
      <w: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60"/>
      </w:pPr>
      <w:r>
        <w:t>E[L(Y, C_lambda(X))] = E[I(Y=1 and C_lambda(X)=0) | Y=1] &lt;= alpha</w:t>
      </w:r>
    </w:p>
    <w:p>
      <w:pPr>
        <w:spacing w:after="60"/>
      </w:pPr>
      <w: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60"/>
      </w:pPr>
      <w:r>
        <w:t>4. **Masked High-Resolution Class Activation Mapping (Masked HiResCAM)**:</w:t>
      </w:r>
    </w:p>
    <w:p>
      <w:pPr>
        <w:spacing w:after="60"/>
      </w:pPr>
      <w:r>
        <w:t>A spatial attribution engine computing element-wise product feature maps between gradients and forward activations, multiplied by an automated anatomical parenchymal soft-tissue segmentation mask:</w:t>
      </w:r>
    </w:p>
    <w:p>
      <w:pPr>
        <w:spacing w:after="60"/>
      </w:pPr>
      <w:r>
        <w:t>A_MaskedHiResCAM(u, v) = M_brain(u, v) * sum_k [ (dY_c / dA_k(u, v)) * A_k(u, v) ]</w:t>
      </w:r>
    </w:p>
    <w:p>
      <w:pPr>
        <w:spacing w:after="60"/>
      </w:pPr>
      <w: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60"/>
      </w:pPr>
      <w:r>
        <w:t>5. **Physics-Monotonic Epistemic Uncertainty Quantification**:</w:t>
      </w:r>
    </w:p>
    <w:p>
      <w:pPr>
        <w:spacing w:after="60"/>
      </w:pPr>
      <w: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60"/>
      </w:pPr>
      <w:r>
        <w:t>6. **Deterministic Clinical Routing and Cryptographic Sign-Off Constraint**:</w:t>
      </w:r>
    </w:p>
    <w:p>
      <w:pPr>
        <w:spacing w:after="60"/>
      </w:pPr>
      <w: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pStyle w:val="Heading1"/>
      </w:pPr>
      <w:r>
        <w:t>6. BRIEF DESCRIPTION OF THE DRAWINGS</w:t>
      </w:r>
    </w:p>
    <w:p>
      <w:pPr>
        <w:pStyle w:val="ListBullet"/>
      </w:pPr>
      <w:r>
        <w:t>**Figure 1** is a high-level schematic diagram illustrating the 7-stage operational clinical AI triage architecture and safety gating flow.</w:t>
      </w:r>
    </w:p>
    <w:p>
      <w:pPr>
        <w:pStyle w:val="ListBullet"/>
      </w:pPr>
      <w:r>
        <w:t>**Figure 2** is a mathematical flow diagram of the Split Conformal Risk Control calibration and inference procedure.</w:t>
      </w:r>
    </w:p>
    <w:p>
      <w:pPr>
        <w:pStyle w:val="ListBullet"/>
      </w:pPr>
      <w:r>
        <w:t>**Figure 3** is a schematic diagram of the Zero-Label Adaptive Batch Normalisation (AdaBN) module.</w:t>
      </w:r>
    </w:p>
    <w:p>
      <w:pPr>
        <w:pStyle w:val="ListBullet"/>
      </w:pPr>
      <w:r>
        <w:t>**Figure 4** is an architectural comparison between standard Grad-CAM and Anatomically Masked HiResCAM.</w:t>
      </w:r>
    </w:p>
    <w:p>
      <w:pPr>
        <w:pStyle w:val="ListBullet"/>
      </w:pPr>
      <w:r>
        <w:t>**Figure 5** is a graphical plot illustrating epistemic uncertainty variance monotonicity under progressive Gaussian noise.</w:t>
      </w:r>
    </w:p>
    <w:p>
      <w:pPr>
        <w:pStyle w:val="ListBullet"/>
      </w:pPr>
      <w:r>
        <w:t>**Figure 6** is a sequence diagram illustrating the Stroke Code automated multi-channel clinical alert workflow.</w:t>
      </w:r>
    </w:p>
    <w:p>
      <w:pPr>
        <w:pStyle w:val="ListBullet"/>
      </w:pPr>
      <w:r>
        <w:t>**Figure 7** is a schematic diagram of the sovereign dual-path deployment architecture (cloud AKS and offline edge).</w:t>
      </w:r>
    </w:p>
    <w:p>
      <w:pPr>
        <w:pStyle w:val="ListBullet"/>
      </w:pPr>
      <w:r>
        <w:t>**Figure 8** is a block diagram illustrating multi-modal clinical triage expansion across CT Head, CXR, CTPA, and Brain MRI.</w:t>
      </w:r>
    </w:p>
    <w:p>
      <w:pPr>
        <w:pStyle w:val="Heading1"/>
      </w:pPr>
      <w:r>
        <w:t>7. DETAILED DESCRIPTION OF PREFERRED EMBODIMENTS</w:t>
      </w:r>
    </w:p>
    <w:p>
      <w:pPr>
        <w:pStyle w:val="Heading2"/>
      </w:pPr>
      <w:r>
        <w:t>7.1 Multi-Modal Ingestion and 3-Channel Pre-Processing</w:t>
      </w:r>
    </w:p>
    <w:p>
      <w:pPr>
        <w:spacing w:after="60"/>
      </w:pPr>
      <w: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60"/>
      </w:pPr>
      <w:r>
        <w:t>1. Brain Window: Center L = +40 HU, Width W = 80 HU (range [0, +80]).</w:t>
      </w:r>
    </w:p>
    <w:p>
      <w:pPr>
        <w:spacing w:after="60"/>
      </w:pPr>
      <w:r>
        <w:t>2. Subdural Window: Center L = +75 HU, Width W = 150 HU (range [0, +150]).</w:t>
      </w:r>
    </w:p>
    <w:p>
      <w:pPr>
        <w:spacing w:after="60"/>
      </w:pPr>
      <w:r>
        <w:t>3. Bone/Stroke Window: Center L = +35 HU, Width W = 35 HU (range [+17.5, +52.5]).</w:t>
      </w:r>
    </w:p>
    <w:p>
      <w:pPr>
        <w:pStyle w:val="Heading2"/>
      </w:pPr>
      <w:r>
        <w:t>7.2 Zero-Label Adaptive Batch Normalisation (AdaBN) Implementation</w:t>
      </w:r>
    </w:p>
    <w:p>
      <w:pPr>
        <w:spacing w:after="60"/>
      </w:pPr>
      <w: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60"/>
      </w:pPr>
      <w:r>
        <w:t>Upon onboarding a new scanner feed, an unannotated warm-up stream of target studies B_t = {x_1, ..., x_m} (m approx 50-100 studies) is processed in evaluation mode with BatchNorm layers set to update running statistics with momentum eta = 0.1:</w:t>
      </w:r>
    </w:p>
    <w:p>
      <w:pPr>
        <w:spacing w:after="60"/>
      </w:pPr>
      <w:r>
        <w:t>mu_{B_t, c} = (1 / (m * H * W)) * sum_{i=1}^m sum_{h=1}^H sum_{w=1}^W x_{i, c, h, w}^{(l)}</w:t>
      </w:r>
    </w:p>
    <w:p>
      <w:pPr>
        <w:spacing w:after="60"/>
      </w:pPr>
      <w:r>
        <w:t>sigma_{B_t, c}^2 = (1 / (m * H * W)) * sum_{i=1}^m sum_{h=1}^H sum_{w=1}^W (x_{i, c, h, w}^{(l)} - mu_{B_t, c})^2</w:t>
      </w:r>
    </w:p>
    <w:p>
      <w:pPr>
        <w:spacing w:after="60"/>
      </w:pPr>
      <w:r>
        <w:t>mu_{t, c}^{(l)} &lt;- (1 - eta) * mu_{t, c}^{(l)} + eta * mu_{B_t, c}</w:t>
      </w:r>
    </w:p>
    <w:p>
      <w:pPr>
        <w:spacing w:after="60"/>
      </w:pPr>
      <w:r>
        <w:t>(sigma_{t, c}^{(l)})^2 &lt;- (1 - eta) * (sigma_{t, c}^{(l)})^2 + eta * sigma_{B_t, c}^2</w:t>
      </w:r>
    </w:p>
    <w:p>
      <w:pPr>
        <w:spacing w:after="60"/>
      </w:pPr>
      <w:r>
        <w:t>*Empirical Finding*: In CQ500 testing (N=486 scans, 3 hospital centres), AdaBN improved Study AUROC from 0.7491 to 0.7596.</w:t>
      </w:r>
    </w:p>
    <w:p>
      <w:pPr>
        <w:spacing w:after="60"/>
      </w:pPr>
      <w:r>
        <w:t>*Engineering Hypothesis*: AdaBN reduces scanner-induced covariate shifts in channel-wise activations, aiding feature alignment before statistical gating.</w:t>
      </w:r>
    </w:p>
    <w:p>
      <w:pPr>
        <w:spacing w:after="60"/>
      </w:pPr>
      <w: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pStyle w:val="Heading2"/>
      </w:pPr>
      <w:r>
        <w:t>7.3 Relative Mahalanobis Distance (RMD) Implementation</w:t>
      </w:r>
    </w:p>
    <w:p>
      <w:pPr>
        <w:spacing w:after="60"/>
      </w:pPr>
      <w:r>
        <w:t>Penultimate feature vectors z(x) = f_theta(x) in R^D are extracted. Class-conditional Gaussian distributions N(mu_c, Sigma) (c in {0, 1}) and unconditioned background distribution N(mu_0, Sigma_0) are estimated on training features.</w:t>
      </w:r>
    </w:p>
    <w:p>
      <w:pPr>
        <w:spacing w:after="60"/>
      </w:pPr>
      <w:r>
        <w:t>To ensure numerical stability when covariance matrices are near-singular, Ledoit-Wolf style trace shrinkage (shrinkage parameter lambda_shrink = 0.05) is applied:</w:t>
      </w:r>
    </w:p>
    <w:p>
      <w:pPr>
        <w:spacing w:after="60"/>
      </w:pPr>
      <w:r>
        <w:t>Sigma_shrunk = (1 - lambda_shrink) * Sigma + lambda_shrink * (Tr(Sigma) / D) * I_D</w:t>
      </w:r>
    </w:p>
    <w:p>
      <w:pPr>
        <w:spacing w:after="60"/>
      </w:pPr>
      <w:r>
        <w:t>Precision matrix Prec = pinv(Sigma_shrunk) is computed using Moore-Penrose pseudoinverse.</w:t>
      </w:r>
    </w:p>
    <w:p>
      <w:pPr>
        <w:spacing w:after="60"/>
      </w:pPr>
      <w:r>
        <w:t>Relative Mahalanobis Distance is computed as:</w:t>
      </w:r>
    </w:p>
    <w:p>
      <w:pPr>
        <w:spacing w:after="60"/>
      </w:pPr>
      <w:r>
        <w:t>RMD(x) = min_{c} ((z(x) - mu_c)^T * Prec * (z(x) - mu_c)) - (z(x) - mu_0)^T * Prec_0 * (z(x) - mu_0)</w:t>
      </w:r>
    </w:p>
    <w:p>
      <w:pPr>
        <w:spacing w:after="60"/>
      </w:pPr>
      <w:r>
        <w:t>If RMD(x) &gt; tau_OOD, the scan is flagged as anomalous, bypassing automated clearing and forcing human clinical review. In CQ500 error detection, RMD achieved AUROC 0.5798 vs 0.5256 for standard Mahalanobis distance.</w:t>
      </w:r>
    </w:p>
    <w:p>
      <w:pPr>
        <w:pStyle w:val="Heading2"/>
      </w:pPr>
      <w:r>
        <w:t>7.4 Split Conformal Risk Control Formulation &amp; Empirical Results</w:t>
      </w:r>
    </w:p>
    <w:p>
      <w:pPr>
        <w:spacing w:after="60"/>
      </w:pPr>
      <w:r>
        <w:t>Let S(X) in [0, 1] represent the calibrated probability score for acute haemorrhage, and let the triage rule be:</w:t>
      </w:r>
    </w:p>
    <w:p>
      <w:pPr>
        <w:spacing w:after="60"/>
      </w:pPr>
      <w:r>
        <w:t>C_lambda(X) = 1 if S(X) &gt;= lambda else 0</w:t>
      </w:r>
    </w:p>
    <w:p>
      <w:pPr>
        <w:spacing w:after="60"/>
      </w:pPr>
      <w:r>
        <w:t>The false-negative loss function is:</w:t>
      </w:r>
    </w:p>
    <w:p>
      <w:pPr>
        <w:spacing w:after="60"/>
      </w:pPr>
      <w:r>
        <w:t>L(Y, C_lambda(X)) = 1 if (Y = 1 and C_lambda(X) = 0) else 0</w:t>
      </w:r>
    </w:p>
    <w:p>
      <w:pPr>
        <w:spacing w:after="60"/>
      </w:pPr>
      <w:r>
        <w:t>Because loss L is monotonically non-decreasing with respect to threshold lambda (higher thresholds produce more false negatives), the empirical conditional false-negative rate across calibration dataset D_cal of n labeled scans is:</w:t>
      </w:r>
    </w:p>
    <w:p>
      <w:pPr>
        <w:spacing w:after="60"/>
      </w:pPr>
      <w:r>
        <w:t>R_n(lambda) = (1 / n_pos) * sum_{i: Y_i=1} I(S(X_i) &lt; lambda)</w:t>
      </w:r>
    </w:p>
    <w:p>
      <w:pPr>
        <w:spacing w:after="60"/>
      </w:pPr>
      <w:r>
        <w:t>where n_pos = |{i : Y_i = 1}| is the number of positive-class calibration studies. This definition bounds the conditional false-negative rate E[I(C_lambda(X)=0) | Y=1] among studies determined to contain the target condition.</w:t>
      </w:r>
    </w:p>
    <w:p>
      <w:pPr>
        <w:spacing w:after="60"/>
      </w:pPr>
      <w:r>
        <w:t>*Distinction from unconditional risk*: The Bates et al. (2021) theorem in its general form bounds E[L(X,Y)] where L = I(Y=1 and S(X)&lt;lambda) — the unconditional false-negative probability P(Y=1, S(X)&lt;lambda). Under prevalence P(Y=1) = pi, the two quantities satisfy:</w:t>
      </w:r>
    </w:p>
    <w:p>
      <w:pPr>
        <w:spacing w:after="60"/>
      </w:pPr>
      <w:r>
        <w:t>E[L(X,Y)] = pi * R_n(lambda)</w:t>
      </w:r>
    </w:p>
    <w:p>
      <w:pPr>
        <w:spacing w:after="60"/>
      </w:pPr>
      <w:r>
        <w:t>The implementation uses n_pos denominator (conditional FNR), which provides a tighter calibrated bound for the clinically relevant quantity: the fraction of haemorrhagic studies that would be missed.</w:t>
      </w:r>
    </w:p>
    <w:p>
      <w:pPr>
        <w:spacing w:after="60"/>
      </w:pPr>
      <w:r>
        <w:t>Following Bates et al. (2021), under the assumption that calibration samples and future test samples are exchangeable, the optimal threshold lambda is selected as the supremum of safe thresholds:</w:t>
      </w:r>
    </w:p>
    <w:p>
      <w:pPr>
        <w:spacing w:after="60"/>
      </w:pPr>
      <w:r>
        <w:t>lambda = sup { lambda' in [0, 1] : (n_pos / (n_pos + 1)) * R_n(lambda') + (1 / (n_pos + 1)) &lt;= alpha }</w:t>
      </w:r>
    </w:p>
    <w:p>
      <w:pPr>
        <w:spacing w:after="60"/>
      </w:pPr>
      <w: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60"/>
      </w:pPr>
      <w:r>
        <w:t>If no lambda &gt; 0 satisfies the bound, the system sets lambda = 0, ensuring that no cases are automatically cleared.</w:t>
      </w:r>
    </w:p>
    <w:p>
      <w:pPr>
        <w:spacing w:after="60"/>
      </w:pPr>
      <w:r>
        <w:t>*Empirical Test Results (CQ500 Evaluation)*:</w:t>
      </w:r>
    </w:p>
    <w:p>
      <w:pPr>
        <w:pStyle w:val="ListBullet"/>
      </w:pPr>
      <w:r>
        <w:t>Calibration split: n = 100 scans (40 positive, 60 negative), target risk alpha = 0.05.</w:t>
      </w:r>
    </w:p>
    <w:p>
      <w:pPr>
        <w:pStyle w:val="ListBullet"/>
      </w:pPr>
      <w:r>
        <w:t>Calibrated conditional operational threshold: lambda = 0.0753 (calibrated to enforce E[FNR_cond] &lt;= 0.05); conservative deployed operating threshold: lambda = 0.0298 (conditional bound = 0.0488 &lt;= 0.05 evaluated with n_pos = 40).</w:t>
      </w:r>
    </w:p>
    <w:p>
      <w:pPr>
        <w:pStyle w:val="ListBullet"/>
      </w:pPr>
      <w:r>
        <w:t>Independent held-out test split: N = 386 scans (162 positive, 224 negative).</w:t>
      </w:r>
    </w:p>
    <w:p>
      <w:pPr>
        <w:pStyle w:val="ListBullet"/>
      </w:pPr>
      <w:r>
        <w:t>Test observations at calibrated threshold (lambda = 0.0753): 11 false negatives out of 162 positive cases, yielding an observed test conditional false-negative rate of 6.79% (11/162, within expected finite-sample variance of the 5.0% bound).</w:t>
      </w:r>
    </w:p>
    <w:p>
      <w:pPr>
        <w:pStyle w:val="ListBullet"/>
      </w:pPr>
      <w:r>
        <w:t>Test observations at conservative threshold (lambda = 0.0298): 6 false negatives out of 162 positive cases, yielding an observed test conditional false-negative rate of 3.70% (6/162).</w:t>
      </w:r>
    </w:p>
    <w:p>
      <w:pPr>
        <w:pStyle w:val="ListBullet"/>
      </w:pPr>
      <w: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pPr>
      <w:r>
        <w:t>The distinction between theoretical expected risk bounds under exchangeability and observed empirical sample rates on finite test cohorts is explicitly recognized.</w:t>
      </w:r>
    </w:p>
    <w:p>
      <w:pPr>
        <w:pStyle w:val="Heading2"/>
      </w:pPr>
      <w:r>
        <w:t>7.5 Anatomically-Masked HiResCAM Implementation</w:t>
      </w:r>
    </w:p>
    <w:p>
      <w:pPr>
        <w:spacing w:after="60"/>
      </w:pPr>
      <w:r>
        <w:t>Element-wise gradient-activation products are computed without spatial global pooling:</w:t>
      </w:r>
    </w:p>
    <w:p>
      <w:pPr>
        <w:spacing w:after="60"/>
      </w:pPr>
      <w:r>
        <w:t>H_c(u, v) = sum_k [ (dY_c / dA_k(u, v)) * A_k(u, v) ]</w:t>
      </w:r>
    </w:p>
    <w:p>
      <w:pPr>
        <w:spacing w:after="60"/>
      </w:pPr>
      <w:r>
        <w:t>An automated anatomical soft-tissue segmentation mask M_brain(u, v) in {0, 1} is generated:</w:t>
      </w:r>
    </w:p>
    <w:p>
      <w:pPr>
        <w:spacing w:after="60"/>
      </w:pPr>
      <w:r>
        <w:t>1. Radiological attenuation thresholding selects voxels with attenuation between 0 and +85 HU (capturing brain parenchyma [20-40 HU], CSF fluid [0-15 HU], and acute haematomas [50-85 HU]).</w:t>
      </w:r>
    </w:p>
    <w:p>
      <w:pPr>
        <w:spacing w:after="60"/>
      </w:pPr>
      <w:r>
        <w:t>2. Morphological hole-filling and largest-connected-component isolation extracts the intracranial vault.</w:t>
      </w:r>
    </w:p>
    <w:p>
      <w:pPr>
        <w:spacing w:after="60"/>
      </w:pPr>
      <w:r>
        <w:t>3. Element-wise multiplication produces the final saliency map:</w:t>
      </w:r>
    </w:p>
    <w:p>
      <w:pPr>
        <w:spacing w:after="60"/>
      </w:pPr>
      <w:r>
        <w:t>A_final(u, v) = ReLU(H_c(u, v)) * M_brain(u, v)</w:t>
      </w:r>
    </w:p>
    <w:p>
      <w:pPr>
        <w:spacing w:after="60"/>
      </w:pPr>
      <w:r>
        <w:t>This substantially attenuates and suppresses cortical calvarial bone hyperdensities (+500 to +1500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pStyle w:val="Heading2"/>
      </w:pPr>
      <w:r>
        <w:t>7.6 Physics-Monotonic Epistemic Uncertainty Experimental Protocol</w:t>
      </w:r>
    </w:p>
    <w:p>
      <w:pPr>
        <w:spacing w:after="60"/>
      </w:pPr>
      <w:r>
        <w:t>In Test K, model uncertainty was evaluated on N=300 held-out slices (150 ICH+, 150 ICH-) from RSNA 2019 under two physical perturbation regimes:</w:t>
      </w:r>
    </w:p>
    <w:p>
      <w:pPr>
        <w:spacing w:after="60"/>
      </w:pPr>
      <w:r>
        <w:t>1. Simulated Gaussian radiation dose reduction noise at 5 discrete levels: sigma in {0.00, 0.05, 0.10, 0.20, 0.35}.</w:t>
      </w:r>
    </w:p>
    <w:p>
      <w:pPr>
        <w:spacing w:after="60"/>
      </w:pPr>
      <w:r>
        <w:t>2. Patient motion blur convolution across 5 kernel lengths: L in {1, 3, 7, 11, 15} pixels.</w:t>
      </w:r>
    </w:p>
    <w:p>
      <w:pPr>
        <w:spacing w:after="60"/>
      </w:pPr>
      <w: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pStyle w:val="Heading1"/>
      </w:pPr>
      <w:r>
        <w:t>8. CLAIMS</w:t>
      </w:r>
    </w:p>
    <w:p>
      <w:pPr>
        <w:spacing w:after="60"/>
      </w:pPr>
      <w:r>
        <w:t>WE CLAIM:</w:t>
      </w:r>
    </w:p>
    <w:p>
      <w:pPr>
        <w:spacing w:after="80"/>
        <w:ind w:left="360"/>
      </w:pPr>
      <w:r>
        <w:t>1. A computer-implemented method for safe diagnostic triage and prioritisation of digital medical imaging studies, comprising:</w:t>
      </w:r>
    </w:p>
    <w:p>
      <w:pPr>
        <w:spacing w:after="60"/>
      </w:pPr>
      <w:r>
        <w:t>(a) receiving an unannotated digital medical imaging study acquired by an imaging device at a clinical site;</w:t>
      </w:r>
    </w:p>
    <w:p>
      <w:pPr>
        <w:spacing w:after="60"/>
      </w:pPr>
      <w:r>
        <w:t>(b) adapting batch normalisation running mean and running variance statistics of a deep neural network feature extractor using the unannotated digital medical imaging study while maintaining convolutional filter weights and linear classification weights strictly frozen;</w:t>
      </w:r>
    </w:p>
    <w:p>
      <w:pPr>
        <w:spacing w:after="60"/>
      </w:pPr>
      <w:r>
        <w:t>(c) computing an out-of-distribution (OOD) score using a Relative Mahalanobis Distance contrasting a class-conditional feature representation against an unconditioned background feature distribution;</w:t>
      </w:r>
    </w:p>
    <w:p>
      <w:pPr>
        <w:spacing w:after="60"/>
      </w:pPr>
      <w:r>
        <w:t>(d)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w:t>
      </w:r>
    </w:p>
    <w:p>
      <w:pPr>
        <w:spacing w:after="60"/>
      </w:pPr>
      <w:r>
        <w:t>(e) evaluating prediction variance through stochastic inference with active dropout to verify that epistemic uncertainty responds appropriately to image degradation;</w:t>
      </w:r>
    </w:p>
    <w:p>
      <w:pPr>
        <w:spacing w:after="60"/>
      </w:pPr>
      <w:r>
        <w:t>(f) generating an explainable spatial saliency map via element-wise gradient-activation multiplication constrained by an automated anatomical soft-tissue segmentation mask;</w:t>
      </w:r>
    </w:p>
    <w:p>
      <w:pPr>
        <w:spacing w:after="60"/>
      </w:pPr>
      <w:r>
        <w:t>(g)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w:t>
      </w:r>
    </w:p>
    <w:p>
      <w:pPr>
        <w:spacing w:after="60"/>
      </w:pPr>
      <w:r>
        <w:t>(h) dispatching prioritised clinical triage alerts to a medical display worklist, wherein final diagnostic report delivery requires cryptographic clinician digital sign-off enforced as a database-level constraint.</w:t>
      </w:r>
    </w:p>
    <w:p>
      <w:pPr>
        <w:spacing w:after="80"/>
        <w:ind w:left="360"/>
      </w:pPr>
      <w:r>
        <w:t>2. The method of Claim 1, wherein the split conformal risk control prediction gate selects operational probability threshold lambda satisfying:</w:t>
      </w:r>
    </w:p>
    <w:p>
      <w:pPr>
        <w:spacing w:after="60"/>
      </w:pPr>
      <w:r>
        <w:t>lambda = sup { lambda' in [0, 1] : (n_pos / (n_pos + 1)) * R_n(lambda') + (1 / (n_pos + 1)) &lt;= alpha }</w:t>
      </w:r>
    </w:p>
    <w:p>
      <w:pPr>
        <w:spacing w:after="60"/>
      </w:pPr>
      <w:r>
        <w:t>where n is calibration sample size, n_pos is the number of positive-class calibration studies, and R_n(lambda') is the empirical conditional false-negative rate:</w:t>
      </w:r>
    </w:p>
    <w:p>
      <w:pPr>
        <w:spacing w:after="60"/>
      </w:pPr>
      <w:r>
        <w:t>R_n(lambda') = (1 / n_pos) * sum_{i: Y_i=1} I(S(X_i) &lt; lambda')</w:t>
      </w:r>
    </w:p>
    <w:p>
      <w:pPr>
        <w:spacing w:after="60"/>
      </w:pPr>
      <w:r>
        <w:t>wherein if no threshold lambda' satisfies the condition, the system sets lambda = 0 to route 100% of studies to clinician review; the supremum formulation equivalently represents the infimum of the complement set of unsafe thresholds for a monotonically non-decreasing loss function.</w:t>
      </w:r>
    </w:p>
    <w:p>
      <w:pPr>
        <w:spacing w:after="80"/>
        <w:ind w:left="360"/>
      </w:pPr>
      <w:r>
        <w:t>3. 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80"/>
        <w:ind w:left="360"/>
      </w:pPr>
      <w:r>
        <w:t>4. The method of Claim 1, wherein the digital medical imaging study comprises a Non-Contrast Head Computed Tomography (NCCT) scan, and the prioritised alert detects acute Intracranial Haemorrhage (ICH).</w:t>
      </w:r>
    </w:p>
    <w:p>
      <w:pPr>
        <w:spacing w:after="80"/>
        <w:ind w:left="360"/>
      </w:pPr>
      <w:r>
        <w:t>5. 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80"/>
        <w:ind w:left="360"/>
      </w:pPr>
      <w:r>
        <w:t>6. 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w:t>
      </w:r>
    </w:p>
    <w:p>
      <w:pPr>
        <w:spacing w:after="80"/>
        <w:ind w:left="360"/>
      </w:pPr>
      <w:r>
        <w:t>7. 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80"/>
        <w:ind w:left="360"/>
      </w:pPr>
      <w:r>
        <w:t>8. 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80"/>
        <w:ind w:left="360"/>
      </w:pPr>
      <w:r>
        <w:t>9. The method of Claim 1, wherein epistemic uncertainty variance computed across stochastic forward passes exhibits a positive Spearman rank correlation (rho &gt; 0) with respect to discrete levels of simulated image acquisition noise, as experimentally evaluated; wherein in a specific embodiment evaluated across five Gaussian noise levels (sigma in {0.00, 0.05, 0.10, 0.20, 0.35}), a Spearman rank correlation of rho = 0.9000 (p = 0.0374) was observed.</w:t>
      </w:r>
    </w:p>
    <w:p>
      <w:pPr>
        <w:spacing w:after="80"/>
        <w:ind w:left="360"/>
      </w:pPr>
      <w:r>
        <w:t>10. 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80"/>
        <w:ind w:left="360"/>
      </w:pPr>
      <w:r>
        <w:t>11. The method of Claim 1, wherein pre-processing of computed tomography inputs generates a standardised three-channel tensor by simultaneously applying a brain window, a subdural window, and a bone window.</w:t>
      </w:r>
    </w:p>
    <w:p>
      <w:pPr>
        <w:spacing w:after="80"/>
        <w:ind w:left="360"/>
      </w:pPr>
      <w:r>
        <w:t>12. 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80"/>
        <w:ind w:left="360"/>
      </w:pPr>
      <w:r>
        <w:t>13. 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80"/>
        <w:ind w:left="360"/>
      </w:pPr>
      <w:r>
        <w:t>14. The method of Claim 1, wherein all clinical triage decisions, conformal scores, explainability maps, and clinician sign-off actions are logged to an immutable audit trail using SHA-256 hash chaining and periodic Merkle tree verification.</w:t>
      </w:r>
    </w:p>
    <w:p>
      <w:pPr>
        <w:spacing w:after="80"/>
        <w:ind w:left="360"/>
      </w:pPr>
      <w:r>
        <w:t>15. A clinical artificial intelligence computing system for automated diagnostic triage and safety assurance, comprising:</w:t>
      </w:r>
    </w:p>
    <w:p>
      <w:pPr>
        <w:spacing w:after="60"/>
      </w:pPr>
      <w:r>
        <w:t>at least one hardware processor;</w:t>
      </w:r>
    </w:p>
    <w:p>
      <w:pPr>
        <w:spacing w:after="60"/>
      </w:pPr>
      <w:r>
        <w:t>a medical imaging interface configured to receive digital medical imaging studies via DICOM, HL7, or FHIR protocols;</w:t>
      </w:r>
    </w:p>
    <w:p>
      <w:pPr>
        <w:spacing w:after="60"/>
      </w:pPr>
      <w:r>
        <w:t>a deep neural network inference engine stored in memory and executable by the at least one processor;</w:t>
      </w:r>
    </w:p>
    <w:p>
      <w:pPr>
        <w:spacing w:after="60"/>
      </w:pPr>
      <w:r>
        <w:t>a zero-label adaptive batch normalisation module configured to update running mean and variance statistics of the deep neural network using unannotated imaging studies from a target clinical environment while weights remain frozen;</w:t>
      </w:r>
    </w:p>
    <w:p>
      <w:pPr>
        <w:spacing w:after="60"/>
      </w:pPr>
      <w:r>
        <w:t>a split conformal risk control module configured to enforce a pre-specified expected false negative triage error bound under exchangeability;</w:t>
      </w:r>
    </w:p>
    <w:p>
      <w:pPr>
        <w:spacing w:after="60"/>
      </w:pPr>
      <w:r>
        <w:t>an explainability engine configured to generate anatomically masked spatial attribution maps suppressing non-parenchymal bone artifacts; and</w:t>
      </w:r>
    </w:p>
    <w:p>
      <w:pPr>
        <w:spacing w:after="60"/>
      </w:pPr>
      <w:r>
        <w:t>a relational database enforcing foreign key constraints and digital signature validation, wherein dispatch of prioritised clinical alerts is blocked absent cryptographic clinician verification.</w:t>
      </w:r>
    </w:p>
    <w:p>
      <w:pPr>
        <w:spacing w:after="80"/>
        <w:ind w:left="360"/>
      </w:pPr>
      <w:r>
        <w:t>16. 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80"/>
        <w:ind w:left="360"/>
      </w:pPr>
      <w:r>
        <w:t>17. The system of Claim 15, configured as a sovereign cloud cluster deployed within a sovereign cloud tenancy, comprising a GPU container pool, a tenant-isolated encrypted database, and a web application firewall.</w:t>
      </w:r>
    </w:p>
    <w:p>
      <w:pPr>
        <w:spacing w:after="80"/>
        <w:ind w:left="360"/>
      </w:pPr>
      <w:r>
        <w:t>18. A non-transitory computer-readable storage medium comprising instructions that, when executed by one or more processors of a medical computing device, cause the device to perform the method of Claim 1.</w:t>
      </w:r>
    </w:p>
    <w:p>
      <w:pPr>
        <w:spacing w:after="80"/>
        <w:ind w:left="360"/>
      </w:pPr>
      <w:r>
        <w:t>19. A computer program product comprising software code portions for executing the steps of Claim 1 when run on a clinical decision support workstation.</w:t>
      </w:r>
    </w:p>
    <w:p>
      <w:pPr>
        <w:spacing w:after="80"/>
        <w:ind w:left="360"/>
      </w:pPr>
      <w:r>
        <w:t>20. 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