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UK PATENT APPLICATION SPECIFICATION AND CLAIMS</w:t>
      </w:r>
    </w:p>
    <w:p>
      <w:pPr>
        <w:spacing w:after="60"/>
      </w:pPr>
      <w:r>
        <w:t>**Filing Body**: United Kingdom Intellectual Property Office (UKIPO)</w:t>
      </w:r>
    </w:p>
    <w:p>
      <w:pPr>
        <w:spacing w:after="60"/>
      </w:pPr>
      <w:r>
        <w:t>**Application Type**: Second UK National Patent Application (Patents Act 1977 s.14)</w:t>
      </w:r>
    </w:p>
    <w:p>
      <w:pPr>
        <w:spacing w:after="60"/>
      </w:pPr>
      <w:r>
        <w:t>**Priority Claim**: Priority is hereby claimed under Section 5(2) of the UK Patents Act 1977 and Article 4 of the Paris Convention from earlier UK Patent Application No. **GB2609706.3**, filed **25 April 2026**.</w:t>
      </w:r>
    </w:p>
    <w:p>
      <w:pPr>
        <w:spacing w:after="60"/>
      </w:pPr>
      <w:r>
        <w:t>**Applicant**: STOREGRILL INC LTD (Company No. 14581073)</w:t>
      </w:r>
    </w:p>
    <w:p>
      <w:pPr>
        <w:spacing w:after="60"/>
      </w:pPr>
      <w:r>
        <w:t>**Inventor**: Dolapo Ariyo</w:t>
      </w:r>
    </w:p>
    <w:p>
      <w:pPr>
        <w:spacing w:after="60"/>
      </w:pPr>
      <w:r>
        <w:t>**Registered Address**: 18 Hampshire Close, Binley, Coventry, CV3 2FP, United Kingdom</w:t>
      </w:r>
    </w:p>
    <w:p>
      <w:pPr>
        <w:spacing w:after="60"/>
      </w:pPr>
      <w:r>
        <w:t>**Statutory Marking**: FEASIBILITY ON PUBLIC DATA. NOT CLINICAL EVIDENCE. PRE-CLINICAL SPECIFICATION (TRL 6).</w:t>
      </w:r>
    </w:p>
    <w:p>
      <w:pPr>
        <w:pStyle w:val="Heading1"/>
      </w:pPr>
      <w:r>
        <w:t>TITLE OF THE INVENTION</w:t>
      </w:r>
    </w:p>
    <w:p>
      <w:pPr>
        <w:spacing w:after="60"/>
      </w:pPr>
      <w:r>
        <w:t>**CLINICAL ARTIFICIAL INTELLIGENCE PLATFORM AND METHOD FOR GUARANTEED STATISTICAL RISK-CONTROLLED RADIOLOGICAL TRIAGE, ZERO-LABEL DOMAIN ADAPTATION, AND ANATOMICALLY-BOUNDED ATTRIBUTION**</w:t>
      </w:r>
    </w:p>
    <w:p>
      <w:pPr>
        <w:pStyle w:val="Heading1"/>
      </w:pPr>
      <w:r>
        <w:t>1. ABSTRACT</w:t>
      </w:r>
    </w:p>
    <w:p>
      <w:pPr>
        <w:spacing w:after="60"/>
      </w:pPr>
      <w: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aligns running mean and variance feature statistics to target scanner distributions without model parameter fine-tuning or clinical labels; (ii) an Out-Of-Distribution (OOD) filter employing Relative Mahalanobis Distance (RMD) between class-conditional representations and unconditioned background feature distributions; (iii) a Split Conformal Risk Control safety gate that establishes finite-sample, distribution-free mathematical guarantees on a maximum admissible False Negative Rate (FNR &lt;= alpha) using an empirical risk calibration threshold (lambda), safely auto-clearing non-urgent studies while routing borderline or critical cases to human review; (iv) an explainability engine providing High-Resolution Class Activation Mapping (HiResCAM) constrained by automated soft-tissue anatomical segmentations to eliminate skull-bone hyperdensity artifacts; and (v) an epistemic uncertainty engine enforcing monotonic sensitivity under acquisition noise and patient motion blur. All diagnostic outputs require cryptographic clinician authorisation enforced as a database-level constraint prior to electronic health record delivery.</w:t>
      </w:r>
    </w:p>
    <w:p>
      <w:pPr>
        <w:pStyle w:val="Heading1"/>
      </w:pPr>
      <w:r>
        <w:t>2. FIELD OF THE INVENTION</w:t>
      </w:r>
    </w:p>
    <w:p>
      <w:pPr>
        <w:spacing w:after="60"/>
      </w:pPr>
      <w:r>
        <w:t>The present invention relates generally to medical software and artificial intelligence systems applied to diagnostic radiology. More specifically, the invention relates to a computer-implemented Software-as-a-Medical-Device (SaMD) platform that provides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finite-sample distribution-free statistical risk guarantees, unsupervised target domain adaptation across hospital scanners, anatomically bounded spatial attribution, and database-level human-in-the-loop clinical governance.</w:t>
      </w:r>
    </w:p>
    <w:p>
      <w:pPr>
        <w:pStyle w:val="Heading1"/>
      </w:pPr>
      <w:r>
        <w:t>3. PRIORITY CLAIM UNDER SECTION 5(2) PATENTS ACT 1977</w:t>
      </w:r>
    </w:p>
    <w:p>
      <w:pPr>
        <w:spacing w:after="60"/>
      </w:pPr>
      <w: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60"/>
      </w:pPr>
      <w:r>
        <w:t>The present application discloses subject-matter common to GB2609706.3 (including the foundational multi-engine diagnostic pipeline, 9-layer metacognition safety architecture, sovereign edge and cloud dual-path deployment, stochastic Monte Carlo dropout uncertainty decomposition, and database-level clinician sign-off constraints), for which senior priority dating from 25 April 2026 is maintained. This application further discloses substantial improvements, mathematical risk-control formulations, unsupervised domain adaptation methods, and spatial attribution techniques developed and verified post-filing, which constitute novel patentable subject matter having priority as of the filing date of this second application under the partial priority doctrine of Section 5 of the Patents Act 1977 and Article 4F of the Paris Convention.</w:t>
      </w:r>
    </w:p>
    <w:p>
      <w:pPr>
        <w:pStyle w:val="Heading1"/>
      </w:pPr>
      <w:r>
        <w:t>4. BACKGROUND OF THE INVENTION AND PRIOR ART DEFICIENCIES</w:t>
      </w:r>
    </w:p>
    <w:p>
      <w:pPr>
        <w:pStyle w:val="Heading2"/>
      </w:pPr>
      <w:r>
        <w:t>4.1 The Acute Radiology Workforce Emergency</w:t>
      </w:r>
    </w:p>
    <w:p>
      <w:pPr>
        <w:spacing w:after="60"/>
      </w:pPr>
      <w: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pStyle w:val="Heading2"/>
      </w:pPr>
      <w:r>
        <w:t>4.2 Deficiencies in Existing Clinical AI Systems</w:t>
      </w:r>
    </w:p>
    <w:p>
      <w:pPr>
        <w:spacing w:after="60"/>
      </w:pPr>
      <w:r>
        <w:t>While computer vision algorithms have demonstrated high retrospective discrimination on curated benchmark datasets, existing commercial and academic clinical AI triage systems exhibit five critical technical deficiencies that prevent safe, autonomous clinical adoption:</w:t>
      </w:r>
    </w:p>
    <w:p>
      <w:pPr>
        <w:spacing w:after="60"/>
      </w:pPr>
      <w:r>
        <w:t>1. **Failure of Heuristic Probability Thresholds under Scanner Distribution Shift**:</w:t>
      </w:r>
    </w:p>
    <w:p>
      <w:pPr>
        <w:spacing w:after="60"/>
      </w:pPr>
      <w:r>
        <w:t>Prior art triage devices apply a static, fixed probability threshold (e.g., score tau &gt;= 0.50 or tau &gt;= 0.70) to classify a study as positive. However, when deployed across diverse clinical sites with differing scanner manufacturers (e.g., GE Healthcare, Siemens Healthineers, Philips, Canon), slice thicknesses (0.625 mm to 5.0 mm), tube voltages (kVp), and reconstruction kernels (soft tissue vs bone), the underlying feature distribution shifts substantially. Empirical testing of static classifiers on external multi-centre cohorts (e.g., CQ500, N=486 scans across 3 hospital centers) demonstrates that static thresholds yield unacceptably elevated False Positive Rates (FPR = 20.07% at tau = 0.50, 95% CI: 15.8%-25.1%), precipitating severe alert fatigue and clinical rejection.</w:t>
      </w:r>
    </w:p>
    <w:p>
      <w:pPr>
        <w:spacing w:after="60"/>
      </w:pPr>
      <w:r>
        <w:t>2. **Absence of Distribution-Free Statistical Risk Bounds**:</w:t>
      </w:r>
    </w:p>
    <w:p>
      <w:pPr>
        <w:spacing w:after="60"/>
      </w:pPr>
      <w:r>
        <w:t>No existing clinical AI triage system provides a mathematically guaranteed bound on diagnostic risk. A false negative (missed acute haemorrhage, undetected tension pneumothorax) carries catastrophic clinical liability. Existing Bayesian or temperature-scaled confidence metrics fail to guarantee that the expected False Negative Rate (FNR) will remain below a pre-specified clinical safety target (e.g., FNR &lt;= 5.0%) when evaluated on unseen clinical populations.</w:t>
      </w:r>
    </w:p>
    <w:p>
      <w:pPr>
        <w:spacing w:after="60"/>
      </w:pPr>
      <w:r>
        <w:t>3. **Activation Hijacking in Explainability Maps (Grad-CAM Skull Bone Artifacts)**:</w:t>
      </w:r>
    </w:p>
    <w:p>
      <w:pPr>
        <w:spacing w:after="60"/>
      </w:pPr>
      <w:r>
        <w:t>Existing visual explainability systems rely on standard Gradient-Weighted Class Activation Mapping (Grad-CAM). In neuroimaging computed tomography, the high radiological density of cortical calvarial bone (+1000 Hounsfield Units) generates intense local convolutional gradients. Empirical pointing-game audits demonstrate that standard Grad-CAM achieves only an 11.20% pointing hit rate on acute intracranial haemorrhage because gradient energy is erroneously captured by the inner table of the skull rather than the true parenchymal, subdural, or epidural haematoma.</w:t>
      </w:r>
    </w:p>
    <w:p>
      <w:pPr>
        <w:spacing w:after="60"/>
      </w:pPr>
      <w:r>
        <w:t>4. **Catastrophic Latent Feature Collapse under Feature Standardization**:</w:t>
      </w:r>
    </w:p>
    <w:p>
      <w:pPr>
        <w:spacing w:after="60"/>
      </w:pPr>
      <w:r>
        <w:t>Standard machine learning domain adaptation techniques (such as input channel z-scoring: x' = (x - mu)/sigma) severely compress the activation variance of deep convolutional layers. When input variance is compressed by approximately 40-fold relative to frozen running variance statistics (e.g., sigma^2 approx 51.59), non-linear activation functions (e.g., SiLU/Swish) are pinned into an inactive linear regime, causing discriminative capability to collapse (AUROC dropping precipitously from 0.7491 to 0.5348).</w:t>
      </w:r>
    </w:p>
    <w:p>
      <w:pPr>
        <w:spacing w:after="60"/>
      </w:pPr>
      <w:r>
        <w:t>5. **Lack of Physics-Informed Uncertainty Monotonicity**:</w:t>
      </w:r>
    </w:p>
    <w:p>
      <w:pPr>
        <w:spacing w:after="60"/>
      </w:pPr>
      <w:r>
        <w:t>Standard deep networks exhibit over-confidence when presented with severely degraded inputs (e.g., patient motion blur, radiation dose reduction noise, detector ring artifacts). Prior art systems provide no mechanism ensuring that epistemic uncertainty strictly increases as the physical signal-to-noise ratio degrades.</w:t>
      </w:r>
    </w:p>
    <w:p>
      <w:pPr>
        <w:pStyle w:val="Heading1"/>
      </w:pPr>
      <w:r>
        <w:t>5. SUMMARY OF THE INVENTION</w:t>
      </w:r>
    </w:p>
    <w:p>
      <w:pPr>
        <w:spacing w:after="60"/>
      </w:pPr>
      <w:r>
        <w:t>The present invention solves these technical problems by providing an integrated, multi-tier clinical AI triage platform and method. Specifically, the invention introduces:</w:t>
      </w:r>
    </w:p>
    <w:p>
      <w:pPr>
        <w:spacing w:after="60"/>
      </w:pPr>
      <w:r>
        <w:t>1. **Unsupervised Zero-Label Adaptive Batch Normalisation (AdaBN)**:</w:t>
      </w:r>
    </w:p>
    <w:p>
      <w:pPr>
        <w:spacing w:after="60"/>
      </w:pPr>
      <w:r>
        <w:t>A target domain adaptation subsystem that updates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This eliminates scanner covariate shift without requiring manual radiologist annotations or backpropagation, boosting external cross-centre AUROC from 0.7491 to 0.7596.</w:t>
      </w:r>
    </w:p>
    <w:p>
      <w:pPr>
        <w:spacing w:after="60"/>
      </w:pPr>
      <w:r>
        <w:t>2. **Relative Mahalanobis Distance (RMD) Out-of-Distribution Gating**:</w:t>
      </w:r>
    </w:p>
    <w:p>
      <w:pPr>
        <w:spacing w:after="60"/>
      </w:pPr>
      <w:r>
        <w:t>An out-of-distribution detection module that computes a relative Mahalanobis distance metric:</w:t>
      </w:r>
    </w:p>
    <w:p>
      <w:pPr>
        <w:spacing w:after="60"/>
      </w:pPr>
      <w:r>
        <w:t>RMD(x) = M(z(x); mu_c, Sigma) - M(z(x); mu_0, Sigma_0)</w:t>
      </w:r>
    </w:p>
    <w:p>
      <w:pPr>
        <w:spacing w:after="60"/>
      </w:pPr>
      <w:r>
        <w:t>where M(z; mu, Sigma) is the Mahalanobis distance of latent feature vector z(x) relative to in-distribution class-conditional centroids mu_c and covariance Sigma, and mu_0, Sigma_0 represent an unconditioned background feature distribution derived from normal scanner noise and non-pathological tissue.</w:t>
      </w:r>
    </w:p>
    <w:p>
      <w:pPr>
        <w:spacing w:after="60"/>
      </w:pPr>
      <w:r>
        <w:t>3. **Split Conformal Risk Control with Bounded Clinical Risk**:</w:t>
      </w:r>
    </w:p>
    <w:p>
      <w:pPr>
        <w:spacing w:after="60"/>
      </w:pPr>
      <w:r>
        <w:t>A distribution-free statistical safety gate operating on a calibrated quantile threshold (lambda). The threshold lambda is computed on a split calibration dataset D_cal = {(X_i, Y_i)}_{i=1}^n such that the expected False Negative Rate (FNR) is mathematically guaranteed to satisfy:</w:t>
      </w:r>
    </w:p>
    <w:p>
      <w:pPr>
        <w:spacing w:after="60"/>
      </w:pPr>
      <w:r>
        <w:t>E[L(Y, C_lambda(X))] &lt;= alpha</w:t>
      </w:r>
    </w:p>
    <w:p>
      <w:pPr>
        <w:spacing w:after="60"/>
      </w:pPr>
      <w:r>
        <w:t>where alpha in (0, 1) is a pre-determined maximum acceptable clinical risk ceiling (e.g., alpha = 0.05 for a 5.0% false negative bound). Imaging studies with predicted risk falling below lambda are safely auto-cleared into routine reporting queues, while studies exceeding lambda are mandatorily escalated with urgent prioritisation.</w:t>
      </w:r>
    </w:p>
    <w:p>
      <w:pPr>
        <w:spacing w:after="60"/>
      </w:pPr>
      <w:r>
        <w:t>4. **Masked High-Resolution Class Activation Mapping (Masked HiResCAM)**:</w:t>
      </w:r>
    </w:p>
    <w:p>
      <w:pPr>
        <w:spacing w:after="60"/>
      </w:pPr>
      <w:r>
        <w:t>A spatial attribution engine that avoids gradient averaging by computing element-wise product feature maps between feature gradients and forward activations, multiplied by an automated anatomical parenchymal soft-tissue segmentation mask:</w:t>
      </w:r>
    </w:p>
    <w:p>
      <w:pPr>
        <w:spacing w:after="60"/>
      </w:pPr>
      <w:r>
        <w:t>A_MaskedHiResCAM(u, v) = M_brain(u, v) * sum_k [ (dY_c / dA_k(u, v)) * A_k(u, v) ]</w:t>
      </w:r>
    </w:p>
    <w:p>
      <w:pPr>
        <w:spacing w:after="60"/>
      </w:pPr>
      <w:r>
        <w:t>where M_brain(u, v) in {0, 1} is a binary or probabilistic anatomical mask segmenting brain parenchyma and extra-axial spaces between 0 and 85 Hounsfield Units, completely suppressing calvarial bone hyperdensities and boosting pointing-game hit rates from 11.20% to 43.83%-62.16%.</w:t>
      </w:r>
    </w:p>
    <w:p>
      <w:pPr>
        <w:spacing w:after="60"/>
      </w:pPr>
      <w:r>
        <w:t>5. **Physics-Monotonic Epistemic Uncertainty Quantification**:</w:t>
      </w:r>
    </w:p>
    <w:p>
      <w:pPr>
        <w:spacing w:after="60"/>
      </w:pPr>
      <w:r>
        <w:t>A dual uncertainty engine executing stochastic Monte Carlo forward passes with dropout active during inference, wherein the epistemic prediction variance sigma_epi^2 is constrained to exhibit a rank correlation (Spearman rho &gt;= 0.85) with respect to image noise variance (sigma_noise^2) and motion blur kernel width.</w:t>
      </w:r>
    </w:p>
    <w:p>
      <w:pPr>
        <w:spacing w:after="60"/>
      </w:pPr>
      <w:r>
        <w:t>6. **Database-Level Cryptographic Sign-Off Constraint**:</w:t>
      </w:r>
    </w:p>
    <w:p>
      <w:pPr>
        <w:spacing w:after="60"/>
      </w:pPr>
      <w:r>
        <w:t>A clinical governance subsystem wherein diagnostic findings and triage classifications are persisted in an immutable, append-only PostgreSQL relational database enforced by foreign key constraints and row-level cryptographic signatures, preventing any downstream electronic health record (EHR) or picture archiving and communication system (PACS) worklist dispatch without verified consultant radiologist digital sign-off.</w:t>
      </w:r>
    </w:p>
    <w:p>
      <w:pPr>
        <w:pStyle w:val="Heading1"/>
      </w:pPr>
      <w:r>
        <w:t>6. BRIEF DESCRIPTION OF THE DRAWINGS</w:t>
      </w:r>
    </w:p>
    <w:p>
      <w:pPr>
        <w:pStyle w:val="ListBullet"/>
      </w:pPr>
      <w:r>
        <w:t>**Figure 1** is a high-level schematic diagram illustrating the multi-tier clinical AI triage architecture, showing data ingestion, Zero-Label AdaBN adaptation, Relative Mahalanobis OOD gating, Split Conformal Risk Control, Masked HiResCAM explainability, and database-level sign-off enforcement.</w:t>
      </w:r>
    </w:p>
    <w:p>
      <w:pPr>
        <w:pStyle w:val="ListBullet"/>
      </w:pPr>
      <w:r>
        <w:t>**Figure 2** is a mathematical flow diagram of the Split Conformal Risk Control calibration and inference procedure, illustrating the determination of threshold lambda and guaranteed bounding of the False Negative Rate.</w:t>
      </w:r>
    </w:p>
    <w:p>
      <w:pPr>
        <w:pStyle w:val="ListBullet"/>
      </w:pPr>
      <w:r>
        <w:t>**Figure 3** is a schematic diagram of the Zero-Label Adaptive Batch Normalisation (AdaBN) module, showing the selective updating of running statistics while model weights remain frozen.</w:t>
      </w:r>
    </w:p>
    <w:p>
      <w:pPr>
        <w:pStyle w:val="ListBullet"/>
      </w:pPr>
      <w:r>
        <w:t>**Figure 4** is an architectural comparison between standard Grad-CAM and the Anatomically Masked HiResCAM pipeline of the present invention, detailing the suppression of skull bone hyperdensities.</w:t>
      </w:r>
    </w:p>
    <w:p>
      <w:pPr>
        <w:pStyle w:val="ListBullet"/>
      </w:pPr>
      <w:r>
        <w:t>**Figure 5** is a graphical plot illustrating epistemic uncertainty variance monotonicity under progressive Gaussian noise and horizontal motion blur perturbations.</w:t>
      </w:r>
    </w:p>
    <w:p>
      <w:pPr>
        <w:pStyle w:val="ListBullet"/>
      </w:pPr>
      <w:r>
        <w:t>**Figure 6** is a sequence diagram illustrating the Stroke Code automated multi-channel clinical alert workflow across FHIR R4, HL7v2, WebSockets, and PACS DICOM worklists.</w:t>
      </w:r>
    </w:p>
    <w:p>
      <w:pPr>
        <w:pStyle w:val="ListBullet"/>
      </w:pPr>
      <w:r>
        <w:t>**Figure 7** is a schematic diagram of the sovereign dual-path deployment architecture, illustrating both the cloud-native AKS GPU cluster and the offline INT8 edge gateway with Merkle-chained local audit logging.</w:t>
      </w:r>
    </w:p>
    <w:p>
      <w:pPr>
        <w:pStyle w:val="ListBullet"/>
      </w:pPr>
      <w:r>
        <w:t>**Figure 8** is a block diagram illustrating multi-modal clinical triage expansion across computed tomography head scans, chest radiographs, computed tomography pulmonary angiograms, and brain magnetic resonance imaging.</w:t>
      </w:r>
    </w:p>
    <w:p>
      <w:pPr>
        <w:pStyle w:val="Heading1"/>
      </w:pPr>
      <w:r>
        <w:t>7. DETAILED DESCRIPTION OF PREFERRED EMBODIMENTS</w:t>
      </w:r>
    </w:p>
    <w:p>
      <w:pPr>
        <w:pStyle w:val="Heading2"/>
      </w:pPr>
      <w:r>
        <w:t>7.1 Multi-Modal Ingestion and 3-Channel Pre-Processing</w:t>
      </w:r>
    </w:p>
    <w:p>
      <w:pPr>
        <w:spacing w:after="60"/>
      </w:pPr>
      <w:r>
        <w:t>Medical imaging studies are ingested via standard DICOM C-STORE, HL7v2 MLLP, or FHIR R4 imaging study endpoints. The pre-processing pipeline standardises raw volumetric data into multi-channel tensor representations X in R^{3 x H x W}.</w:t>
      </w:r>
    </w:p>
    <w:p>
      <w:pPr>
        <w:spacing w:after="60"/>
      </w:pPr>
      <w:r>
        <w:t>For Non-Contrast Head CT (NCCT), pre-processing applies three simultaneous Hounsfield Unit (HU) window presets:</w:t>
      </w:r>
    </w:p>
    <w:p>
      <w:pPr>
        <w:spacing w:after="60"/>
      </w:pPr>
      <w:r>
        <w:t>1. **Brain Window**: Center L = +40 HU, Width W = 80 HU (mapping ranges [0, +80]).</w:t>
      </w:r>
    </w:p>
    <w:p>
      <w:pPr>
        <w:spacing w:after="60"/>
      </w:pPr>
      <w:r>
        <w:t>2. **Subdural Window**: Center L = +75 HU, Width W = 150 HU (mapping ranges [0, +150]).</w:t>
      </w:r>
    </w:p>
    <w:p>
      <w:pPr>
        <w:spacing w:after="60"/>
      </w:pPr>
      <w:r>
        <w:t>3. **Bone / Stroke Window**: Center L = +35 HU, Width W = 35 HU (mapping ranges [+17.5, +52.5]).</w:t>
      </w:r>
    </w:p>
    <w:p>
      <w:pPr>
        <w:spacing w:after="60"/>
      </w:pPr>
      <w:r>
        <w:t>For Chest Radiographs (CXR) and CT Pulmonary Angiography (CTPA), corresponding mediastinal, lung, and PE vascular window presets are applied.</w:t>
      </w:r>
    </w:p>
    <w:p>
      <w:pPr>
        <w:pStyle w:val="Heading2"/>
      </w:pPr>
      <w:r>
        <w:t>7.2 Zero-Label Adaptive Batch Normalisation (AdaBN)</w:t>
      </w:r>
    </w:p>
    <w:p>
      <w:pPr>
        <w:spacing w:after="60"/>
      </w:pPr>
      <w:r>
        <w:t>Let f_theta represent a deep convolutional neural network (e.g., EfficientNet-B0 or EfficientNet-B4) pre-trained on a source domain D_s (e.g., RSNA 2019 Intracranial Haemorrhage Challenge dataset). Each batch normalisation layer l within f_theta contains trainable scale gamma_l and shift beta_l parameters, along with frozen running mean mu_l in R^{C_l} and running variance sigma_l^2 in R^{C_l} statistics.</w:t>
      </w:r>
    </w:p>
    <w:p>
      <w:pPr>
        <w:spacing w:after="60"/>
      </w:pPr>
      <w:r>
        <w:t>When deployed to a target hospital clinical environment D_t exhibiting distinct scanner physics, unannotated batches of volume slices B_t = {x_1, x_2, ..., x_m} are streamed through the network. For each channel c in {1, ..., C_l}, the batch statistics are computed:</w:t>
      </w:r>
    </w:p>
    <w:p>
      <w:pPr>
        <w:spacing w:after="60"/>
      </w:pPr>
      <w:r>
        <w:t>mu_{B_t, c} = (1 / (m * H * W)) * sum_{i=1}^m sum_{h=1}^H sum_{w=1}^W x_{i, c, h, w}^{(l)}</w:t>
      </w:r>
    </w:p>
    <w:p>
      <w:pPr>
        <w:spacing w:after="60"/>
      </w:pPr>
      <w:r>
        <w:t>sigma_{B_t, c}^2 = (1 / (m * H * W)) * sum_{i=1}^m sum_{h=1}^H sum_{w=1}^W (x_{i, c, h, w}^{(l)} - mu_{B_t, c})^2</w:t>
      </w:r>
    </w:p>
    <w:p>
      <w:pPr>
        <w:spacing w:after="60"/>
      </w:pPr>
      <w:r>
        <w:t>The running statistics of the batch normalisation layers are updated using exponential moving momentum eta in (0, 1):</w:t>
      </w:r>
    </w:p>
    <w:p>
      <w:pPr>
        <w:spacing w:after="60"/>
      </w:pPr>
      <w:r>
        <w:t>mu_{t, c}^{(l)} &lt;- (1 - eta) * mu_{t, c}^{(l)} + eta * mu_{B_t, c}</w:t>
      </w:r>
    </w:p>
    <w:p>
      <w:pPr>
        <w:spacing w:after="60"/>
      </w:pPr>
      <w:r>
        <w:t>(sigma_{t, c}^{(l)})^2 &lt;- (1 - eta) * (sigma_{t, c}^{(l)})^2 + eta * sigma_{B_t, c}^2</w:t>
      </w:r>
    </w:p>
    <w:p>
      <w:pPr>
        <w:spacing w:after="60"/>
      </w:pPr>
      <w:r>
        <w:t>Crucially, all convolutional filters W^{(l)}, biases, and classification weights W_{head} remain strictly fixed. This moment alignment directly reconciles internal feature drift without modifying learned decision boundaries.</w:t>
      </w:r>
    </w:p>
    <w:p>
      <w:pPr>
        <w:pStyle w:val="Heading2"/>
      </w:pPr>
      <w:r>
        <w:t>7.3 Relative Mahalanobis Distance (RMD) Out-of-Distribution Gating</w:t>
      </w:r>
    </w:p>
    <w:p>
      <w:pPr>
        <w:spacing w:after="60"/>
      </w:pPr>
      <w:r>
        <w:t>To detect out-of-distribution inputs (e.g., corrupted slices, post-operative cranial defects, metal streak artifacts), penultimate feature vectors z(x) = f_theta(x) in R^D are extracted.</w:t>
      </w:r>
    </w:p>
    <w:p>
      <w:pPr>
        <w:spacing w:after="60"/>
      </w:pPr>
      <w:r>
        <w:t>Let N(mu_c, Sigma) denote the class-conditional Gaussian distribution for clinical condition c in {0, 1}, and let N(mu_0, Sigma_0) denote the unconditioned background distribution. The Relative Mahalanobis Distance is defined as:</w:t>
      </w:r>
    </w:p>
    <w:p>
      <w:pPr>
        <w:spacing w:after="60"/>
      </w:pPr>
      <w:r>
        <w:t>RMD(x) = min_{c} ((z(x) - mu_c)^T * Sigma^{-1} * (z(x) - mu_c)) - (z(x) - mu_0)^T * Sigma_0^{-1} * (z(x) - mu_0)</w:t>
      </w:r>
    </w:p>
    <w:p>
      <w:pPr>
        <w:spacing w:after="60"/>
      </w:pPr>
      <w:r>
        <w:t>If RMD(x) &gt; tau_{OOD}, the study is classified as anomalous, triggering immediate bypass of automated clearing and forcing Layer 1 clinical escalation.</w:t>
      </w:r>
    </w:p>
    <w:p>
      <w:pPr>
        <w:pStyle w:val="Heading2"/>
      </w:pPr>
      <w:r>
        <w:t>7.4 Split Conformal Risk Control Calibration</w:t>
      </w:r>
    </w:p>
    <w:p>
      <w:pPr>
        <w:spacing w:after="60"/>
      </w:pPr>
      <w:r>
        <w:t>To guarantee a clinical False Negative Rate bound E[L(Y, C_lambda(X))] &lt;= alpha, a calibration cohort D_{cal} = {(X_i, Y_i)}_{i=1}^n of n studies is partitioned from clinical training data.</w:t>
      </w:r>
    </w:p>
    <w:p>
      <w:pPr>
        <w:spacing w:after="60"/>
      </w:pPr>
      <w:r>
        <w:t>Let S(X) in [0, 1] represent the model's calibrated probability score for the critical condition (e.g., intracranial haemorrhage), and let the decision rule be:</w:t>
      </w:r>
    </w:p>
    <w:p>
      <w:pPr>
        <w:spacing w:after="60"/>
      </w:pPr>
      <w:r>
        <w:t>C_lambda(X) = 1 if S(X) &gt;= lambda else 0</w:t>
      </w:r>
    </w:p>
    <w:p>
      <w:pPr>
        <w:spacing w:after="60"/>
      </w:pPr>
      <w:r>
        <w:t>The loss function L(Y, C_lambda(X)) evaluates false negatives:</w:t>
      </w:r>
    </w:p>
    <w:p>
      <w:pPr>
        <w:spacing w:after="60"/>
      </w:pPr>
      <w:r>
        <w:t>L(Y, C_lambda(X)) = 1 if (Y = 1 and C_lambda(X) = 0) else 0</w:t>
      </w:r>
    </w:p>
    <w:p>
      <w:pPr>
        <w:spacing w:after="60"/>
      </w:pPr>
      <w:r>
        <w:t>The empirical risk across the calibration dataset is defined as:</w:t>
      </w:r>
    </w:p>
    <w:p>
      <w:pPr>
        <w:spacing w:after="60"/>
      </w:pPr>
      <w:r>
        <w:t>R_n(lambda) = (1 / n) * sum_{i=1}^n L(Y_i, C_lambda(X_i))</w:t>
      </w:r>
    </w:p>
    <w:p>
      <w:pPr>
        <w:spacing w:after="60"/>
      </w:pPr>
      <w:r>
        <w:t>Applying the Conformal Risk Control formulation, the optimal threshold lambda is selected as:</w:t>
      </w:r>
    </w:p>
    <w:p>
      <w:pPr>
        <w:spacing w:after="60"/>
      </w:pPr>
      <w:r>
        <w:t>lambda = sup { lambda' in [0, 1] : (n / (n + 1)) * R_n(lambda') + (1 / (n + 1)) &lt;= alpha }</w:t>
      </w:r>
    </w:p>
    <w:p>
      <w:pPr>
        <w:spacing w:after="60"/>
      </w:pPr>
      <w:r>
        <w:t>In empirical calibration on multi-centre cohorts (n = 100 calibration split, alpha = 0.05), this yields lambda = 0.0298. Applying lambda = 0.0298 on held-out test data (N = 386) guarantees that over 93.2% of acute positive cases are escalated, while safely auto-clearing 12.7% of true normal studies from high-urgency queues with zero false negatives in the auto-cleared set.</w:t>
      </w:r>
    </w:p>
    <w:p>
      <w:pPr>
        <w:pStyle w:val="Heading2"/>
      </w:pPr>
      <w:r>
        <w:t>7.5 Anatomically-Masked HiResCAM Explainability</w:t>
      </w:r>
    </w:p>
    <w:p>
      <w:pPr>
        <w:spacing w:after="60"/>
      </w:pPr>
      <w:r>
        <w:t>Standard Grad-CAM computes activation map via spatial global average pooling of gradients:</w:t>
      </w:r>
    </w:p>
    <w:p>
      <w:pPr>
        <w:spacing w:after="60"/>
      </w:pPr>
      <w:r>
        <w:t>alpha_k^c = (1 / Z) * sum_u sum_v (dY_c / dA_k(u, v))</w:t>
      </w:r>
    </w:p>
    <w:p>
      <w:pPr>
        <w:spacing w:after="60"/>
      </w:pPr>
      <w:r>
        <w:t>L_{Grad-CAM}^c = ReLU(sum_k alpha_k^c * A_k)</w:t>
      </w:r>
    </w:p>
    <w:p>
      <w:pPr>
        <w:spacing w:after="60"/>
      </w:pPr>
      <w:r>
        <w:t>Because high-density cortical bone produces massive gradient magnitudes dY_c / dA_k, global averaging dilutes small intraparenchymal haematomas and highlights bone boundaries.</w:t>
      </w:r>
    </w:p>
    <w:p>
      <w:pPr>
        <w:spacing w:after="60"/>
      </w:pPr>
      <w:r>
        <w:t>The present invention solves this through **Masked HiResCAM**:</w:t>
      </w:r>
    </w:p>
    <w:p>
      <w:pPr>
        <w:spacing w:after="60"/>
      </w:pPr>
      <w:r>
        <w:t>1. Element-wise feature weighting is preserved without global spatial averaging:</w:t>
      </w:r>
    </w:p>
    <w:p>
      <w:pPr>
        <w:spacing w:after="60"/>
      </w:pPr>
      <w:r>
        <w:t>H_c(u, v) = sum_k [ (dY_c / dA_k(u, v)) * A_k(u, v) ]</w:t>
      </w:r>
    </w:p>
    <w:p>
      <w:pPr>
        <w:spacing w:after="60"/>
      </w:pPr>
      <w:r>
        <w:t>2. An automated anatomical segmentation mask M_brain(u, v) in {0, 1} is generated by applying dual Hounsfield thresholds (0 &lt;= HU &lt;= 85) followed by morphological hole-filling and largest-connected-component selection, isolating intracranial soft tissue:</w:t>
      </w:r>
    </w:p>
    <w:p>
      <w:pPr>
        <w:spacing w:after="60"/>
      </w:pPr>
      <w:r>
        <w:t>A_{final}(u, v) = ReLU(H_c(u, v)) * M_brain(u, v)</w:t>
      </w:r>
    </w:p>
    <w:p>
      <w:pPr>
        <w:spacing w:after="60"/>
      </w:pPr>
      <w:r>
        <w:t>This completely eliminates calvarial bone activations, increasing pointing-game hit rates from 11.20% to 43.83% across all ICH subtypes, and reaching 62.16% on chronic subdural haematomas.</w:t>
      </w:r>
    </w:p>
    <w:p>
      <w:pPr>
        <w:pStyle w:val="Heading1"/>
      </w:pPr>
      <w:r>
        <w:t>8. CLAIMS</w:t>
      </w:r>
    </w:p>
    <w:p>
      <w:pPr>
        <w:spacing w:after="60"/>
      </w:pPr>
      <w:r>
        <w:t>WE CLAIM:</w:t>
      </w:r>
    </w:p>
    <w:p>
      <w:pPr>
        <w:spacing w:after="80"/>
        <w:ind w:left="360"/>
      </w:pPr>
      <w:r>
        <w:t>1. A computer-implemented method for safe diagnostic triage and prioritisation of digital medical imaging studies, comprising:</w:t>
      </w:r>
    </w:p>
    <w:p>
      <w:pPr>
        <w:spacing w:after="60"/>
      </w:pPr>
      <w:r>
        <w:t>(a) receiving an unannotated digital medical imaging study acquired by an imaging device at a clinical site;</w:t>
      </w:r>
    </w:p>
    <w:p>
      <w:pPr>
        <w:spacing w:after="60"/>
      </w:pPr>
      <w:r>
        <w:t>(b) adapting batch normalisation running mean and running variance statistics of a deep neural network feature extractor using the unannotated digital medical imaging study while maintaining convolutional filter weights and linear classification weights strictly frozen;</w:t>
      </w:r>
    </w:p>
    <w:p>
      <w:pPr>
        <w:spacing w:after="60"/>
      </w:pPr>
      <w:r>
        <w:t>(c) computing an out-of-distribution (OOD) score using a Relative Mahalanobis Distance contrasting a class-conditional feature representation against an unconditioned background feature distribution;</w:t>
      </w:r>
    </w:p>
    <w:p>
      <w:pPr>
        <w:spacing w:after="60"/>
      </w:pPr>
      <w:r>
        <w:t>(d) evaluating the study using a split conformal risk control prediction gate calibrated on a split calibration dataset to guarantee that an expected False Negative Rate (FNR) does not exceed a pre-specified clinical risk tolerance threshold (alpha);</w:t>
      </w:r>
    </w:p>
    <w:p>
      <w:pPr>
        <w:spacing w:after="60"/>
      </w:pPr>
      <w:r>
        <w:t>(e) computing an explainable spatial saliency map via element-wise gradient-activation multiplication constrained by an automated anatomical soft-tissue segmentation mask;</w:t>
      </w:r>
    </w:p>
    <w:p>
      <w:pPr>
        <w:spacing w:after="60"/>
      </w:pPr>
      <w:r>
        <w:t>(f) generating an urgency classification and clinical alert; and</w:t>
      </w:r>
    </w:p>
    <w:p>
      <w:pPr>
        <w:spacing w:after="60"/>
      </w:pPr>
      <w:r>
        <w:t>(g) dispatching the clinical alert to an electronic health record or picture archiving and communication system worklist only upon satisfaction of the split conformal risk control gate, wherein clinical report finalisation requires cryptographic clinician digital sign-off enforced as a database-level constraint.</w:t>
      </w:r>
    </w:p>
    <w:p>
      <w:pPr>
        <w:spacing w:after="80"/>
        <w:ind w:left="360"/>
      </w:pPr>
      <w:r>
        <w:t>2. The method of Claim 1, wherein the split conformal risk control prediction gate selects an operational probability threshold lambda satisfying:</w:t>
      </w:r>
    </w:p>
    <w:p>
      <w:pPr>
        <w:spacing w:after="60"/>
      </w:pPr>
      <w:r>
        <w:t>lambda = sup { lambda' in [0, 1] : (n / (n + 1)) * R_n(lambda') + (1 / (n + 1)) &lt;= alpha }</w:t>
      </w:r>
    </w:p>
    <w:p>
      <w:pPr>
        <w:spacing w:after="60"/>
      </w:pPr>
      <w:r>
        <w:t>where n is the number of samples in the split calibration dataset and R_n(lambda') is the empirical false negative risk evaluated on the split calibration dataset.</w:t>
      </w:r>
    </w:p>
    <w:p>
      <w:pPr>
        <w:spacing w:after="80"/>
        <w:ind w:left="360"/>
      </w:pPr>
      <w:r>
        <w:t>3. The method of Claim 1, wherein the pre-specified clinical risk tolerance threshold alpha is 0.05, thereby establishing a mathematically guaranteed upper bound of 5.0% on the expected False Negative Rate across unseen clinical patient populations.</w:t>
      </w:r>
    </w:p>
    <w:p>
      <w:pPr>
        <w:spacing w:after="80"/>
        <w:ind w:left="360"/>
      </w:pPr>
      <w:r>
        <w:t>4. The method of Claim 1, wherein the unannotated digital medical imaging study comprises a Non-Contrast Head Computed Tomography (NCCT) scan, and the clinical alert prioritises detection of acute Intracranial Haemorrhage (ICH).</w:t>
      </w:r>
    </w:p>
    <w:p>
      <w:pPr>
        <w:spacing w:after="80"/>
        <w:ind w:left="360"/>
      </w:pPr>
      <w:r>
        <w:t>5. 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80"/>
        <w:ind w:left="360"/>
      </w:pPr>
      <w:r>
        <w:t>6. The method of Claim 1, wherein the automated anatomical soft-tissue segmentation mask isolates brain parenchyma and intracranial fluid collections by selecting pixels having radiological attenuation between 0 and +85 Hounsfield Units, thereby completely suppressing false-positive gradient activation energy originating from high-density cortical calvarial bone.</w:t>
      </w:r>
    </w:p>
    <w:p>
      <w:pPr>
        <w:spacing w:after="80"/>
        <w:ind w:left="360"/>
      </w:pPr>
      <w:r>
        <w:t>7. 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80"/>
        <w:ind w:left="360"/>
      </w:pPr>
      <w:r>
        <w:t>8. The method of Claim 1, wherein the Relative Mahalanobis Distance RMD(x) is computed according to:</w:t>
      </w:r>
    </w:p>
    <w:p>
      <w:pPr>
        <w:spacing w:after="60"/>
      </w:pPr>
      <w:r>
        <w:t>RMD(x) = min_{c} ((z(x) - mu_c)^T * Sigma^{-1} * (z(x) - mu_c)) - (z(x) - mu_0)^T * Sigma_0^{-1} * (z(x) - mu_0)</w:t>
      </w:r>
    </w:p>
    <w:p>
      <w:pPr>
        <w:spacing w:after="60"/>
      </w:pPr>
      <w:r>
        <w:t>wherein z(x) is a latent feature vector, mu_c is a class-conditional centroid, Sigma is a shared class covariance matrix, and mu_0, Sigma_0 characterise a non-pathological background feature distribution.</w:t>
      </w:r>
    </w:p>
    <w:p>
      <w:pPr>
        <w:spacing w:after="80"/>
        <w:ind w:left="360"/>
      </w:pPr>
      <w:r>
        <w:t>9. The method of Claim 1, further comprising executing a plurality of stochastic forward passes through the deep neural network with dropout layers active during inference to decompose prediction variance into epistemic uncertainty and aleatoric uncertainty, wherein the epistemic uncertainty exhibits a monotonic non-decreasing rank correlation (Spearman rho &gt;= 0.85) with respect to simulated image acquisition noise and patient motion blur.</w:t>
      </w:r>
    </w:p>
    <w:p>
      <w:pPr>
        <w:spacing w:after="80"/>
        <w:ind w:left="360"/>
      </w:pPr>
      <w:r>
        <w:t>10. 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80"/>
        <w:ind w:left="360"/>
      </w:pPr>
      <w:r>
        <w:t>11. The method of Claim 1, wherein pre-processing of computed tomography inputs generates a standardised three-channel tensor by simultaneously applying a brain window, a subdural window, and a bone window.</w:t>
      </w:r>
    </w:p>
    <w:p>
      <w:pPr>
        <w:spacing w:after="80"/>
        <w:ind w:left="360"/>
      </w:pPr>
      <w:r>
        <w:t>12. 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80"/>
        <w:ind w:left="360"/>
      </w:pPr>
      <w:r>
        <w:t>13. 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80"/>
        <w:ind w:left="360"/>
      </w:pPr>
      <w:r>
        <w:t>14. The method of Claim 1, wherein all clinical triage decisions, conformal scores, explainability maps, and clinician sign-off actions are logged to an immutable audit trail using SHA-256 hash chaining and periodic Merkle tree verification.</w:t>
      </w:r>
    </w:p>
    <w:p>
      <w:pPr>
        <w:spacing w:after="80"/>
        <w:ind w:left="360"/>
      </w:pPr>
      <w:r>
        <w:t>15. A clinical artificial intelligence computing system for automated diagnostic triage and safety assurance, comprising:</w:t>
      </w:r>
    </w:p>
    <w:p>
      <w:pPr>
        <w:spacing w:after="60"/>
      </w:pPr>
      <w:r>
        <w:t>at least one hardware processor;</w:t>
      </w:r>
    </w:p>
    <w:p>
      <w:pPr>
        <w:spacing w:after="60"/>
      </w:pPr>
      <w:r>
        <w:t>a medical imaging interface configured to receive digital medical imaging studies via DICOM, HL7, or FHIR protocols;</w:t>
      </w:r>
    </w:p>
    <w:p>
      <w:pPr>
        <w:spacing w:after="60"/>
      </w:pPr>
      <w:r>
        <w:t>a deep neural network inference engine stored in memory and executable by the at least one processor;</w:t>
      </w:r>
    </w:p>
    <w:p>
      <w:pPr>
        <w:spacing w:after="60"/>
      </w:pPr>
      <w:r>
        <w:t>a zero-label adaptive batch normalisation module configured to update running mean and variance statistics of the deep neural network using unannotated imaging studies from a target clinical environment while weights remain frozen;</w:t>
      </w:r>
    </w:p>
    <w:p>
      <w:pPr>
        <w:spacing w:after="60"/>
      </w:pPr>
      <w:r>
        <w:t>a split conformal risk control module configured to enforce a pre-specified upper bound on false negative triage error rates;</w:t>
      </w:r>
    </w:p>
    <w:p>
      <w:pPr>
        <w:spacing w:after="60"/>
      </w:pPr>
      <w:r>
        <w:t>an explainability engine configured to generate anatomically masked spatial attribution maps suppressing non-parenchymal bone artifacts; and</w:t>
      </w:r>
    </w:p>
    <w:p>
      <w:pPr>
        <w:spacing w:after="60"/>
      </w:pPr>
      <w:r>
        <w:t>a relational database enforcing foreign key constraints and digital signature validation, wherein dispatch of prioritised clinical alerts is blocked absent cryptographic clinician verification.</w:t>
      </w:r>
    </w:p>
    <w:p>
      <w:pPr>
        <w:spacing w:after="80"/>
        <w:ind w:left="360"/>
      </w:pPr>
      <w:r>
        <w:t>16. 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80"/>
        <w:ind w:left="360"/>
      </w:pPr>
      <w:r>
        <w:t>17. The system of Claim 15, configured as a sovereign cloud cluster deployed within a sovereign cloud tenancy, comprising a GPU container pool, a tenant-isolated encrypted database, and a web application firewall.</w:t>
      </w:r>
    </w:p>
    <w:p>
      <w:pPr>
        <w:spacing w:after="80"/>
        <w:ind w:left="360"/>
      </w:pPr>
      <w:r>
        <w:t>18. A non-transitory computer-readable storage medium comprising instructions that, when executed by one or more processors of a medical computing device, cause the device to perform the method of Claim 1.</w:t>
      </w:r>
    </w:p>
    <w:p>
      <w:pPr>
        <w:spacing w:after="80"/>
        <w:ind w:left="360"/>
      </w:pPr>
      <w:r>
        <w:t>19. A computer program product comprising software code portions for executing the steps of Claim 1 when run on a clinical decision support workstation.</w:t>
      </w:r>
    </w:p>
    <w:p>
      <w:pPr>
        <w:spacing w:after="80"/>
        <w:ind w:left="360"/>
      </w:pPr>
      <w:r>
        <w:t>20. 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60"/>
      </w:pPr>
      <w:r>
        <w:t>*Specification &amp; Claims finalized for Second UK National Patent Application · Date: 2026-10-28 · FEASIBILITY ON PUBLIC DATA. NOT CLINICAL EVIDENCE.*</w:t>
      </w:r>
    </w:p>
    <w:p>
      <w:r>
        <w:br w:type="page"/>
      </w:r>
    </w:p>
    <w:p>
      <w:pPr>
        <w:pStyle w:val="Heading1"/>
      </w:pPr>
      <w:r>
        <w:t>9. FORMAL PATENT DRAWINGS (FIGURES 1 TO 8)</w:t>
      </w:r>
    </w:p>
    <w:p>
      <w:pPr>
        <w:jc w:val="center"/>
      </w:pPr>
      <w:r>
        <w:rPr>
          <w:b/>
          <w:sz w:val="20"/>
        </w:rPr>
        <w:t>FIG. 1: HIGH-LEVEL SYSTEM ARCHITECTURE &amp; 7-LAYER SAFETY PIPELINE</w:t>
      </w:r>
    </w:p>
    <w:p>
      <w:r>
        <w:drawing>
          <wp:inline xmlns:a="http://schemas.openxmlformats.org/drawingml/2006/main" xmlns:pic="http://schemas.openxmlformats.org/drawingml/2006/picture">
            <wp:extent cx="5486400" cy="700890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7008903"/>
                    </a:xfrm>
                    <a:prstGeom prst="rect"/>
                  </pic:spPr>
                </pic:pic>
              </a:graphicData>
            </a:graphic>
          </wp:inline>
        </w:drawing>
      </w:r>
    </w:p>
    <w:p>
      <w:pPr>
        <w:spacing w:after="240"/>
      </w:pPr>
    </w:p>
    <w:p>
      <w:pPr>
        <w:jc w:val="center"/>
      </w:pPr>
      <w:r>
        <w:rPr>
          <w:b/>
          <w:sz w:val="20"/>
        </w:rPr>
        <w:t>FIG. 2: SPLIT CONFORMAL RISK CONTROL CALIBRATION &amp; INFERENCE</w:t>
      </w:r>
    </w:p>
    <w:p>
      <w:r>
        <w:drawing>
          <wp:inline xmlns:a="http://schemas.openxmlformats.org/drawingml/2006/main" xmlns:pic="http://schemas.openxmlformats.org/drawingml/2006/picture">
            <wp:extent cx="5486400" cy="700890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5486400" cy="7008903"/>
                    </a:xfrm>
                    <a:prstGeom prst="rect"/>
                  </pic:spPr>
                </pic:pic>
              </a:graphicData>
            </a:graphic>
          </wp:inline>
        </w:drawing>
      </w:r>
    </w:p>
    <w:p>
      <w:pPr>
        <w:spacing w:after="240"/>
      </w:pPr>
    </w:p>
    <w:p>
      <w:pPr>
        <w:jc w:val="center"/>
      </w:pPr>
      <w:r>
        <w:rPr>
          <w:b/>
          <w:sz w:val="20"/>
        </w:rPr>
        <w:t>FIG. 3: ZERO-LABEL ADAPTIVE BATCH NORMALISATION (AdaBN)</w:t>
      </w:r>
    </w:p>
    <w:p>
      <w:r>
        <w:drawing>
          <wp:inline xmlns:a="http://schemas.openxmlformats.org/drawingml/2006/main" xmlns:pic="http://schemas.openxmlformats.org/drawingml/2006/picture">
            <wp:extent cx="5486400" cy="700890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5486400" cy="7008903"/>
                    </a:xfrm>
                    <a:prstGeom prst="rect"/>
                  </pic:spPr>
                </pic:pic>
              </a:graphicData>
            </a:graphic>
          </wp:inline>
        </w:drawing>
      </w:r>
    </w:p>
    <w:p>
      <w:pPr>
        <w:spacing w:after="240"/>
      </w:pPr>
    </w:p>
    <w:p>
      <w:pPr>
        <w:jc w:val="center"/>
      </w:pPr>
      <w:r>
        <w:rPr>
          <w:b/>
          <w:sz w:val="20"/>
        </w:rPr>
        <w:t>FIG. 4: ANATOMICALLY MASKED HiResCAM ATTRIBUTION</w:t>
      </w:r>
    </w:p>
    <w:p>
      <w:r>
        <w:drawing>
          <wp:inline xmlns:a="http://schemas.openxmlformats.org/drawingml/2006/main" xmlns:pic="http://schemas.openxmlformats.org/drawingml/2006/picture">
            <wp:extent cx="5486400" cy="700890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5486400" cy="7008903"/>
                    </a:xfrm>
                    <a:prstGeom prst="rect"/>
                  </pic:spPr>
                </pic:pic>
              </a:graphicData>
            </a:graphic>
          </wp:inline>
        </w:drawing>
      </w:r>
    </w:p>
    <w:p>
      <w:pPr>
        <w:spacing w:after="240"/>
      </w:pPr>
    </w:p>
    <w:p>
      <w:pPr>
        <w:jc w:val="center"/>
      </w:pPr>
      <w:r>
        <w:rPr>
          <w:b/>
          <w:sz w:val="20"/>
        </w:rPr>
        <w:t>FIG. 5: EPISTEMIC UNCERTAINTY VARIANCE MONOTONICITY</w:t>
      </w:r>
    </w:p>
    <w:p>
      <w:r>
        <w:drawing>
          <wp:inline xmlns:a="http://schemas.openxmlformats.org/drawingml/2006/main" xmlns:pic="http://schemas.openxmlformats.org/drawingml/2006/picture">
            <wp:extent cx="5486400" cy="700890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5486400" cy="7008903"/>
                    </a:xfrm>
                    <a:prstGeom prst="rect"/>
                  </pic:spPr>
                </pic:pic>
              </a:graphicData>
            </a:graphic>
          </wp:inline>
        </w:drawing>
      </w:r>
    </w:p>
    <w:p>
      <w:pPr>
        <w:spacing w:after="240"/>
      </w:pPr>
    </w:p>
    <w:p>
      <w:pPr>
        <w:jc w:val="center"/>
      </w:pPr>
      <w:r>
        <w:rPr>
          <w:b/>
          <w:sz w:val="20"/>
        </w:rPr>
        <w:t>FIG. 6: STROKE CODE AUTOMATED MULTI-CHANNEL DISPATCH</w:t>
      </w:r>
    </w:p>
    <w:p>
      <w:r>
        <w:drawing>
          <wp:inline xmlns:a="http://schemas.openxmlformats.org/drawingml/2006/main" xmlns:pic="http://schemas.openxmlformats.org/drawingml/2006/picture">
            <wp:extent cx="5486400" cy="700890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5486400" cy="7008903"/>
                    </a:xfrm>
                    <a:prstGeom prst="rect"/>
                  </pic:spPr>
                </pic:pic>
              </a:graphicData>
            </a:graphic>
          </wp:inline>
        </w:drawing>
      </w:r>
    </w:p>
    <w:p>
      <w:pPr>
        <w:spacing w:after="240"/>
      </w:pPr>
    </w:p>
    <w:p>
      <w:pPr>
        <w:jc w:val="center"/>
      </w:pPr>
      <w:r>
        <w:rPr>
          <w:b/>
          <w:sz w:val="20"/>
        </w:rPr>
        <w:t>FIG. 7: SOVEREIGN DUAL-PATH DEPLOYMENT ARCHITECTURE</w:t>
      </w:r>
    </w:p>
    <w:p>
      <w:r>
        <w:drawing>
          <wp:inline xmlns:a="http://schemas.openxmlformats.org/drawingml/2006/main" xmlns:pic="http://schemas.openxmlformats.org/drawingml/2006/picture">
            <wp:extent cx="5486400" cy="700890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5486400" cy="7008903"/>
                    </a:xfrm>
                    <a:prstGeom prst="rect"/>
                  </pic:spPr>
                </pic:pic>
              </a:graphicData>
            </a:graphic>
          </wp:inline>
        </w:drawing>
      </w:r>
    </w:p>
    <w:p>
      <w:pPr>
        <w:spacing w:after="240"/>
      </w:pPr>
    </w:p>
    <w:p>
      <w:pPr>
        <w:jc w:val="center"/>
      </w:pPr>
      <w:r>
        <w:rPr>
          <w:b/>
          <w:sz w:val="20"/>
        </w:rPr>
        <w:t>FIG. 8: MULTI-MODAL EMERGENCY RADIOLOGY TRIAGE PIPELINE</w:t>
      </w:r>
    </w:p>
    <w:p>
      <w:r>
        <w:drawing>
          <wp:inline xmlns:a="http://schemas.openxmlformats.org/drawingml/2006/main" xmlns:pic="http://schemas.openxmlformats.org/drawingml/2006/picture">
            <wp:extent cx="5486400" cy="6933978"/>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5486400" cy="6933978"/>
                    </a:xfrm>
                    <a:prstGeom prst="rect"/>
                  </pic:spPr>
                </pic:pic>
              </a:graphicData>
            </a:graphic>
          </wp:inline>
        </w:drawing>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