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Engineering Hypothesis: AdaBN reduces scanner-induced covariate shifts in channel-wise activations, aiding feature alignment before statistical gating.</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Calibrated conditional operational threshold: lambda = 0.0753 (calibrated to enforce E[FNR_cond] &lt;= 0.05); conservative deployed operating threshold: lambda = 0.0298 (conditional bound = 0.0488 &lt;= 0.05 evaluated with n_pos = 40).</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