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Engineering Hypothesis: AdaBN reduces scanner-induced covariate shifts in channel-wise activations, aiding feature alignment before statistical gating.</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the 4 unflagged cases demonstrate that secondary statistical gates alone cannot ensure zero false negatives. Consequently, the single-gate classifier FNR of 3.70% (6/162) remains unchanged, and this empirical finding reinforces the platform's architectural mandate (Claim 1(h)) that automated routing provides priority worklist escalation but can never substitute for mandatory 100% consultant radiologist cryptographic sign-off.</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the 4 unflagged cases demonstrate that secondary statistical gates alone cannot ensure zero false negatives. Consequently, the single-gate classifier FNR of 3.70% (6/162) remains unchanged, and this empirical finding reinforces the platform's architectural mandate (Claim 1(h)) that automated routing provides priority worklist escalation but can never substitute for mandatory 100% consultant radiologist cryptographic sign-off.</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Calibrated conditional operational threshold: lambda = 0.0753 (calibrated to enforce E[FNR_cond] &lt;= 0.05); conservative deployed operating threshold: lambda = 0.0298 (conditional bound = 0.0488 &lt;= 0.05 evaluated with n_pos = 40).</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Crucially, the 4 unflagged cases demonstrate that multi-gate statistical filtering cannot guarantee the complete elimination of false negatives, establishing that mandatory 100% consultant radiologist sign-off (Claim 1(h)) is an essential architectural safety requirement. Full audit details: validation/reports/v2a1_score_discrepancy_reconciliation.json.</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Crucially, the 4 unflagged cases demonstrate that multi-gate statistical filtering cannot guarantee the complete elimination of false negatives, establishing that mandatory 100% consultant radiologist sign-off (Claim 1(h)) is an essential architectural safety requirement.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