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Engineering Hypothesis: AdaBN reduces scanner-induced covariate shifts in channel-wise activations, aiding feature alignment before statistical gating.</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the 4 unflagged cases demonstrate that secondary statistical gates alone cannot ensure zero false negatives. Consequently, the single-gate classifier FNR of 3.70% (6/162) remains unchanged, and this empirical finding reinforces the platform's architectural mandate (Claim 1(h)) that automated routing provides priority worklist escalation but can never substitute for mandatory 100% consultant radiologist cryptographic sign-off.</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the 4 unflagged cases demonstrate that secondary statistical gates alone cannot ensure zero false negatives. Consequently, the single-gate classifier FNR of 3.70% (6/162) remains unchanged, and this empirical finding reinforces the platform's architectural mandate (Claim 1(h)) that automated routing provides priority worklist escalation but can never substitute for mandatory 100% consultant radiologist cryptographic sign-off.</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Calibrated conditional operational threshold: lambda = 0.0753 (calibrated to enforce E[FNR_cond] &lt;= 0.05); conservative deployed operating threshold: lambda = 0.0298 (conditional bound = 0.0488 &lt;= 0.05 evaluated with n_pos = 40).</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Crucially, the 4 unflagged cases demonstrate that multi-gate statistical filtering cannot guarantee the complete elimination of false negatives, establishing that mandatory 100% consultant radiologist sign-off (Claim 1(h)) is an essential architectural safety requirement. Full audit details: validation/reports/v2a1_score_discrepancy_reconciliation.json.</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Crucially, the 4 unflagged cases demonstrate that multi-gate statistical filtering cannot guarantee the complete elimination of false negatives, establishing that mandatory 100% consultant radiologist sign-off (Claim 1(h)) is an essential architectural safety requirement.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r>
        <w:br w:type="page"/>
      </w:r>
    </w:p>
    <w:p>
      <w:pPr>
        <w:jc w:val="center"/>
      </w:pPr>
      <w:r>
        <w:rPr>
          <w:rFonts w:ascii="Times New Roman" w:hAnsi="Times New Roman"/>
          <w:b/>
          <w:sz w:val="28"/>
        </w:rPr>
        <w:t>FORMAL DRAWINGS</w:t>
      </w:r>
    </w:p>
    <w:p>
      <w:r>
        <w:drawing>
          <wp:inline xmlns:a="http://schemas.openxmlformats.org/drawingml/2006/main" xmlns:pic="http://schemas.openxmlformats.org/drawingml/2006/picture">
            <wp:extent cx="5303520" cy="677527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FIG1 ARCHITECTURE</w:t>
      </w:r>
    </w:p>
    <w:p/>
    <w:p>
      <w:r>
        <w:drawing>
          <wp:inline xmlns:a="http://schemas.openxmlformats.org/drawingml/2006/main" xmlns:pic="http://schemas.openxmlformats.org/drawingml/2006/picture">
            <wp:extent cx="5303520" cy="677527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FIG2 CONFORMAL CALIBRATION</w:t>
      </w:r>
    </w:p>
    <w:p/>
    <w:p>
      <w:r>
        <w:drawing>
          <wp:inline xmlns:a="http://schemas.openxmlformats.org/drawingml/2006/main" xmlns:pic="http://schemas.openxmlformats.org/drawingml/2006/picture">
            <wp:extent cx="5303520" cy="677527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FIG3 ADABN MECHANISM</w:t>
      </w:r>
    </w:p>
    <w:p/>
    <w:p>
      <w:r>
        <w:drawing>
          <wp:inline xmlns:a="http://schemas.openxmlformats.org/drawingml/2006/main" xmlns:pic="http://schemas.openxmlformats.org/drawingml/2006/picture">
            <wp:extent cx="5303520" cy="677527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FIG4 MASKED HIRESCAM</w:t>
      </w:r>
    </w:p>
    <w:p/>
    <w:p>
      <w:r>
        <w:drawing>
          <wp:inline xmlns:a="http://schemas.openxmlformats.org/drawingml/2006/main" xmlns:pic="http://schemas.openxmlformats.org/drawingml/2006/picture">
            <wp:extent cx="5303520" cy="677527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FIG5 UNCERTAINTY MONOTONICITY</w:t>
      </w:r>
    </w:p>
    <w:p/>
    <w:p>
      <w:r>
        <w:drawing>
          <wp:inline xmlns:a="http://schemas.openxmlformats.org/drawingml/2006/main" xmlns:pic="http://schemas.openxmlformats.org/drawingml/2006/picture">
            <wp:extent cx="5303520" cy="677527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FIG6 STROKE CODE DISPATCH</w:t>
      </w:r>
    </w:p>
    <w:p/>
    <w:p>
      <w:r>
        <w:drawing>
          <wp:inline xmlns:a="http://schemas.openxmlformats.org/drawingml/2006/main" xmlns:pic="http://schemas.openxmlformats.org/drawingml/2006/picture">
            <wp:extent cx="5303520" cy="677527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FIG7 SOVEREIGN DEPLOYMENT</w:t>
      </w:r>
    </w:p>
    <w:p/>
    <w:p>
      <w:r>
        <w:drawing>
          <wp:inline xmlns:a="http://schemas.openxmlformats.org/drawingml/2006/main" xmlns:pic="http://schemas.openxmlformats.org/drawingml/2006/picture">
            <wp:extent cx="5303520" cy="6702845"/>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5303520" cy="6702845"/>
                    </a:xfrm>
                    <a:prstGeom prst="rect"/>
                  </pic:spPr>
                </pic:pic>
              </a:graphicData>
            </a:graphic>
          </wp:inline>
        </w:drawing>
      </w:r>
    </w:p>
    <w:p>
      <w:pPr>
        <w:jc w:val="center"/>
      </w:pPr>
      <w:r>
        <w:rPr>
          <w:rFonts w:ascii="Times New Roman" w:hAnsi="Times New Roman"/>
          <w:sz w:val="18"/>
        </w:rPr>
        <w:t>FIG8 MULTIMODAL EXPANSION</w:t>
      </w:r>
    </w:p>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