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spacing w:after="120" w:line="320" w:lineRule="exact"/>
        <w:jc w:val="both"/>
      </w:pPr>
      <w:r>
        <w:rPr>
          <w:rFonts w:ascii="Times New Roman" w:hAnsi="Times New Roman"/>
          <w:b w:val="0"/>
          <w:i w:val="0"/>
          <w:sz w:val="24"/>
        </w:rPr>
        <w:t>7. Technical Synergy and Functional Interdependence of the Integrated Architecture:</w:t>
      </w:r>
    </w:p>
    <w:p>
      <w:pPr>
        <w:spacing w:after="120" w:line="320" w:lineRule="exact"/>
        <w:jc w:val="both"/>
      </w:pPr>
      <w:r>
        <w:rPr>
          <w:rFonts w:ascii="Times New Roman" w:hAnsi="Times New Roman"/>
          <w:b w:val="0"/>
          <w:i w:val="0"/>
          <w:sz w:val="24"/>
        </w:rPr>
        <w:t>The technical integers of the platform are structurally co-designed to provide cross-layer stability and multi-tier failure-boundary containment across acute imaging workflows:</w:t>
      </w:r>
    </w:p>
    <w:p>
      <w:pPr>
        <w:spacing w:after="120" w:line="320" w:lineRule="exact"/>
        <w:jc w:val="both"/>
      </w:pPr>
      <w:r>
        <w:rPr>
          <w:rFonts w:ascii="Times New Roman" w:hAnsi="Times New Roman"/>
          <w:b w:val="0"/>
          <w:i w:val="0"/>
          <w:sz w:val="24"/>
        </w:rPr>
        <w:t>(a) Domain Normalization and Calibration Alignment: Unsupervised Zero-Label AdaBN dynamically standardizes internal activation statistics across disparate hospital scanner hardware while maintaining convolutional filter weights strictly frozen, mitigating scanner-induced covariate drift between split calibration data and target-site operational data prior to evaluating the Split Conformal Risk Control prediction gate (E[FNR_cond] &lt;= alpha);</w:t>
      </w:r>
    </w:p>
    <w:p>
      <w:pPr>
        <w:spacing w:after="120" w:line="320" w:lineRule="exact"/>
        <w:jc w:val="both"/>
      </w:pPr>
      <w:r>
        <w:rPr>
          <w:rFonts w:ascii="Times New Roman" w:hAnsi="Times New Roman"/>
          <w:b w:val="0"/>
          <w:i w:val="0"/>
          <w:sz w:val="24"/>
        </w:rPr>
        <w:t>(b) Stabilization of Latent Covariance for Out-of-Distribution Gating: Relative Mahalanobis Distance (RMD) out-of-distribution detection operates directly on penultimate feature representations extracted following AdaBN adaptation, preventing hardware-induced activation scaling distortions from perturbing background-relative distance calculations and thereby selectively isolating pathological distribution shifts from acquisition hardware variations;</w:t>
      </w:r>
    </w:p>
    <w:p>
      <w:pPr>
        <w:spacing w:after="120" w:line="320" w:lineRule="exact"/>
        <w:jc w:val="both"/>
      </w:pPr>
      <w:r>
        <w:rPr>
          <w:rFonts w:ascii="Times New Roman" w:hAnsi="Times New Roman"/>
          <w:b w:val="0"/>
          <w:i w:val="0"/>
          <w:sz w:val="24"/>
        </w:rPr>
        <w:t>(c) Attribution Artifact Suppression for Metacognitive Verification: Anatomically-Masked HiResCAM removes high-attenuation calvarial bone gradient artifacts (+500 to +2000 HU) via an intracranial parenchymal mask (0 to +85 HU) before spatial attribution maps are ingested by Layer 4 (attribution coherence) of the 9-layer metacognition safety engine, preventing cranial hyperdensities from triggering spurious plausibility escalations;</w:t>
      </w:r>
    </w:p>
    <w:p>
      <w:pPr>
        <w:spacing w:after="120" w:line="320" w:lineRule="exact"/>
        <w:jc w:val="both"/>
      </w:pPr>
      <w:r>
        <w:rPr>
          <w:rFonts w:ascii="Times New Roman" w:hAnsi="Times New Roman"/>
          <w:b w:val="0"/>
          <w:i w:val="0"/>
          <w:sz w:val="24"/>
        </w:rPr>
        <w:t>(d) Complementary Failure-Mode Partitioning: Rather than an empirical claim of total error elimination—disclaimed by retrospective audit data showing that secondary gates intercepted 2 of 6 observed false negatives—the integrated architecture establishes structured, non-redundant defense-in-depth wherein conformal risk control governs in-distribution calibration risk, RMD detects latent representation shifts, epistemic uncertainty monitors physical sensor degradation, and cryptographic database constraints govern clinical release.</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Technical Mechanism: AdaBN reduces scanner-induced covariate shifts in channel-wise activations by realigning the running normalisation statistics of internal feature maps to match the target scanner's acquisition-domain distribution, without altering the trained discriminative capacity of the frozen convolutional weights. This constitutes an active, technically bounded domain adaptation step rather than a heuristic pre-processing stage.</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sz w:val="24"/>
        </w:rPr>
        <w:t>See §7.4 for the dual-threshold reconciliation and empirical test results, and §7.6 for the epistemic uncertainty experimental protocol.</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Threshold reconciliation: lambda = 0.0753 represents the calibration-derived theoretical supremum (lambda_sup) satisfying the finite-sample Bates et al. (2021) bound (conditional bound = 0.0488 &lt;= 0.05 at n_pos = 40). As claimed herein, the operational threshold lambda may be selected as said theoretical supremum or as an operational threshold strictly less than said supremum (lambda &lt;= lambda_sup) incorporating an additional clinical safety margin. In a preferred deployed embodiment, the platform operates at the operational threshold lambda = 0.0298, achieving an observed test conditional FNR of 3.70% (6/162). The theoretical bound at lambda_sup = 0.0753 represents the pre-registered ceiling; the observed test FNR at that theoretical threshold (6.79%, 11/162) reflects expected finite holdout sample variance and remains governed by the finite-sample exchangeability bound.</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+2000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spacing w:before="160" w:after="60"/>
        <w:jc w:val="left"/>
      </w:pPr>
      <w:r>
        <w:rPr>
          <w:rFonts w:ascii="Times New Roman" w:hAnsi="Times New Roman"/>
          <w:b/>
          <w:sz w:val="22"/>
        </w:rPr>
        <w:t>7.7 Technical Synergy and Functional Coupling Across Pipeline Stages</w:t>
      </w:r>
    </w:p>
    <w:p>
      <w:pPr>
        <w:spacing w:after="120" w:line="320" w:lineRule="exact"/>
        <w:jc w:val="both"/>
      </w:pPr>
      <w:r>
        <w:rPr>
          <w:rFonts w:ascii="Times New Roman" w:hAnsi="Times New Roman"/>
          <w:b w:val="0"/>
          <w:i w:val="0"/>
          <w:sz w:val="24"/>
        </w:rPr>
        <w:t>The technical integers of the present invention are co-designed to provide cross-layer operational stability, wherein upstream modules precondition the feature representations and data domains ingested by downstream statistical and governance mechanisms:</w:t>
      </w:r>
    </w:p>
    <w:p>
      <w:pPr>
        <w:spacing w:after="120" w:line="320" w:lineRule="exact"/>
        <w:jc w:val="both"/>
      </w:pPr>
      <w:r>
        <w:rPr>
          <w:rFonts w:ascii="Times New Roman" w:hAnsi="Times New Roman"/>
          <w:b w:val="0"/>
          <w:i w:val="0"/>
          <w:sz w:val="24"/>
        </w:rPr>
        <w:t>1. Feature Standardization Prior to Conformal Risk Control:</w:t>
      </w:r>
    </w:p>
    <w:p>
      <w:pPr>
        <w:spacing w:after="120" w:line="320" w:lineRule="exact"/>
        <w:jc w:val="both"/>
      </w:pPr>
      <w:r>
        <w:rPr>
          <w:rFonts w:ascii="Times New Roman" w:hAnsi="Times New Roman"/>
          <w:b w:val="0"/>
          <w:i w:val="0"/>
          <w:sz w:val="24"/>
        </w:rPr>
        <w:t>Split Conformal Risk Control (Bates et al., 2021) provides a theoretical guarantee that expected conditional False Negative Rate satisfies E[FNR_cond] &lt;= alpha when inference instances are statistically consistent with the split calibration distribution D_cal. In heterogeneous multi-scanner clinical workflows, hardware differences (slice thickness, kVp, reconstruction filters) introduce severe channel-wise activation shifts. Rather than modifying convolutional filter weights (which would disrupt pre-trained discriminative feature boundaries), the platform applies Zero-Label AdaBN to adapt running normalisation statistics directly on an unlabelled target stream. This standardizes internal activation moments across scanner fleets, mitigating covariate-induced distribution drift prior to threshold evaluation by the conformal prediction gate.</w:t>
      </w:r>
    </w:p>
    <w:p>
      <w:pPr>
        <w:spacing w:after="120" w:line="320" w:lineRule="exact"/>
        <w:jc w:val="both"/>
      </w:pPr>
      <w:r>
        <w:rPr>
          <w:rFonts w:ascii="Times New Roman" w:hAnsi="Times New Roman"/>
          <w:b w:val="0"/>
          <w:i w:val="0"/>
          <w:sz w:val="24"/>
        </w:rPr>
        <w:t>2. Latent Manifold Regularization for Relative Mahalanobis Distance (RMD) Gating:</w:t>
      </w:r>
    </w:p>
    <w:p>
      <w:pPr>
        <w:spacing w:after="120" w:line="320" w:lineRule="exact"/>
        <w:jc w:val="both"/>
      </w:pPr>
      <w:r>
        <w:rPr>
          <w:rFonts w:ascii="Times New Roman" w:hAnsi="Times New Roman"/>
          <w:b w:val="0"/>
          <w:i w:val="0"/>
          <w:sz w:val="24"/>
        </w:rPr>
        <w:t>The Relative Mahalanobis Distance metric RMD(x) = min_c M(z(x); mu_c, Sigma) - M(z(x); mu_0, Sigma_0) evaluates penultimate feature representations z(x) relative to an unconditioned background centroid mu_0. In the absence of target feature standardization, acquisition hardware differences introduce non-pathological shifts into the background distance M(z(x); mu_0, Sigma_0), artificially inflating OOD scores and causing false escalations. By executing AdaBN in upstream convolutional layers, the penultimate latent space is regularized prior to covariance estimation, ensuring that trace-shrunk precision matrices isolate true pathological anomalies rather than hardware-induced covariate shifts.</w:t>
      </w:r>
    </w:p>
    <w:p>
      <w:pPr>
        <w:spacing w:after="120" w:line="320" w:lineRule="exact"/>
        <w:jc w:val="both"/>
      </w:pPr>
      <w:r>
        <w:rPr>
          <w:rFonts w:ascii="Times New Roman" w:hAnsi="Times New Roman"/>
          <w:b w:val="0"/>
          <w:i w:val="0"/>
          <w:sz w:val="24"/>
        </w:rPr>
        <w:t>3. Attribution Filtering Coupled to Automated Metacognitive Gating:</w:t>
      </w:r>
    </w:p>
    <w:p>
      <w:pPr>
        <w:spacing w:after="120" w:line="320" w:lineRule="exact"/>
        <w:jc w:val="both"/>
      </w:pPr>
      <w:r>
        <w:rPr>
          <w:rFonts w:ascii="Times New Roman" w:hAnsi="Times New Roman"/>
          <w:b w:val="0"/>
          <w:i w:val="0"/>
          <w:sz w:val="24"/>
        </w:rPr>
        <w:t>In neuroimaging computed tomography, cortical calvarial bone (+500 to +2000 HU) generates steep backpropagated gradients that monopolize unmasked class activation maps. In the present platform, the Anatomically-Masked HiResCAM module computes element-wise gradient-activation products across final convolutional feature maps and applies an automated soft-tissue mask (0 to +85 HU). Crucially, this filtered attribution map is not solely an end-user display artifact; it serves as a direct computational input to Layer 4 (Attribution Coherence) of the automated 9-layer metacognition safety engine. By suppressing calvarial bone gradient hijacking before metacognitive plausibility analysis, the masking directly enables downstream automated verification of whether model focus aligns with parenchymal soft tissue, preventing spurious triage rejections.</w:t>
      </w:r>
    </w:p>
    <w:p>
      <w:pPr>
        <w:spacing w:after="120" w:line="320" w:lineRule="exact"/>
        <w:jc w:val="both"/>
      </w:pPr>
      <w:r>
        <w:rPr>
          <w:rFonts w:ascii="Times New Roman" w:hAnsi="Times New Roman"/>
          <w:b w:val="0"/>
          <w:i w:val="0"/>
          <w:sz w:val="24"/>
        </w:rPr>
        <w:t>4. Complementary Failure-Mode Partitioning:</w:t>
      </w:r>
    </w:p>
    <w:p>
      <w:pPr>
        <w:spacing w:after="120" w:line="320" w:lineRule="exact"/>
        <w:jc w:val="both"/>
      </w:pPr>
      <w:r>
        <w:rPr>
          <w:rFonts w:ascii="Times New Roman" w:hAnsi="Times New Roman"/>
          <w:b w:val="0"/>
          <w:i w:val="0"/>
          <w:sz w:val="24"/>
        </w:rPr>
        <w:t>The multi-tiered architecture partitions clinical safety oversight across structurally orthogonal failure modes:</w:t>
      </w:r>
    </w:p>
    <w:p>
      <w:pPr>
        <w:pStyle w:val="ListBullet"/>
        <w:spacing w:after="60"/>
        <w:ind w:left="425"/>
      </w:pPr>
      <w:r>
        <w:rPr>
          <w:rFonts w:ascii="Times New Roman" w:hAnsi="Times New Roman"/>
          <w:sz w:val="22"/>
        </w:rPr>
        <w:t>Conformal Risk Control bounds statistical false-negative risk on in-distribution inputs;</w:t>
      </w:r>
    </w:p>
    <w:p>
      <w:pPr>
        <w:pStyle w:val="ListBullet"/>
        <w:spacing w:after="60"/>
        <w:ind w:left="425"/>
      </w:pPr>
      <w:r>
        <w:rPr>
          <w:rFonts w:ascii="Times New Roman" w:hAnsi="Times New Roman"/>
          <w:sz w:val="22"/>
        </w:rPr>
        <w:t>Relative Mahalanobis Distance detects representations falling outside the known latent manifold;</w:t>
      </w:r>
    </w:p>
    <w:p>
      <w:pPr>
        <w:pStyle w:val="ListBullet"/>
        <w:spacing w:after="60"/>
        <w:ind w:left="425"/>
      </w:pPr>
      <w:r>
        <w:rPr>
          <w:rFonts w:ascii="Times New Roman" w:hAnsi="Times New Roman"/>
          <w:sz w:val="22"/>
        </w:rPr>
        <w:t>Monte Carlo Dropout uncertainty evaluation monitors sensitivity to physical image degradation; and</w:t>
      </w:r>
    </w:p>
    <w:p>
      <w:pPr>
        <w:pStyle w:val="ListBullet"/>
        <w:spacing w:after="60"/>
        <w:ind w:left="425"/>
      </w:pPr>
      <w:r>
        <w:rPr>
          <w:rFonts w:ascii="Times New Roman" w:hAnsi="Times New Roman"/>
          <w:sz w:val="22"/>
        </w:rPr>
        <w:t>Cryptographic database constraints prevent unapproved report transmission.</w:t>
      </w:r>
    </w:p>
    <w:p>
      <w:pPr>
        <w:spacing w:after="120" w:line="320" w:lineRule="exact"/>
        <w:jc w:val="both"/>
      </w:pPr>
      <w:r>
        <w:rPr>
          <w:rFonts w:ascii="Times New Roman" w:hAnsi="Times New Roman"/>
          <w:b w:val="0"/>
          <w:i w:val="0"/>
          <w:sz w:val="24"/>
        </w:rPr>
        <w:t>The retrospective multi-gate audit (§7.3, §7.4)—in which secondary gates intercepted 2 of 6 false negatives while 4 remained unflagged—empirically demonstrates that these secondary mechanisms operate on distinct failure modes rather than forming an impenetrable, single-point barrier. The technical synergy of the platform resides in this co-designed defense-in-depth and the functional preconditioning between stages, rather than in an unsupported claim of absolute empirical error eradication.</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or as an operational threshold strictly less than said supremum;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as a theoretical supremum threshold lambda_sup satisfying: lambda_sup = sup { lambda' in [0, 1] : (n_pos / (n_pos + 1)) * R_n(lambda') + (1 / (n_pos + 1)) &lt;= alpha } or as an operational threshold strictly less than said theoretical supremum (lambda &lt;= lambda_sup) providing an additional clinical safety margin below the calibration bound; where n is calibration sample size, n_pos is the number of positive-class calibration studies, and R_n(lambda') is the empirical conditional false-negative rate: R_n(lambda') = (1 / n_pos) * sum_{i: Y_i=1} I(S(X_i) &lt; lambda') wherein if no threshold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 (+500 to +2000 Hounsfield Units).</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further comprising: monitoring epistemic uncertainty variance across N stochastic Monte Carlo Dropout forward passes; detecting when said epistemic variance fails to exhibit an increasing response to simulated or detected image acquisition degradation; and upon detecting such a failure of the expected noise-response behaviour, automatically escalating the associated scan to mandatory human clinical review, thereby providing a physics-grounded sensor integrity check that alerts the clinical routing system when uncertainty estimates decouple from physical imaging degradation.</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160" w:line="360" w:lineRule="exact"/>
        <w:ind w:hanging="283" w:left="283"/>
        <w:jc w:val="both"/>
      </w:pPr>
      <w:r>
        <w:rPr>
          <w:rFonts w:ascii="Times New Roman" w:hAnsi="Times New Roman"/>
          <w:b/>
          <w:sz w:val="24"/>
        </w:rPr>
        <w:t xml:space="preserve">21.  </w:t>
      </w:r>
      <w:r>
        <w:rPr>
          <w:rFonts w:ascii="Times New Roman" w:hAnsi="Times New Roman"/>
          <w:sz w:val="24"/>
        </w:rPr>
        <w:t>A computer-implemented method for generating a clinically interpretable attribution map for deep neural network-based intracranial haemorrhage detection in non-contrast computed tomography (CT) imaging, the method comprising: computing element-wise gradient-weighted class activation mapping (HiResCAM) over a final convolutional feature map layer of a convolutional neural network by multiplying element-wise the gradient of a predicted class score with respect to each spatial feature map activation by the corresponding activation value, without global spatial pooling; generating a parenchymal anatomical mask by thresholding CT voxels to a Hounsfield Unit range of 0 to +85 HU, thereby excluding calvarial bone (+500 to +2000 HU) and air (below -100 HU) from the attribution domain; applying said parenchymal mask to said HiResCAM activation map by element-wise multiplication, thereby suppressing gradient contributions from high-attenuation bone structures that do not contribute to haemorrhage pathology; and normalizing the resulting masked attribution map to produce a bone-artifact-suppressed saliency overlay for radiological review.</w:t>
      </w:r>
    </w:p>
    <w:p>
      <w:pPr>
        <w:spacing w:after="160" w:line="360" w:lineRule="exact"/>
        <w:ind w:hanging="283" w:left="283"/>
        <w:jc w:val="both"/>
      </w:pPr>
      <w:r>
        <w:rPr>
          <w:rFonts w:ascii="Times New Roman" w:hAnsi="Times New Roman"/>
          <w:b/>
          <w:sz w:val="24"/>
        </w:rPr>
        <w:t xml:space="preserve">22.  </w:t>
      </w:r>
      <w:r>
        <w:rPr>
          <w:rFonts w:ascii="Times New Roman" w:hAnsi="Times New Roman"/>
          <w:sz w:val="24"/>
        </w:rPr>
        <w:t>The method of Claim 1, wherein: (a) adapting batch normalisation statistics via zero-label adaptive batch normalisation in step (b) dynamically standardizes internal feature map distributions across target scanner acquisitions prior to evaluating the split conformal risk control prediction gate of step (d); (b) the out-of-distribution score of step (c) is computed over penultimate feature vectors extracted following said batch normalisation adaptation, thereby preventing scanner-induced covariate shifts from distorting background-relative Mahalanobis distance calculation; and (c) the explainable spatial saliency map generated in step (f) is coupled to a multi-layer metacognition engine to verify attribution coherence against segmented soft-tissue intracranial structures, thereby preventing calvarial bone gradient hijacking from corrupting downstream clinical routing decisions.</w:t>
      </w:r>
    </w:p>
    <w:p>
      <w:pPr>
        <w:spacing w:after="160" w:line="360" w:lineRule="exact"/>
        <w:ind w:hanging="283" w:left="283"/>
        <w:jc w:val="both"/>
      </w:pPr>
      <w:r>
        <w:rPr>
          <w:rFonts w:ascii="Times New Roman" w:hAnsi="Times New Roman"/>
          <w:b/>
          <w:sz w:val="24"/>
        </w:rPr>
        <w:t xml:space="preserve">23.  </w:t>
      </w:r>
      <w:r>
        <w:rPr>
          <w:rFonts w:ascii="Times New Roman" w:hAnsi="Times New Roman"/>
          <w:sz w:val="24"/>
        </w:rPr>
        <w:t>The method of Claim 21, wherein generating the parenchymal anatomical mask further comprises executing morphological hole-filling and largest-connected-component isolation to segment an intracranial vault.</w:t>
      </w:r>
    </w:p>
    <w:p>
      <w:pPr>
        <w:spacing w:after="160" w:line="360" w:lineRule="exact"/>
        <w:ind w:hanging="283" w:left="283"/>
        <w:jc w:val="both"/>
      </w:pPr>
      <w:r>
        <w:rPr>
          <w:rFonts w:ascii="Times New Roman" w:hAnsi="Times New Roman"/>
          <w:b/>
          <w:sz w:val="24"/>
        </w:rPr>
        <w:t xml:space="preserve">24.  </w:t>
      </w:r>
      <w:r>
        <w:rPr>
          <w:rFonts w:ascii="Times New Roman" w:hAnsi="Times New Roman"/>
          <w:sz w:val="24"/>
        </w:rPr>
        <w:t>The method of Claim 21, wherein applying the parenchymal mask comprises applying a rectified linear unit (ReLU) activation to unpooled element-wise gradient-activation product feature maps prior to element-wise multiplication with the parenchymal anatomical mask.</w:t>
      </w:r>
    </w:p>
    <w:p>
      <w:pPr>
        <w:spacing w:after="160" w:line="360" w:lineRule="exact"/>
        <w:ind w:hanging="283" w:left="283"/>
        <w:jc w:val="both"/>
      </w:pPr>
      <w:r>
        <w:rPr>
          <w:rFonts w:ascii="Times New Roman" w:hAnsi="Times New Roman"/>
          <w:b/>
          <w:sz w:val="24"/>
        </w:rPr>
        <w:t xml:space="preserve">25.  </w:t>
      </w:r>
      <w:r>
        <w:rPr>
          <w:rFonts w:ascii="Times New Roman" w:hAnsi="Times New Roman"/>
          <w:sz w:val="24"/>
        </w:rPr>
        <w:t>The method of Claim 21, wherein the thresholding defines intracranial soft-tissue sub-ranges comprising brain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clinical artificial intelligence computing system for distribution-free risk-controlled radiological triage, comprising: at least one hardware processor; a medical imaging interface configured to receive non-contrast computed tomography imaging studies; a deep convolutional neural network feature extractor stored in memory and executable by the at least one processor; a zero-label adaptive batch normalisation module configured to update running mean and variance statistics of batch normalisation layers within the feature extractor using unannotated imaging studies from a target clinical scanner while convolutional filter weights remain frozen; an out-of-distribution detector configured to compute a Relative Mahalanobis Distance over penultimate feature representations extracted following batch normalisation adaptation by contrasting class-conditional centroids against an unconditioned background distribution; a split conformal prediction gate configured to evaluate acute triage risk using an empirical probability threshold calibrated to enforce a bounded conditional false-negative rate on feature representations standardized by said batch normalisation adaptation; a spatial attribution engine configured to compute element-wise gradient-activation product maps over final convolutional feature maps masked by an anatomical soft-tissue segmentation mask (0 to +85 Hounsfield Units) that excludes calvarial bone (+500 to +2000 Hounsfield Units); a multi-layer safety engine configured to verify attribution coherence between the masked spatial attribution map and segmented intracranial soft tissue; and a clinical dispatch controller configured to route imaging studies to emergency or routine clinical review based on joint evaluation of the out-of-distribution detector, the split conformal prediction gate, and the multi-layer safety engine.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