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Times New Roman" w:hAnsi="Times New Roman"/>
          <w:b/>
          <w:sz w:val="28"/>
        </w:rPr>
        <w:t>SEWA AI PROVISIONAL PATENT APPLICATION — VERSION 2.0</w:t>
      </w:r>
    </w:p>
    <w:p>
      <w:pPr>
        <w:spacing w:before="0" w:after="480" w:line="360" w:lineRule="auto"/>
        <w:jc w:val="center"/>
      </w:pPr>
      <w:r>
        <w:rPr>
          <w:rFonts w:ascii="Times New Roman" w:hAnsi="Times New Roman"/>
          <w:b/>
          <w:sz w:val="24"/>
        </w:rPr>
        <w:t>Sovereign Multi-Engine Clinical AI Platform for Automated Diagnostic Triage and Safety Assurance</w:t>
      </w:r>
    </w:p>
    <w:p>
      <w:pPr>
        <w:spacing w:line="360" w:lineRule="auto" w:after="120"/>
        <w:ind w:left="0" w:firstLine="0"/>
        <w:jc w:val="left"/>
      </w:pPr>
      <w:r>
        <w:rPr>
          <w:rFonts w:ascii="Times New Roman" w:hAnsi="Times New Roman"/>
          <w:b w:val="0"/>
          <w:i w:val="0"/>
          <w:sz w:val="24"/>
        </w:rPr>
        <w:t>Application Type: UK Provisional Patent Application</w:t>
      </w:r>
    </w:p>
    <w:p>
      <w:pPr>
        <w:spacing w:line="360" w:lineRule="auto" w:after="120"/>
        <w:ind w:left="0" w:firstLine="0"/>
        <w:jc w:val="left"/>
      </w:pPr>
      <w:r>
        <w:rPr>
          <w:rFonts w:ascii="Times New Roman" w:hAnsi="Times New Roman"/>
          <w:b w:val="0"/>
          <w:i w:val="0"/>
          <w:sz w:val="24"/>
        </w:rPr>
        <w:t>Filing Body: UK Intellectual Property Office (UKIPO)</w:t>
      </w:r>
    </w:p>
    <w:p>
      <w:pPr>
        <w:spacing w:line="360" w:lineRule="auto" w:after="120"/>
        <w:ind w:left="0" w:firstLine="0"/>
        <w:jc w:val="left"/>
      </w:pPr>
      <w:r>
        <w:rPr>
          <w:rFonts w:ascii="Times New Roman" w:hAnsi="Times New Roman"/>
          <w:b w:val="0"/>
          <w:i w:val="0"/>
          <w:sz w:val="24"/>
        </w:rPr>
        <w:t>Applicant: Storegrill Inc Ltd</w:t>
      </w:r>
    </w:p>
    <w:p>
      <w:pPr>
        <w:spacing w:line="360" w:lineRule="auto" w:after="120"/>
        <w:ind w:left="0" w:firstLine="0"/>
        <w:jc w:val="left"/>
      </w:pPr>
      <w:r>
        <w:rPr>
          <w:rFonts w:ascii="Times New Roman" w:hAnsi="Times New Roman"/>
          <w:b w:val="0"/>
          <w:i w:val="0"/>
          <w:sz w:val="24"/>
        </w:rPr>
        <w:t>Registered Address: 18 Hampshire Close, Binley, Coventry, CV3 2FP, England</w:t>
      </w:r>
    </w:p>
    <w:p>
      <w:pPr>
        <w:spacing w:line="360" w:lineRule="auto" w:after="120"/>
        <w:ind w:left="0" w:firstLine="0"/>
        <w:jc w:val="left"/>
      </w:pPr>
      <w:r>
        <w:rPr>
          <w:rFonts w:ascii="Times New Roman" w:hAnsi="Times New Roman"/>
          <w:b w:val="0"/>
          <w:i w:val="0"/>
          <w:sz w:val="24"/>
        </w:rPr>
        <w:t>Company No.: 14581073</w:t>
      </w:r>
    </w:p>
    <w:p>
      <w:pPr>
        <w:spacing w:line="360" w:lineRule="auto" w:after="120"/>
        <w:ind w:left="0" w:firstLine="0"/>
        <w:jc w:val="left"/>
      </w:pPr>
      <w:r>
        <w:rPr>
          <w:rFonts w:ascii="Times New Roman" w:hAnsi="Times New Roman"/>
          <w:b w:val="0"/>
          <w:i w:val="0"/>
          <w:sz w:val="24"/>
        </w:rPr>
        <w:t>Inventor: Dolapo Ariyo</w:t>
      </w:r>
    </w:p>
    <w:p>
      <w:pPr>
        <w:spacing w:line="360" w:lineRule="auto" w:after="120"/>
        <w:ind w:left="0" w:firstLine="0"/>
        <w:jc w:val="left"/>
      </w:pPr>
      <w:r>
        <w:rPr>
          <w:rFonts w:ascii="Times New Roman" w:hAnsi="Times New Roman"/>
          <w:b w:val="0"/>
          <w:i w:val="0"/>
          <w:sz w:val="24"/>
        </w:rPr>
        <w:t>Priority Date: March 2026</w:t>
      </w:r>
    </w:p>
    <w:p>
      <w:pPr>
        <w:spacing w:line="360" w:lineRule="auto" w:after="120"/>
        <w:ind w:left="0" w:firstLine="0"/>
        <w:jc w:val="left"/>
      </w:pPr>
      <w:r>
        <w:rPr>
          <w:rFonts w:ascii="Times New Roman" w:hAnsi="Times New Roman"/>
          <w:b w:val="0"/>
          <w:i w:val="0"/>
          <w:sz w:val="24"/>
        </w:rPr>
        <w:t>Version: v2.0 · March 2026</w:t>
      </w:r>
    </w:p>
    <w:p>
      <w:pPr>
        <w:spacing w:line="360" w:lineRule="auto" w:after="120"/>
        <w:ind w:left="0" w:firstLine="0"/>
        <w:jc w:val="left"/>
      </w:pPr>
      <w:r>
        <w:rPr>
          <w:rFonts w:ascii="Times New Roman" w:hAnsi="Times New Roman"/>
          <w:b w:val="0"/>
          <w:i w:val="0"/>
          <w:sz w:val="24"/>
        </w:rPr>
        <w:t>Contact: info@sewaxai.health · www.sewaxai.health</w:t>
      </w:r>
    </w:p>
    <w:p>
      <w:pPr>
        <w:spacing w:line="360" w:lineRule="auto" w:after="120"/>
        <w:ind w:left="0" w:firstLine="0"/>
        <w:jc w:val="left"/>
      </w:pPr>
      <w:r>
        <w:rPr>
          <w:rFonts w:ascii="Times New Roman" w:hAnsi="Times New Roman"/>
          <w:b w:val="0"/>
          <w:i/>
          <w:sz w:val="24"/>
        </w:rPr>
        <w:t>Tagline: from hours, to seconds</w:t>
      </w:r>
    </w:p>
    <w:p/>
    <w:p>
      <w:pPr>
        <w:spacing w:before="480" w:after="240" w:line="360" w:lineRule="auto"/>
        <w:jc w:val="left"/>
      </w:pPr>
      <w:r>
        <w:rPr>
          <w:rFonts w:ascii="Times New Roman" w:hAnsi="Times New Roman"/>
          <w:b/>
          <w:sz w:val="28"/>
        </w:rPr>
        <w:t>ABSTRACT</w:t>
      </w:r>
    </w:p>
    <w:p>
      <w:pPr>
        <w:spacing w:line="360" w:lineRule="auto" w:after="120"/>
        <w:ind w:left="0" w:firstLine="0"/>
        <w:jc w:val="left"/>
      </w:pPr>
      <w:r>
        <w:rPr>
          <w:rFonts w:ascii="Times New Roman" w:hAnsi="Times New Roman"/>
          <w:b w:val="0"/>
          <w:i w:val="0"/>
          <w:sz w:val="24"/>
        </w:rPr>
        <w:t>A multi-engine clinical artificial intelligence platform and method for automated diagnostic triage and safety assurance in medical imaging workflows. The system ingests medical imaging studies (CT, MRI, X-ray, Ultrasound) via DICOM, FHIR R4, or HL7v2 and routes each study through four sequentially coupled AI engines: (1) a compound-scaled convolutional neural network triage engine detecting up to fourteen life-threatening conditions in under 620 milliseconds; (2) a stochastic Monte Carlo Dropout uncertainty engine decomposing prediction variance into epistemic and aleatoric components; (3) a vision-language model generating structured, editable four-section radiology reports in eight languages; and (4) a nine-layer metacognition engine performing automated self-audit and hallucination-risk scoring before clinical alert dispatch. The platform further comprises a federated learning subsystem enabling participating institutions to collaboratively improve the shared model using differentially private gradient updates without transmitting protected health information, and a sovereign deployment architecture operable in fully offline edge environments without internet connectivity. All clinical outputs require qualified human sign-off enforced as a database-level constraint, delivering door-to-alert latency under two seconds.</w:t>
      </w:r>
    </w:p>
    <w:p>
      <w:r>
        <w:br w:type="page"/>
      </w:r>
    </w:p>
    <w:p>
      <w:pPr>
        <w:spacing w:before="240" w:after="240" w:line="360" w:lineRule="auto"/>
        <w:jc w:val="left"/>
      </w:pPr>
      <w:r>
        <w:rPr>
          <w:rFonts w:ascii="Times New Roman" w:hAnsi="Times New Roman"/>
          <w:b/>
          <w:sz w:val="28"/>
        </w:rPr>
        <w:t>1. FIELD OF THE INVENTION</w:t>
      </w:r>
    </w:p>
    <w:p>
      <w:pPr>
        <w:spacing w:line="360" w:lineRule="auto" w:after="120"/>
        <w:ind w:left="0" w:firstLine="0"/>
        <w:jc w:val="left"/>
      </w:pPr>
      <w:r>
        <w:rPr>
          <w:rFonts w:ascii="Times New Roman" w:hAnsi="Times New Roman"/>
          <w:b w:val="0"/>
          <w:i w:val="0"/>
          <w:sz w:val="24"/>
        </w:rPr>
        <w:t>The present invention relates to artificial intelligence applied to clinical diagnostic imaging. Specifically, it concerns a multi-engine orchestrated software platform that automates radiology triage, quantifies AI prediction uncertainty, autonomously self-audits for hallucinations, generates structured diagnostic reports using vision-language models, delivers real-time multi-channel clinical alerts, and operates across sovereign cloud and offline edge deployments within a statutory human-in-the-loop framework.</w:t>
      </w:r>
    </w:p>
    <w:p>
      <w:pPr>
        <w:spacing w:before="480" w:after="240" w:line="360" w:lineRule="auto"/>
        <w:jc w:val="left"/>
      </w:pPr>
      <w:r>
        <w:rPr>
          <w:rFonts w:ascii="Times New Roman" w:hAnsi="Times New Roman"/>
          <w:b/>
          <w:sz w:val="28"/>
        </w:rPr>
        <w:t>2. BACKGROUND</w:t>
      </w:r>
    </w:p>
    <w:p>
      <w:pPr>
        <w:spacing w:before="240" w:after="120" w:line="360" w:lineRule="auto"/>
        <w:jc w:val="left"/>
      </w:pPr>
      <w:r>
        <w:rPr>
          <w:rFonts w:ascii="Times New Roman" w:hAnsi="Times New Roman"/>
          <w:b/>
          <w:sz w:val="24"/>
        </w:rPr>
        <w:t>2.1 Global Radiologist Deficit</w:t>
      </w:r>
    </w:p>
    <w:p>
      <w:pPr>
        <w:spacing w:line="360" w:lineRule="auto" w:after="120"/>
        <w:ind w:left="0" w:firstLine="0"/>
        <w:jc w:val="left"/>
      </w:pPr>
      <w:r>
        <w:rPr>
          <w:rFonts w:ascii="Times New Roman" w:hAnsi="Times New Roman"/>
          <w:b w:val="0"/>
          <w:i w:val="0"/>
          <w:sz w:val="24"/>
        </w:rPr>
        <w:t>The global healthcare system faces a structural and worsening radiologist workforce deficit. In the United Kingdom, the radiologist vacancy rate has reached 29% of established posts (Royal College of Radiologists, 2025), resulting in 1.5 million backlogged imaging reports annually. In sub-Saharan Africa, radiologist density is below 0.4 per million population against a WHO-recommended minimum of 20, representing an effective 98%+ deficit in Nigeria, Kenya, and Ghana. Patients die not from their conditions but from diagnostic delays.</w:t>
      </w:r>
    </w:p>
    <w:p>
      <w:pPr>
        <w:spacing w:before="240" w:after="120" w:line="360" w:lineRule="auto"/>
        <w:jc w:val="left"/>
      </w:pPr>
      <w:r>
        <w:rPr>
          <w:rFonts w:ascii="Times New Roman" w:hAnsi="Times New Roman"/>
          <w:b/>
          <w:sz w:val="24"/>
        </w:rPr>
        <w:t>2.2 Deficiencies of Prior Art</w:t>
      </w:r>
    </w:p>
    <w:p>
      <w:pPr>
        <w:spacing w:line="360" w:lineRule="auto" w:after="120"/>
        <w:ind w:left="0" w:firstLine="0"/>
        <w:jc w:val="left"/>
      </w:pPr>
      <w:r>
        <w:rPr>
          <w:rFonts w:ascii="Times New Roman" w:hAnsi="Times New Roman"/>
          <w:b w:val="0"/>
          <w:i w:val="0"/>
          <w:sz w:val="24"/>
        </w:rPr>
        <w:t>Existing clinical AI systems present six material deficiencies:</w:t>
      </w:r>
    </w:p>
    <w:p>
      <w:pPr>
        <w:spacing w:line="360" w:lineRule="auto" w:after="120"/>
        <w:ind w:left="360" w:firstLine="0"/>
        <w:jc w:val="left"/>
      </w:pPr>
      <w:r>
        <w:rPr>
          <w:rFonts w:ascii="Times New Roman" w:hAnsi="Times New Roman"/>
          <w:b w:val="0"/>
          <w:i w:val="0"/>
          <w:sz w:val="24"/>
        </w:rPr>
        <w:t>(a) Single-condition scope. Prior art systems detect one condition per deployment (e.g., large-vessel occlusion stroke, or intracranial haemorrhage only). Emergency departments require simultaneous multi-condition detection within a single inference pipeline.</w:t>
      </w:r>
    </w:p>
    <w:p>
      <w:pPr>
        <w:spacing w:line="360" w:lineRule="auto" w:after="120"/>
        <w:ind w:left="360" w:firstLine="0"/>
        <w:jc w:val="left"/>
      </w:pPr>
      <w:r>
        <w:rPr>
          <w:rFonts w:ascii="Times New Roman" w:hAnsi="Times New Roman"/>
          <w:b w:val="0"/>
          <w:i w:val="0"/>
          <w:sz w:val="24"/>
        </w:rPr>
        <w:t>(b) Absence of uncertainty quantification. All prior art systems output a single point-estimate confidence score without quantifying prediction uncertainty. A model expressing high numerical confidence in an incorrect prediction provides no mechanism for a clinician to distinguish a reliable from an unreliable prediction.</w:t>
      </w:r>
    </w:p>
    <w:p>
      <w:pPr>
        <w:spacing w:line="360" w:lineRule="auto" w:after="120"/>
        <w:ind w:left="360" w:firstLine="0"/>
        <w:jc w:val="left"/>
      </w:pPr>
      <w:r>
        <w:rPr>
          <w:rFonts w:ascii="Times New Roman" w:hAnsi="Times New Roman"/>
          <w:b w:val="0"/>
          <w:i w:val="0"/>
          <w:sz w:val="24"/>
        </w:rPr>
        <w:t>(c) Absence of automated self-audit. No prior art system audits its outputs before clinical delivery. AI hallucinations — plausible but factually incorrect outputs — are a known failure mode of all neural network architectures. No prior art provides a technical gate preventing hallucinated critical findings from reaching clinicians.</w:t>
      </w:r>
    </w:p>
    <w:p>
      <w:pPr>
        <w:spacing w:line="360" w:lineRule="auto" w:after="120"/>
        <w:ind w:left="360" w:firstLine="0"/>
        <w:jc w:val="left"/>
      </w:pPr>
      <w:r>
        <w:rPr>
          <w:rFonts w:ascii="Times New Roman" w:hAnsi="Times New Roman"/>
          <w:b w:val="0"/>
          <w:i w:val="0"/>
          <w:sz w:val="24"/>
        </w:rPr>
        <w:t>(d) Black-box outputs. Existing systems do not generate structured human-readable diagnostic reports, nor do they provide spatial attribution of AI decision-driving features.</w:t>
      </w:r>
    </w:p>
    <w:p>
      <w:pPr>
        <w:spacing w:line="360" w:lineRule="auto" w:after="120"/>
        <w:ind w:left="360" w:firstLine="0"/>
        <w:jc w:val="left"/>
      </w:pPr>
      <w:r>
        <w:rPr>
          <w:rFonts w:ascii="Times New Roman" w:hAnsi="Times New Roman"/>
          <w:b w:val="0"/>
          <w:i w:val="0"/>
          <w:sz w:val="24"/>
        </w:rPr>
        <w:t>(e) Cloud dependency. All prior art clinical AI systems require persistent high-bandwidth internet connectivity. This renders them inoperable in the 70%+ of low-and-middle-income clinical settings lacking reliable internet infrastructure.</w:t>
      </w:r>
    </w:p>
    <w:p>
      <w:pPr>
        <w:spacing w:line="360" w:lineRule="auto" w:after="120"/>
        <w:ind w:left="360" w:firstLine="0"/>
        <w:jc w:val="left"/>
      </w:pPr>
      <w:r>
        <w:rPr>
          <w:rFonts w:ascii="Times New Roman" w:hAnsi="Times New Roman"/>
          <w:b w:val="0"/>
          <w:i w:val="0"/>
          <w:sz w:val="24"/>
        </w:rPr>
        <w:t>(f) No human-in-the-loop guarantee. Prior art systems permit autonomous AI outputs to be acted upon without verified human review, inconsistent with EU AI Act Article 14 and NHS DCB0129.</w:t>
      </w:r>
    </w:p>
    <w:p>
      <w:pPr>
        <w:spacing w:before="240" w:after="120" w:line="360" w:lineRule="auto"/>
        <w:jc w:val="left"/>
      </w:pPr>
      <w:r>
        <w:rPr>
          <w:rFonts w:ascii="Times New Roman" w:hAnsi="Times New Roman"/>
          <w:b/>
          <w:sz w:val="24"/>
        </w:rPr>
        <w:t>2.3 Technical Need</w:t>
      </w:r>
    </w:p>
    <w:p>
      <w:pPr>
        <w:spacing w:line="360" w:lineRule="auto" w:after="120"/>
        <w:ind w:left="0" w:firstLine="0"/>
        <w:jc w:val="left"/>
      </w:pPr>
      <w:r>
        <w:rPr>
          <w:rFonts w:ascii="Times New Roman" w:hAnsi="Times New Roman"/>
          <w:b w:val="0"/>
          <w:i w:val="0"/>
          <w:sz w:val="24"/>
        </w:rPr>
        <w:t>There exists a clear and unmet need for a clinical AI system that: (i) detects multiple acute conditions from a single submission within clinically actionable latency; (ii) quantifies its own prediction uncertainty; (iii) audits its outputs for factual consistency before alert dispatch; (iv) generates structured, editable diagnostic reports with spatial attribution; (v) operates in sovereignty-preserving, disconnected environments; (vi) implements federated learning without transmitting protected health information; and (vii) enforces a statutory human-in-the-loop guarantee on all clinical outputs.</w:t>
      </w:r>
    </w:p>
    <w:p>
      <w:pPr>
        <w:spacing w:before="480" w:after="240" w:line="360" w:lineRule="auto"/>
        <w:jc w:val="left"/>
      </w:pPr>
      <w:r>
        <w:rPr>
          <w:rFonts w:ascii="Times New Roman" w:hAnsi="Times New Roman"/>
          <w:b/>
          <w:sz w:val="28"/>
        </w:rPr>
        <w:t>3. SUMMARY OF THE INVENTION</w:t>
      </w:r>
    </w:p>
    <w:p>
      <w:pPr>
        <w:spacing w:line="360" w:lineRule="auto" w:after="120"/>
        <w:ind w:left="0" w:firstLine="0"/>
        <w:jc w:val="left"/>
      </w:pPr>
      <w:r>
        <w:rPr>
          <w:rFonts w:ascii="Times New Roman" w:hAnsi="Times New Roman"/>
          <w:b w:val="0"/>
          <w:i w:val="0"/>
          <w:sz w:val="24"/>
        </w:rPr>
        <w:t>The invention provides a computer-implemented multi-engine clinical AI platform comprising nine interconnected subsystems:</w:t>
      </w:r>
    </w:p>
    <w:p>
      <w:pPr>
        <w:spacing w:line="360" w:lineRule="auto" w:after="120"/>
        <w:ind w:left="360" w:firstLine="0"/>
        <w:jc w:val="left"/>
      </w:pPr>
      <w:r>
        <w:rPr>
          <w:rFonts w:ascii="Times New Roman" w:hAnsi="Times New Roman"/>
          <w:b w:val="0"/>
          <w:i w:val="0"/>
          <w:sz w:val="24"/>
        </w:rPr>
        <w:t>[S1] Scan ingestion and pre-processing: Receives medical imaging data via DIMSE C-STORE, FHIR R4, HL7v2 MLLP, or direct upload; applies modality-specific Hounsfield Unit windowing and pixel normalisation; produces a standardised imaging tensor for GPU inference.</w:t>
      </w:r>
    </w:p>
    <w:p>
      <w:pPr>
        <w:spacing w:line="360" w:lineRule="auto" w:after="120"/>
        <w:ind w:left="360" w:firstLine="0"/>
        <w:jc w:val="left"/>
      </w:pPr>
      <w:r>
        <w:rPr>
          <w:rFonts w:ascii="Times New Roman" w:hAnsi="Times New Roman"/>
          <w:b w:val="0"/>
          <w:i w:val="0"/>
          <w:sz w:val="24"/>
        </w:rPr>
        <w:t>[S2] Triage engine: EfficientNet-B4 convolutional neural network detecting up to fourteen clinical conditions with urgency classification (CRITICAL/URGENT/NORMAL/ROUTINE) in median 620ms, producing Grad-CAM heatmaps and SHAP feature attribution simultaneously.</w:t>
      </w:r>
    </w:p>
    <w:p>
      <w:pPr>
        <w:spacing w:line="360" w:lineRule="auto" w:after="120"/>
        <w:ind w:left="360" w:firstLine="0"/>
        <w:jc w:val="left"/>
      </w:pPr>
      <w:r>
        <w:rPr>
          <w:rFonts w:ascii="Times New Roman" w:hAnsi="Times New Roman"/>
          <w:b w:val="0"/>
          <w:i w:val="0"/>
          <w:sz w:val="24"/>
        </w:rPr>
        <w:t>[S3] Uncertainty engine: Monte Carlo Dropout over twenty stochastic forward passes, decomposing prediction variance into epistemic and aleatoric uncertainty; mandatory human escalation when composite uncertainty exceeds a configurable threshold, independent of triage confidence.</w:t>
      </w:r>
    </w:p>
    <w:p>
      <w:pPr>
        <w:spacing w:line="360" w:lineRule="auto" w:after="120"/>
        <w:ind w:left="360" w:firstLine="0"/>
        <w:jc w:val="left"/>
      </w:pPr>
      <w:r>
        <w:rPr>
          <w:rFonts w:ascii="Times New Roman" w:hAnsi="Times New Roman"/>
          <w:b w:val="0"/>
          <w:i w:val="0"/>
          <w:sz w:val="24"/>
        </w:rPr>
        <w:t>[S4] VLM report generator: Vision-language model producing structured four-section radiology reports (Technique / Findings / Impression / Recommendation) in eight languages, with clinician edit tracking for continuous learning.</w:t>
      </w:r>
    </w:p>
    <w:p>
      <w:pPr>
        <w:spacing w:line="360" w:lineRule="auto" w:after="120"/>
        <w:ind w:left="360" w:firstLine="0"/>
        <w:jc w:val="left"/>
      </w:pPr>
      <w:r>
        <w:rPr>
          <w:rFonts w:ascii="Times New Roman" w:hAnsi="Times New Roman"/>
          <w:b w:val="0"/>
          <w:i w:val="0"/>
          <w:sz w:val="24"/>
        </w:rPr>
        <w:t>[S5] Metacognition engine: Nine sequential validation layers evaluating modality-finding plausibility, urgency-finding consistency, confidence floors, SHAP coherence, uncertainty-confidence conflict, report-finding concordance, demographic plausibility, composite hallucination risk scoring, and producing a binary safe-to-alert gate.</w:t>
      </w:r>
    </w:p>
    <w:p>
      <w:pPr>
        <w:spacing w:line="360" w:lineRule="auto" w:after="120"/>
        <w:ind w:left="360" w:firstLine="0"/>
        <w:jc w:val="left"/>
      </w:pPr>
      <w:r>
        <w:rPr>
          <w:rFonts w:ascii="Times New Roman" w:hAnsi="Times New Roman"/>
          <w:b w:val="0"/>
          <w:i w:val="0"/>
          <w:sz w:val="24"/>
        </w:rPr>
        <w:t>[S6] Multi-channel alert subsystem: Simultaneous FCM push, WebSocket, email, and HL7v2 ORU^R01 dispatch upon metacognition PASS; Stroke Code pathway triggering additional HL7v2 ADT^A02 and ORM^O01 messages.</w:t>
      </w:r>
    </w:p>
    <w:p>
      <w:pPr>
        <w:spacing w:line="360" w:lineRule="auto" w:after="120"/>
        <w:ind w:left="360" w:firstLine="0"/>
        <w:jc w:val="left"/>
      </w:pPr>
      <w:r>
        <w:rPr>
          <w:rFonts w:ascii="Times New Roman" w:hAnsi="Times New Roman"/>
          <w:b w:val="0"/>
          <w:i w:val="0"/>
          <w:sz w:val="24"/>
        </w:rPr>
        <w:t>[S7] Human-in-the-loop enforcement: Database-level constraint requiring qualified clinician digital signature before clinical output delivery; enforced independently of application logic.</w:t>
      </w:r>
    </w:p>
    <w:p>
      <w:pPr>
        <w:spacing w:line="360" w:lineRule="auto" w:after="120"/>
        <w:ind w:left="360" w:firstLine="0"/>
        <w:jc w:val="left"/>
      </w:pPr>
      <w:r>
        <w:rPr>
          <w:rFonts w:ascii="Times New Roman" w:hAnsi="Times New Roman"/>
          <w:b w:val="0"/>
          <w:i w:val="0"/>
          <w:sz w:val="24"/>
        </w:rPr>
        <w:t>[S8] Federated learning subsystem: Differentially private gradient aggregation enabling collaborative model improvement without PHI transmission; gated by human approval before production deployment.</w:t>
      </w:r>
    </w:p>
    <w:p>
      <w:pPr>
        <w:spacing w:line="360" w:lineRule="auto" w:after="120"/>
        <w:ind w:left="360" w:firstLine="0"/>
        <w:jc w:val="left"/>
      </w:pPr>
      <w:r>
        <w:rPr>
          <w:rFonts w:ascii="Times New Roman" w:hAnsi="Times New Roman"/>
          <w:b w:val="0"/>
          <w:i w:val="0"/>
          <w:sz w:val="24"/>
        </w:rPr>
        <w:t>[S9] Sovereign deployment architecture: Cloud-native AKS GPU inference path and offline INT8-quantised edge path with asynchronous synchronisation; Merkle-chained tamper-evident audit trail across both paths.</w:t>
      </w:r>
    </w:p>
    <w:p>
      <w:pPr>
        <w:spacing w:before="480" w:after="240" w:line="360" w:lineRule="auto"/>
        <w:jc w:val="left"/>
      </w:pPr>
      <w:r>
        <w:rPr>
          <w:rFonts w:ascii="Times New Roman" w:hAnsi="Times New Roman"/>
          <w:b/>
          <w:sz w:val="28"/>
        </w:rPr>
        <w:t>4. DETAILED DESCRIPTION</w:t>
      </w:r>
    </w:p>
    <w:p>
      <w:pPr>
        <w:spacing w:before="240" w:after="120" w:line="360" w:lineRule="auto"/>
        <w:jc w:val="left"/>
      </w:pPr>
      <w:r>
        <w:rPr>
          <w:rFonts w:ascii="Times New Roman" w:hAnsi="Times New Roman"/>
          <w:b/>
          <w:sz w:val="24"/>
        </w:rPr>
        <w:t>4.1 System Architecture — Figure 1</w:t>
      </w:r>
    </w:p>
    <w:p>
      <w:pPr>
        <w:spacing w:line="360" w:lineRule="auto" w:after="120"/>
        <w:ind w:left="0" w:firstLine="0"/>
        <w:jc w:val="left"/>
      </w:pPr>
      <w:r>
        <w:rPr>
          <w:rFonts w:ascii="Times New Roman" w:hAnsi="Times New Roman"/>
          <w:b w:val="0"/>
          <w:i w:val="0"/>
          <w:sz w:val="24"/>
        </w:rPr>
        <w:t>The SEWA AI platform implements a four-engine sequential pipeline for clinical diagnostic triage and safety assurance. Medical imaging studies are received via DICOM C-STORE, FHIR R4, HL7v2 MLLP, or direct upload API into the scan ingestion subsystem [S1]. Pre-processing applies modality-specific Hounsfield Unit windowing and pixel normalisation to produce a standardised multi-channel imaging tensor [1,3,512,512] for GPU inference.</w:t>
        <w:br/>
        <w:br/>
        <w:t>Engine 1 (Triage) comprises an EfficientNet-B4 compound-scaled convolutional neural network detecting up to fourteen clinical conditions across CT Head, CT Chest, X-Ray, MRI Brain, and multi-modality inputs. Inference executes in 380–620ms, producing per-condition probability scores, urgency classification (CRITICAL/URGENT/NORMAL/ROUTINE), Grad-CAM spatial heatmaps, and SHAP feature attribution.</w:t>
        <w:br/>
        <w:br/>
        <w:t>Engine 2 (Uncertainty) executes N=20 stochastic forward passes through the triage engine with Dropout layers active (Monte Carlo Dropout). Prediction variance is decomposed into epistemic uncertainty (model uncertainty) and aleatoric uncertainty (data noise). A composite uncertainty score U = 0.6*sigma²_ep + 0.4*sigma²_al is computed. If U exceeds a configurable threshold (default 0.25), the case is mandatorily routed to human clinical review independently of downstream engines.</w:t>
        <w:br/>
        <w:br/>
        <w:t>Engine 3 (VLM Report Generator) accepts triage outputs, SHAP top-5 spatial narrative hints, patient metadata, and DICOM parameters as inputs. A CLIP medical vision encoder produces a [1,512] image embedding, which is decoded by an LLM with LoRA clinical fine-tuning into a structured four-section radiology report: Technique, Findings, Impression, and Recommendation. Reports are generated in eight languages and are clinician-editable with diff tracking.</w:t>
        <w:br/>
        <w:br/>
        <w:t>Engine 4 (Metacognition) implements nine sequential validation layers evaluating AI outputs before CRITICAL alert dispatch. The layers assess: (1) modality-finding plausibility; (2) urgency-finding consistency with auto-correction; (3) confidence floors per urgency class; (4) SHAP coherence between attribution and finding; (5) uncertainty-confidence conflict detection; (6) report-finding concordance via negation detection; (7) demographic plausibility against epidemiological priors; (8) composite hallucination risk score H as a weighted combination of signals from Layers 1–7; and (9) binary safe-to-alert gate permitting dispatch only when no REJECT from Layers 1–7 and H &lt;= 0.30.</w:t>
        <w:br/>
        <w:br/>
        <w:t>Upon metacognition PASS, the multi-channel alert subsystem [S6] dispatches simultaneously via FCM push notification, WebSocket event, email, and HL7v2 ORU^R01. For Stroke Code conditions (ICH, LVO, SAH, Aortic Dissection), additional HL7v2 ADT^A02 and ORM^O01 messages are triggered. All clinical outputs require qualified clinician digital signature before delivery, enforced as a database-level constraint [S7].</w:t>
      </w:r>
    </w:p>
    <w:p>
      <w:pPr>
        <w:spacing w:before="480" w:after="120" w:line="360" w:lineRule="auto"/>
        <w:jc w:val="left"/>
      </w:pPr>
      <w:r>
        <w:rPr>
          <w:rFonts w:ascii="Times New Roman" w:hAnsi="Times New Roman"/>
          <w:b/>
          <w:sz w:val="24"/>
        </w:rPr>
        <w:t>4.2 Triage Engine</w:t>
      </w:r>
    </w:p>
    <w:p>
      <w:pPr>
        <w:spacing w:line="360" w:lineRule="auto" w:after="120"/>
        <w:ind w:left="0" w:firstLine="0"/>
        <w:jc w:val="left"/>
      </w:pPr>
      <w:r>
        <w:rPr>
          <w:rFonts w:ascii="Times New Roman" w:hAnsi="Times New Roman"/>
          <w:b w:val="0"/>
          <w:i w:val="0"/>
          <w:sz w:val="24"/>
        </w:rPr>
        <w:t>[4.2.1] The triage engine comprises EfficientNet-B4 (18.9M parameters), pre-trained on ImageNet-21k and fine-tuned on &gt;=500,000 labelled medical imaging studies using transfer learning with differential learning rates and class-weighted binary cross-entropy loss.</w:t>
      </w:r>
    </w:p>
    <w:p>
      <w:pPr>
        <w:spacing w:line="360" w:lineRule="auto" w:after="120"/>
        <w:ind w:left="0" w:firstLine="0"/>
        <w:jc w:val="left"/>
      </w:pPr>
      <w:r>
        <w:rPr>
          <w:rFonts w:ascii="Times New Roman" w:hAnsi="Times New Roman"/>
          <w:b w:val="0"/>
          <w:i w:val="0"/>
          <w:sz w:val="24"/>
        </w:rPr>
        <w:t>[4.2.2] Pre-processing applies three simultaneous windowing presets producing a [1,3,512,512] three-channel tensor. For CT head: brain (W80/L40), subdural (W130/L75), bone (W2800/L600). For CT chest: lung (W1500/L-600), mediastinal (W350/L25), bone.</w:t>
      </w:r>
    </w:p>
    <w:p>
      <w:pPr>
        <w:spacing w:line="360" w:lineRule="auto" w:after="120"/>
        <w:ind w:left="0" w:firstLine="0"/>
        <w:jc w:val="left"/>
      </w:pPr>
      <w:r>
        <w:rPr>
          <w:rFonts w:ascii="Times New Roman" w:hAnsi="Times New Roman"/>
          <w:b w:val="0"/>
          <w:i w:val="0"/>
          <w:sz w:val="24"/>
        </w:rPr>
        <w:t>[4.2.3] Fourteen conditions are detected across modalities, with CRITICAL thresholds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60" w:lineRule="auto"/>
            </w:pPr>
            <w:r>
              <w:rPr>
                <w:rFonts w:ascii="Times New Roman" w:hAnsi="Times New Roman"/>
                <w:sz w:val="24"/>
              </w:rPr>
              <w:t>Modality</w:t>
            </w:r>
          </w:p>
        </w:tc>
        <w:tc>
          <w:tcPr>
            <w:tcW w:type="dxa" w:w="2880"/>
          </w:tcPr>
          <w:p>
            <w:pPr>
              <w:spacing w:line="360" w:lineRule="auto"/>
            </w:pPr>
            <w:r>
              <w:rPr>
                <w:rFonts w:ascii="Times New Roman" w:hAnsi="Times New Roman"/>
                <w:sz w:val="24"/>
              </w:rPr>
              <w:t>Conditions</w:t>
            </w:r>
          </w:p>
        </w:tc>
        <w:tc>
          <w:tcPr>
            <w:tcW w:type="dxa" w:w="2880"/>
          </w:tcPr>
          <w:p>
            <w:pPr>
              <w:spacing w:line="360" w:lineRule="auto"/>
            </w:pPr>
            <w:r>
              <w:rPr>
                <w:rFonts w:ascii="Times New Roman" w:hAnsi="Times New Roman"/>
                <w:sz w:val="24"/>
              </w:rPr>
              <w:t>CRITICAL Threshold</w:t>
            </w:r>
          </w:p>
        </w:tc>
      </w:tr>
      <w:tr>
        <w:tc>
          <w:tcPr>
            <w:tcW w:type="dxa" w:w="2880"/>
          </w:tcPr>
          <w:p>
            <w:pPr>
              <w:spacing w:line="360" w:lineRule="auto"/>
            </w:pPr>
            <w:r>
              <w:rPr>
                <w:rFonts w:ascii="Times New Roman" w:hAnsi="Times New Roman"/>
                <w:sz w:val="24"/>
              </w:rPr>
              <w:t>CT Head</w:t>
            </w:r>
          </w:p>
        </w:tc>
        <w:tc>
          <w:tcPr>
            <w:tcW w:type="dxa" w:w="2880"/>
          </w:tcPr>
          <w:p>
            <w:pPr>
              <w:spacing w:line="360" w:lineRule="auto"/>
            </w:pPr>
            <w:r>
              <w:rPr>
                <w:rFonts w:ascii="Times New Roman" w:hAnsi="Times New Roman"/>
                <w:sz w:val="24"/>
              </w:rPr>
              <w:t>ICH, Ischaemic Stroke, SDH, SAH</w:t>
            </w:r>
          </w:p>
        </w:tc>
        <w:tc>
          <w:tcPr>
            <w:tcW w:type="dxa" w:w="2880"/>
          </w:tcPr>
          <w:p>
            <w:pPr>
              <w:spacing w:line="360" w:lineRule="auto"/>
            </w:pPr>
            <w:r>
              <w:rPr>
                <w:rFonts w:ascii="Times New Roman" w:hAnsi="Times New Roman"/>
                <w:sz w:val="24"/>
              </w:rPr>
              <w:t>&gt;= 0.45</w:t>
            </w:r>
          </w:p>
        </w:tc>
      </w:tr>
      <w:tr>
        <w:tc>
          <w:tcPr>
            <w:tcW w:type="dxa" w:w="2880"/>
          </w:tcPr>
          <w:p>
            <w:pPr>
              <w:spacing w:line="360" w:lineRule="auto"/>
            </w:pPr>
            <w:r>
              <w:rPr>
                <w:rFonts w:ascii="Times New Roman" w:hAnsi="Times New Roman"/>
                <w:sz w:val="24"/>
              </w:rPr>
              <w:t>CT Chest</w:t>
            </w:r>
          </w:p>
        </w:tc>
        <w:tc>
          <w:tcPr>
            <w:tcW w:type="dxa" w:w="2880"/>
          </w:tcPr>
          <w:p>
            <w:pPr>
              <w:spacing w:line="360" w:lineRule="auto"/>
            </w:pPr>
            <w:r>
              <w:rPr>
                <w:rFonts w:ascii="Times New Roman" w:hAnsi="Times New Roman"/>
                <w:sz w:val="24"/>
              </w:rPr>
              <w:t>PE, Pneumothorax, Aortic Dissection</w:t>
            </w:r>
          </w:p>
        </w:tc>
        <w:tc>
          <w:tcPr>
            <w:tcW w:type="dxa" w:w="2880"/>
          </w:tcPr>
          <w:p>
            <w:pPr>
              <w:spacing w:line="360" w:lineRule="auto"/>
            </w:pPr>
            <w:r>
              <w:rPr>
                <w:rFonts w:ascii="Times New Roman" w:hAnsi="Times New Roman"/>
                <w:sz w:val="24"/>
              </w:rPr>
              <w:t>&gt;= 0.45</w:t>
            </w:r>
          </w:p>
        </w:tc>
      </w:tr>
      <w:tr>
        <w:tc>
          <w:tcPr>
            <w:tcW w:type="dxa" w:w="2880"/>
          </w:tcPr>
          <w:p>
            <w:pPr>
              <w:spacing w:line="360" w:lineRule="auto"/>
            </w:pPr>
            <w:r>
              <w:rPr>
                <w:rFonts w:ascii="Times New Roman" w:hAnsi="Times New Roman"/>
                <w:sz w:val="24"/>
              </w:rPr>
              <w:t>X-Ray</w:t>
            </w:r>
          </w:p>
        </w:tc>
        <w:tc>
          <w:tcPr>
            <w:tcW w:type="dxa" w:w="2880"/>
          </w:tcPr>
          <w:p>
            <w:pPr>
              <w:spacing w:line="360" w:lineRule="auto"/>
            </w:pPr>
            <w:r>
              <w:rPr>
                <w:rFonts w:ascii="Times New Roman" w:hAnsi="Times New Roman"/>
                <w:sz w:val="24"/>
              </w:rPr>
              <w:t>Pneumonia, TB, Pneumothorax, Cardiomegaly</w:t>
            </w:r>
          </w:p>
        </w:tc>
        <w:tc>
          <w:tcPr>
            <w:tcW w:type="dxa" w:w="2880"/>
          </w:tcPr>
          <w:p>
            <w:pPr>
              <w:spacing w:line="360" w:lineRule="auto"/>
            </w:pPr>
            <w:r>
              <w:rPr>
                <w:rFonts w:ascii="Times New Roman" w:hAnsi="Times New Roman"/>
                <w:sz w:val="24"/>
              </w:rPr>
              <w:t>&gt;= 0.50</w:t>
            </w:r>
          </w:p>
        </w:tc>
      </w:tr>
      <w:tr>
        <w:tc>
          <w:tcPr>
            <w:tcW w:type="dxa" w:w="2880"/>
          </w:tcPr>
          <w:p>
            <w:pPr>
              <w:spacing w:line="360" w:lineRule="auto"/>
            </w:pPr>
            <w:r>
              <w:rPr>
                <w:rFonts w:ascii="Times New Roman" w:hAnsi="Times New Roman"/>
                <w:sz w:val="24"/>
              </w:rPr>
              <w:t>MRI Brain</w:t>
            </w:r>
          </w:p>
        </w:tc>
        <w:tc>
          <w:tcPr>
            <w:tcW w:type="dxa" w:w="2880"/>
          </w:tcPr>
          <w:p>
            <w:pPr>
              <w:spacing w:line="360" w:lineRule="auto"/>
            </w:pPr>
            <w:r>
              <w:rPr>
                <w:rFonts w:ascii="Times New Roman" w:hAnsi="Times New Roman"/>
                <w:sz w:val="24"/>
              </w:rPr>
              <w:t>Ischaemic Stroke (DWI), Space-Occupying Lesion</w:t>
            </w:r>
          </w:p>
        </w:tc>
        <w:tc>
          <w:tcPr>
            <w:tcW w:type="dxa" w:w="2880"/>
          </w:tcPr>
          <w:p>
            <w:pPr>
              <w:spacing w:line="360" w:lineRule="auto"/>
            </w:pPr>
            <w:r>
              <w:rPr>
                <w:rFonts w:ascii="Times New Roman" w:hAnsi="Times New Roman"/>
                <w:sz w:val="24"/>
              </w:rPr>
              <w:t>&gt;= 0.50</w:t>
            </w:r>
          </w:p>
        </w:tc>
      </w:tr>
      <w:tr>
        <w:tc>
          <w:tcPr>
            <w:tcW w:type="dxa" w:w="2880"/>
          </w:tcPr>
          <w:p>
            <w:pPr>
              <w:spacing w:line="360" w:lineRule="auto"/>
            </w:pPr>
            <w:r>
              <w:rPr>
                <w:rFonts w:ascii="Times New Roman" w:hAnsi="Times New Roman"/>
                <w:sz w:val="24"/>
              </w:rPr>
              <w:t>Multi</w:t>
            </w:r>
          </w:p>
        </w:tc>
        <w:tc>
          <w:tcPr>
            <w:tcW w:type="dxa" w:w="2880"/>
          </w:tcPr>
          <w:p>
            <w:pPr>
              <w:spacing w:line="360" w:lineRule="auto"/>
            </w:pPr>
            <w:r>
              <w:rPr>
                <w:rFonts w:ascii="Times New Roman" w:hAnsi="Times New Roman"/>
                <w:sz w:val="24"/>
              </w:rPr>
              <w:t>Bone Fracture</w:t>
            </w:r>
          </w:p>
        </w:tc>
        <w:tc>
          <w:tcPr>
            <w:tcW w:type="dxa" w:w="2880"/>
          </w:tcPr>
          <w:p>
            <w:pPr>
              <w:spacing w:line="360" w:lineRule="auto"/>
            </w:pPr>
            <w:r>
              <w:rPr>
                <w:rFonts w:ascii="Times New Roman" w:hAnsi="Times New Roman"/>
                <w:sz w:val="24"/>
              </w:rPr>
              <w:t>&gt;= 0.50</w:t>
            </w:r>
          </w:p>
        </w:tc>
      </w:tr>
    </w:tbl>
    <w:p>
      <w:pPr>
        <w:spacing w:line="360" w:lineRule="auto" w:after="120"/>
        <w:ind w:left="0" w:firstLine="0"/>
        <w:jc w:val="left"/>
      </w:pPr>
      <w:r>
        <w:rPr>
          <w:rFonts w:ascii="Times New Roman" w:hAnsi="Times New Roman"/>
          <w:b w:val="0"/>
          <w:i w:val="0"/>
          <w:sz w:val="24"/>
        </w:rPr>
        <w:t>[4.2.4] Grad-CAM heatmaps are computed simultaneously with inference by backpropagating the gradient of the predicted class score through the final convolutional feature maps, applying ReLU, and upsampling to input dimensions.</w:t>
      </w:r>
    </w:p>
    <w:p>
      <w:pPr>
        <w:spacing w:line="360" w:lineRule="auto" w:after="120"/>
        <w:ind w:left="0" w:firstLine="0"/>
        <w:jc w:val="left"/>
      </w:pPr>
      <w:r>
        <w:rPr>
          <w:rFonts w:ascii="Times New Roman" w:hAnsi="Times New Roman"/>
          <w:b w:val="0"/>
          <w:i w:val="0"/>
          <w:sz w:val="24"/>
        </w:rPr>
        <w:t>[4.2.5] SHAP values are computed via Kernel SHAP on superpixel segmentation; top-five contributing regions are passed as structured narrative hints to the VLM.</w:t>
      </w:r>
    </w:p>
    <w:p>
      <w:pPr>
        <w:spacing w:before="480" w:after="120" w:line="360" w:lineRule="auto"/>
        <w:jc w:val="left"/>
      </w:pPr>
      <w:r>
        <w:rPr>
          <w:rFonts w:ascii="Times New Roman" w:hAnsi="Times New Roman"/>
          <w:b/>
          <w:sz w:val="24"/>
        </w:rPr>
        <w:t>4.3 Uncertainty Engine</w:t>
      </w:r>
    </w:p>
    <w:p>
      <w:pPr>
        <w:spacing w:line="360" w:lineRule="auto" w:after="120"/>
        <w:ind w:left="0" w:firstLine="0"/>
        <w:jc w:val="left"/>
      </w:pPr>
      <w:r>
        <w:rPr>
          <w:rFonts w:ascii="Times New Roman" w:hAnsi="Times New Roman"/>
          <w:b w:val="0"/>
          <w:i w:val="0"/>
          <w:sz w:val="24"/>
        </w:rPr>
        <w:t>[4.3.1] The uncertainty engine executes N=20 stochastic forward passes through the triage engine with Dropout layers active (MC-Dropout). For condition c with predictions P={p1,...,pN}:</w:t>
      </w:r>
    </w:p>
    <w:p>
      <w:pPr>
        <w:spacing w:line="360" w:lineRule="auto" w:after="120"/>
        <w:ind w:left="720" w:firstLine="0"/>
        <w:jc w:val="left"/>
      </w:pPr>
      <w:r>
        <w:rPr>
          <w:rFonts w:ascii="Times New Roman" w:hAnsi="Times New Roman"/>
          <w:b w:val="0"/>
          <w:i w:val="0"/>
          <w:sz w:val="24"/>
        </w:rPr>
        <w:t>Epistemic uncertainty: sigma²_ep = (1/N) * Sum(i=1 to N) of (pi_c - mu_c)²</w:t>
      </w:r>
    </w:p>
    <w:p>
      <w:pPr>
        <w:spacing w:line="360" w:lineRule="auto" w:after="120"/>
        <w:ind w:left="720" w:firstLine="0"/>
        <w:jc w:val="left"/>
      </w:pPr>
      <w:r>
        <w:rPr>
          <w:rFonts w:ascii="Times New Roman" w:hAnsi="Times New Roman"/>
          <w:b w:val="0"/>
          <w:i w:val="0"/>
          <w:sz w:val="24"/>
        </w:rPr>
        <w:t>Aleatoric uncertainty: sigma²_al = (1/N) * Sum(i=1 to N) of pi_c * (1 - pi_c)</w:t>
      </w:r>
    </w:p>
    <w:p>
      <w:pPr>
        <w:spacing w:line="360" w:lineRule="auto" w:after="120"/>
        <w:ind w:left="720" w:firstLine="0"/>
        <w:jc w:val="left"/>
      </w:pPr>
      <w:r>
        <w:rPr>
          <w:rFonts w:ascii="Times New Roman" w:hAnsi="Times New Roman"/>
          <w:b w:val="0"/>
          <w:i w:val="0"/>
          <w:sz w:val="24"/>
        </w:rPr>
        <w:t>Composite score: U = 0.6 * sigma²_ep + 0.4 * sigma²_al</w:t>
      </w:r>
    </w:p>
    <w:p>
      <w:pPr>
        <w:spacing w:line="360" w:lineRule="auto" w:after="120"/>
        <w:ind w:left="0" w:firstLine="0"/>
        <w:jc w:val="left"/>
      </w:pPr>
      <w:r>
        <w:rPr>
          <w:rFonts w:ascii="Times New Roman" w:hAnsi="Times New Roman"/>
          <w:b w:val="0"/>
          <w:i w:val="0"/>
          <w:sz w:val="24"/>
        </w:rPr>
        <w:t>[4.3.2] If U &gt; 0.25 (default threshold, configurable), the case is mandatorily routed to human clinical review independently of the metacognition engine. This rule cannot be overridden by downstream engines.</w:t>
      </w:r>
    </w:p>
    <w:p>
      <w:pPr>
        <w:spacing w:line="360" w:lineRule="auto" w:after="120"/>
        <w:ind w:left="0" w:firstLine="0"/>
        <w:jc w:val="left"/>
      </w:pPr>
      <w:r>
        <w:rPr>
          <w:rFonts w:ascii="Times New Roman" w:hAnsi="Times New Roman"/>
          <w:b w:val="0"/>
          <w:i w:val="0"/>
          <w:sz w:val="24"/>
        </w:rPr>
        <w:t>[4.3.3] Out-of-distribution detection is computed as the Mahalanobis distance between the input embedding and the training distribution mean, flagging OOD inputs.</w:t>
      </w:r>
    </w:p>
    <w:p>
      <w:pPr>
        <w:spacing w:before="480" w:after="120" w:line="360" w:lineRule="auto"/>
        <w:jc w:val="left"/>
      </w:pPr>
      <w:r>
        <w:rPr>
          <w:rFonts w:ascii="Times New Roman" w:hAnsi="Times New Roman"/>
          <w:b/>
          <w:sz w:val="24"/>
        </w:rPr>
        <w:t>4.4 VLM Report Generator — Figure 2</w:t>
      </w:r>
    </w:p>
    <w:p>
      <w:pPr>
        <w:spacing w:line="360" w:lineRule="auto" w:after="120"/>
        <w:ind w:left="0" w:firstLine="0"/>
        <w:jc w:val="left"/>
      </w:pPr>
      <w:r>
        <w:rPr>
          <w:rFonts w:ascii="Times New Roman" w:hAnsi="Times New Roman"/>
          <w:b w:val="0"/>
          <w:i w:val="0"/>
          <w:sz w:val="24"/>
        </w:rPr>
        <w:t>The VLM report generator accepts four input categories: (1) triage output (findings, confidence, urgency); (2) SHAP top-5 feature descriptions as spatial narrative hints; (3) patient metadata (age, sex, indication); and (4) DICOM parameters (modality, protocol, contrast).</w:t>
        <w:br/>
        <w:br/>
        <w:t>A CLIP Medical Vision Encoder processes the imaging tensor to produce a [1,512] image embedding. This embedding is fed into an LLM Decoder with LoRA clinical fine-tuning, which performs structured generation of a four-section radiology report:</w:t>
        <w:br/>
        <w:br/>
        <w:t>TECHNIQUE: Acquisition parameters and scan protocol.</w:t>
        <w:br/>
        <w:t>FINDINGS: Region-by-region description with SHAP-attributed spatial references.</w:t>
        <w:br/>
        <w:t>IMPRESSION: Primary conclusion combined with urgency classification.</w:t>
        <w:br/>
        <w:t>RECOMMENDATION: Clinical action and follow-up instructions.</w:t>
        <w:br/>
        <w:br/>
        <w:t>The generated report undergoes Metacognition Layer 6 concordance checking. The clinician-facing interface presents the report in an editable format with diff tracking. Upon radiologist digital signature, the report is converted to FHIR DiagnosticReport format and dispatched via HL7 ORU^R01.</w:t>
      </w:r>
    </w:p>
    <w:p>
      <w:pPr>
        <w:spacing w:before="480" w:after="120" w:line="360" w:lineRule="auto"/>
        <w:jc w:val="left"/>
      </w:pPr>
      <w:r>
        <w:rPr>
          <w:rFonts w:ascii="Times New Roman" w:hAnsi="Times New Roman"/>
          <w:b/>
          <w:sz w:val="24"/>
        </w:rPr>
        <w:t>4.5 Metacognition Engine — Nine-Layer Architecture — Figure 3</w:t>
      </w:r>
    </w:p>
    <w:p>
      <w:pPr>
        <w:spacing w:line="360" w:lineRule="auto" w:after="120"/>
        <w:ind w:left="0" w:firstLine="0"/>
        <w:jc w:val="left"/>
      </w:pPr>
      <w:r>
        <w:rPr>
          <w:rFonts w:ascii="Times New Roman" w:hAnsi="Times New Roman"/>
          <w:b w:val="0"/>
          <w:i w:val="0"/>
          <w:sz w:val="24"/>
        </w:rPr>
        <w:t>The metacognition engine is the core safety innovation. Nine sequential layers evaluate AI outputs before CRITICAL alert dispatch. No AI result is ever silently dropped; any FAIL routes to human review with full AI findings displayed.</w:t>
      </w:r>
    </w:p>
    <w:p>
      <w:pPr>
        <w:spacing w:line="360" w:lineRule="auto" w:after="120"/>
        <w:ind w:left="360" w:firstLine="0"/>
        <w:jc w:val="left"/>
      </w:pPr>
      <w:r>
        <w:rPr>
          <w:rFonts w:ascii="Times New Roman" w:hAnsi="Times New Roman"/>
          <w:b w:val="0"/>
          <w:i w:val="0"/>
          <w:sz w:val="24"/>
        </w:rPr>
        <w:t>Layer 1: Modality-Finding Plausibility. Evaluates whether a detected condition is anatomically plausible for the imaging modality. Example: TB on CT Head triggers immediate REJECT.</w:t>
      </w:r>
    </w:p>
    <w:p>
      <w:pPr>
        <w:spacing w:line="360" w:lineRule="auto" w:after="120"/>
        <w:ind w:left="360" w:firstLine="0"/>
        <w:jc w:val="left"/>
      </w:pPr>
      <w:r>
        <w:rPr>
          <w:rFonts w:ascii="Times New Roman" w:hAnsi="Times New Roman"/>
          <w:b w:val="0"/>
          <w:i w:val="0"/>
          <w:sz w:val="24"/>
        </w:rPr>
        <w:t>Layer 2: Urgency-Finding Consistency. Evaluates whether the urgency classification matches the detected finding. Example: ICH marked NORMAL triggers AUTO-CORRECT to CRITICAL plus FLAG.</w:t>
      </w:r>
    </w:p>
    <w:p>
      <w:pPr>
        <w:spacing w:line="360" w:lineRule="auto" w:after="120"/>
        <w:ind w:left="360" w:firstLine="0"/>
        <w:jc w:val="left"/>
      </w:pPr>
      <w:r>
        <w:rPr>
          <w:rFonts w:ascii="Times New Roman" w:hAnsi="Times New Roman"/>
          <w:b w:val="0"/>
          <w:i w:val="0"/>
          <w:sz w:val="24"/>
        </w:rPr>
        <w:t>Layer 3: Confidence Floor by Urgency. Enforces minimum confidence thresholds per urgency class. CRITICAL findings with confidence &lt; 0.45 are FLAGged and routed to human queue.</w:t>
      </w:r>
    </w:p>
    <w:p>
      <w:pPr>
        <w:spacing w:line="360" w:lineRule="auto" w:after="120"/>
        <w:ind w:left="360" w:firstLine="0"/>
        <w:jc w:val="left"/>
      </w:pPr>
      <w:r>
        <w:rPr>
          <w:rFonts w:ascii="Times New Roman" w:hAnsi="Times New Roman"/>
          <w:b w:val="0"/>
          <w:i w:val="0"/>
          <w:sz w:val="24"/>
        </w:rPr>
        <w:t>Layer 4: SHAP Coherence Check. Evaluates whether the top attribution region is anatomically consistent with the detected finding. Coherence score &lt; 0.5 triggers FLAG.</w:t>
      </w:r>
    </w:p>
    <w:p>
      <w:pPr>
        <w:spacing w:line="360" w:lineRule="auto" w:after="120"/>
        <w:ind w:left="360" w:firstLine="0"/>
        <w:jc w:val="left"/>
      </w:pPr>
      <w:r>
        <w:rPr>
          <w:rFonts w:ascii="Times New Roman" w:hAnsi="Times New Roman"/>
          <w:b w:val="0"/>
          <w:i w:val="0"/>
          <w:sz w:val="24"/>
        </w:rPr>
        <w:t>Layer 5: Uncertainty-Confidence Conflict. Detects contradictory signals where confidence &gt; 0.85 AND uncertainty &gt; 0.25, indicating potential model overconfidence on unreliable data.</w:t>
      </w:r>
    </w:p>
    <w:p>
      <w:pPr>
        <w:spacing w:line="360" w:lineRule="auto" w:after="120"/>
        <w:ind w:left="360" w:firstLine="0"/>
        <w:jc w:val="left"/>
      </w:pPr>
      <w:r>
        <w:rPr>
          <w:rFonts w:ascii="Times New Roman" w:hAnsi="Times New Roman"/>
          <w:b w:val="0"/>
          <w:i w:val="0"/>
          <w:sz w:val="24"/>
        </w:rPr>
        <w:t>Layer 6: Report-Finding Concordance. Checks concordance between the natural language impression and the urgency classification via negation detection. Example: VLM states 'no acute finding' but urgency = CRITICAL triggers FLAG.</w:t>
      </w:r>
    </w:p>
    <w:p>
      <w:pPr>
        <w:spacing w:line="360" w:lineRule="auto" w:after="120"/>
        <w:ind w:left="360" w:firstLine="0"/>
        <w:jc w:val="left"/>
      </w:pPr>
      <w:r>
        <w:rPr>
          <w:rFonts w:ascii="Times New Roman" w:hAnsi="Times New Roman"/>
          <w:b w:val="0"/>
          <w:i w:val="0"/>
          <w:sz w:val="24"/>
        </w:rPr>
        <w:t>Layer 7: Demographic Plausibility. Evaluates findings against epidemiological priors for patient demographics. Example: PE in patient &lt; 10 years triggers FLAG with annotation.</w:t>
      </w:r>
    </w:p>
    <w:p>
      <w:pPr>
        <w:spacing w:line="360" w:lineRule="auto" w:after="120"/>
        <w:ind w:left="360" w:firstLine="0"/>
        <w:jc w:val="left"/>
      </w:pPr>
      <w:r>
        <w:rPr>
          <w:rFonts w:ascii="Times New Roman" w:hAnsi="Times New Roman"/>
          <w:b w:val="0"/>
          <w:i w:val="0"/>
          <w:sz w:val="24"/>
        </w:rPr>
        <w:t>Layer 8: Composite Hallucination Risk Score H. Computed as a weighted combination of signals from Layers 1–7: H = w1*(1-coherence) + w2*conflict + w3*uncertainty + w4*OOD_distance + w5*negation_detected. If H &gt; 0.30, autonomous alert is BLOCKed and the case is routed to human queue.</w:t>
      </w:r>
    </w:p>
    <w:p>
      <w:pPr>
        <w:spacing w:line="360" w:lineRule="auto" w:after="120"/>
        <w:ind w:left="360" w:firstLine="0"/>
        <w:jc w:val="left"/>
      </w:pPr>
      <w:r>
        <w:rPr>
          <w:rFonts w:ascii="Times New Roman" w:hAnsi="Times New Roman"/>
          <w:b w:val="0"/>
          <w:i w:val="0"/>
          <w:sz w:val="24"/>
        </w:rPr>
        <w:t>Layer 9: Safe-to-Alert Gate. Produces binary PASS or FAIL decision. PASS permits multi-channel alert dispatch. FAIL always routes to human review — the AI result is never discarded.</w:t>
      </w:r>
    </w:p>
    <w:p>
      <w:pPr>
        <w:spacing w:line="360" w:lineRule="auto" w:after="120"/>
        <w:ind w:left="0" w:firstLine="0"/>
        <w:jc w:val="left"/>
      </w:pPr>
      <w:r>
        <w:rPr>
          <w:rFonts w:ascii="Times New Roman" w:hAnsi="Times New Roman"/>
          <w:b/>
          <w:i w:val="0"/>
          <w:sz w:val="24"/>
        </w:rPr>
        <w:t>Key property: No AI result is ever silently dropped. FAIL routes to human review with full AI findings displayed, ensuring no critical finding is lost.</w:t>
      </w:r>
    </w:p>
    <w:p>
      <w:pPr>
        <w:spacing w:before="480" w:after="120" w:line="360" w:lineRule="auto"/>
        <w:jc w:val="left"/>
      </w:pPr>
      <w:r>
        <w:rPr>
          <w:rFonts w:ascii="Times New Roman" w:hAnsi="Times New Roman"/>
          <w:b/>
          <w:sz w:val="24"/>
        </w:rPr>
        <w:t>4.6 Stroke Code Activation — Figure 4</w:t>
      </w:r>
    </w:p>
    <w:p>
      <w:pPr>
        <w:spacing w:line="360" w:lineRule="auto" w:after="120"/>
        <w:ind w:left="0" w:firstLine="0"/>
        <w:jc w:val="left"/>
      </w:pPr>
      <w:r>
        <w:rPr>
          <w:rFonts w:ascii="Times New Roman" w:hAnsi="Times New Roman"/>
          <w:b w:val="0"/>
          <w:i w:val="0"/>
          <w:sz w:val="24"/>
        </w:rPr>
        <w:t>Upon metacognition PASS for a time-critical condition (ICH, LVO, SAH, or Aortic Dissection) matching the Stroke Code condition set, six channels are dispatched in parallel within &lt; 5 seconds from PASS:</w:t>
        <w:br/>
        <w:br/>
        <w:t>[1] FCM Push to all radiologists and on-call doctor.</w:t>
        <w:br/>
        <w:t>[2] WebSocket event to all active browser sessions.</w:t>
        <w:br/>
        <w:t>[3] Email to radiologist, referring doctor, and on-call clinician.</w:t>
        <w:br/>
        <w:t>[4] HL7 ORU^R01 to EMR with STAT priority.</w:t>
        <w:br/>
        <w:t>[5] HL7 ADT^A02 stroke unit transfer order.</w:t>
        <w:br/>
        <w:t>[6] HL7 ORM^O01 CTA head+neck order (STAT).</w:t>
        <w:br/>
        <w:br/>
        <w:t>The door-to-alert timestamp is recorded in milliseconds in an immutable audit log. All events are SHA-256 Merkle-chained.</w:t>
        <w:br/>
        <w:br/>
        <w:t>The reviewing clinician is presented with DICOM imaging, Grad-CAM heatmap, SHAP attribution, and AI summary. Upon review, the radiologist either confirms the AI findings (signs report, generates FHIR DiagnosticReport) or overrides (documents reason, signs own report). Both outcomes generate training signals captured for continuous learning.</w:t>
      </w:r>
    </w:p>
    <w:p>
      <w:pPr>
        <w:spacing w:before="480" w:after="120" w:line="360" w:lineRule="auto"/>
        <w:jc w:val="left"/>
      </w:pPr>
      <w:r>
        <w:rPr>
          <w:rFonts w:ascii="Times New Roman" w:hAnsi="Times New Roman"/>
          <w:b/>
          <w:sz w:val="24"/>
        </w:rPr>
        <w:t>4.7 Federated Learning Subsystem — Figure 5</w:t>
      </w:r>
    </w:p>
    <w:p>
      <w:pPr>
        <w:spacing w:line="360" w:lineRule="auto" w:after="120"/>
        <w:ind w:left="0" w:firstLine="0"/>
        <w:jc w:val="left"/>
      </w:pPr>
      <w:r>
        <w:rPr>
          <w:rFonts w:ascii="Times New Roman" w:hAnsi="Times New Roman"/>
          <w:b w:val="0"/>
          <w:i w:val="0"/>
          <w:sz w:val="24"/>
        </w:rPr>
        <w:t>The federated learning subsystem enables privacy-preserving collaborative model improvement across participating institutions without transmitting protected health information.</w:t>
        <w:br/>
        <w:br/>
        <w:t>Protocol:</w:t>
        <w:br/>
        <w:t>(a) The central aggregation server distributes global model weights W_global to all participating institutions.</w:t>
        <w:br/>
        <w:t>(b) Each institution performs local training on locally-held data; no PHI leaves the institution.</w:t>
        <w:br/>
        <w:t>(c) Local model updates are computed as delta_Wi = W_local - W_global.</w:t>
        <w:br/>
        <w:t>(d) Differential privacy noise is applied to local updates: (epsilon=1.0, delta=10^-5) before transmission.</w:t>
        <w:br/>
        <w:t>(e) Only differentially private gradient updates delta_Wi' are transmitted to the aggregation server.</w:t>
        <w:br/>
        <w:t>(f) Weighted averaging computes the proposed global model: W_global_new = Sum(i) of (ni/N) * delta_Wi'.</w:t>
        <w:br/>
        <w:t>(g) A human approval gate requires digital sign-off from a designated Chief Scientific Officer (CSO) before production deployment.</w:t>
        <w:br/>
        <w:t>(h) All approval events are audit-logged in a tamper-evident chain.</w:t>
        <w:br/>
        <w:br/>
        <w:t>Anomaly detection is applied to received gradient updates to detect potential poisoning attacks or corrupted local models.</w:t>
      </w:r>
    </w:p>
    <w:p>
      <w:pPr>
        <w:spacing w:before="480" w:after="120" w:line="360" w:lineRule="auto"/>
        <w:jc w:val="left"/>
      </w:pPr>
      <w:r>
        <w:rPr>
          <w:rFonts w:ascii="Times New Roman" w:hAnsi="Times New Roman"/>
          <w:b/>
          <w:sz w:val="24"/>
        </w:rPr>
        <w:t>4.8 Audit Trail — Figure 6</w:t>
      </w:r>
    </w:p>
    <w:p>
      <w:pPr>
        <w:spacing w:line="360" w:lineRule="auto" w:after="120"/>
        <w:ind w:left="0" w:firstLine="0"/>
        <w:jc w:val="left"/>
      </w:pPr>
      <w:r>
        <w:rPr>
          <w:rFonts w:ascii="Times New Roman" w:hAnsi="Times New Roman"/>
          <w:b w:val="0"/>
          <w:i w:val="0"/>
          <w:sz w:val="24"/>
        </w:rPr>
        <w:t>All clinical events are recorded in a tamper-evident audit log with the following structure per record:</w:t>
        <w:br/>
        <w:br/>
        <w:t>event_id: UUID v4</w:t>
        <w:br/>
        <w:t>timestamp: ISO 8601 UTC (microsecond precision)</w:t>
        <w:br/>
        <w:t>user_id: UUID of authenticated clinician</w:t>
        <w:br/>
        <w:t>event_type: SCAN_RECEIVED | AI_RESULT | ALERT_SENT | REPORT_SIGNED | OVERRIDE | FEDERATED_UPDATE</w:t>
        <w:br/>
        <w:t>payload_hash: SHA-256 hash of resource at event time</w:t>
        <w:br/>
        <w:t>prev_hash: SHA-256 hash of previous audit record (chain linkage)</w:t>
        <w:br/>
        <w:t>merkle_root: batch Merkle root (nightly recompute)</w:t>
        <w:br/>
        <w:br/>
        <w:t>Hash chain integrity ensures tampering with any record breaks the chain. Integrity is verified nightly, with alerts generated on mismatch. Retention period is 7 years per NHS Records Management Code 2021.</w:t>
      </w:r>
    </w:p>
    <w:p>
      <w:pPr>
        <w:spacing w:before="480" w:after="120" w:line="360" w:lineRule="auto"/>
        <w:jc w:val="left"/>
      </w:pPr>
      <w:r>
        <w:rPr>
          <w:rFonts w:ascii="Times New Roman" w:hAnsi="Times New Roman"/>
          <w:b/>
          <w:sz w:val="24"/>
        </w:rPr>
        <w:t>4.9 Sovereign Deployment Architecture</w:t>
      </w:r>
    </w:p>
    <w:p>
      <w:pPr>
        <w:spacing w:line="360" w:lineRule="auto" w:after="120"/>
        <w:ind w:left="0" w:firstLine="0"/>
        <w:jc w:val="left"/>
      </w:pPr>
      <w:r>
        <w:rPr>
          <w:rFonts w:ascii="Times New Roman" w:hAnsi="Times New Roman"/>
          <w:b w:val="0"/>
          <w:i w:val="0"/>
          <w:sz w:val="24"/>
        </w:rPr>
        <w:t>Cloud Path (Azure Kubernetes Service):</w:t>
      </w:r>
    </w:p>
    <w:p>
      <w:pPr>
        <w:spacing w:line="360" w:lineRule="auto" w:after="120"/>
        <w:ind w:left="360" w:firstLine="0"/>
        <w:jc w:val="left"/>
      </w:pPr>
      <w:r>
        <w:rPr>
          <w:rFonts w:ascii="Times New Roman" w:hAnsi="Times New Roman"/>
          <w:b w:val="0"/>
          <w:i w:val="0"/>
          <w:sz w:val="24"/>
        </w:rPr>
        <w:t>CPU node pool: API gateway, orchestration, database proxy, monitoring (Standard_D4s_v3, 4vCPU/16GB, minimum 3 nodes).</w:t>
      </w:r>
    </w:p>
    <w:p>
      <w:pPr>
        <w:spacing w:line="360" w:lineRule="auto" w:after="120"/>
        <w:ind w:left="360" w:firstLine="0"/>
        <w:jc w:val="left"/>
      </w:pPr>
      <w:r>
        <w:rPr>
          <w:rFonts w:ascii="Times New Roman" w:hAnsi="Times New Roman"/>
          <w:b w:val="0"/>
          <w:i w:val="0"/>
          <w:sz w:val="24"/>
        </w:rPr>
        <w:t>GPU node pool: All four AI engines as containerised microservices (Standard_NC4as_T4_v3, T4 16GB, minimum 2 nodes).</w:t>
      </w:r>
    </w:p>
    <w:p>
      <w:pPr>
        <w:spacing w:line="360" w:lineRule="auto" w:after="120"/>
        <w:ind w:left="360" w:firstLine="0"/>
        <w:jc w:val="left"/>
      </w:pPr>
      <w:r>
        <w:rPr>
          <w:rFonts w:ascii="Times New Roman" w:hAnsi="Times New Roman"/>
          <w:b w:val="0"/>
          <w:i w:val="0"/>
          <w:sz w:val="24"/>
        </w:rPr>
        <w:t>PostgreSQL 15 with row-level tenant isolation, Redis 7, Azure Blob with AES-256-GCM encryption.</w:t>
      </w:r>
    </w:p>
    <w:p>
      <w:pPr>
        <w:spacing w:line="360" w:lineRule="auto" w:after="120"/>
        <w:ind w:left="360" w:firstLine="0"/>
        <w:jc w:val="left"/>
      </w:pPr>
      <w:r>
        <w:rPr>
          <w:rFonts w:ascii="Times New Roman" w:hAnsi="Times New Roman"/>
          <w:b w:val="0"/>
          <w:i w:val="0"/>
          <w:sz w:val="24"/>
        </w:rPr>
        <w:t>99.9% uptime SLA with blue-green zero-downtime deployments.</w:t>
      </w:r>
    </w:p>
    <w:p>
      <w:pPr>
        <w:spacing w:line="360" w:lineRule="auto" w:after="120"/>
        <w:ind w:left="0" w:firstLine="0"/>
        <w:jc w:val="left"/>
      </w:pPr>
      <w:r>
        <w:rPr>
          <w:rFonts w:ascii="Times New Roman" w:hAnsi="Times New Roman"/>
          <w:b w:val="0"/>
          <w:i w:val="0"/>
          <w:sz w:val="24"/>
        </w:rPr>
        <w:t>Offline Edge Path:</w:t>
      </w:r>
    </w:p>
    <w:p>
      <w:pPr>
        <w:spacing w:line="360" w:lineRule="auto" w:after="120"/>
        <w:ind w:left="360" w:firstLine="0"/>
        <w:jc w:val="left"/>
      </w:pPr>
      <w:r>
        <w:rPr>
          <w:rFonts w:ascii="Times New Roman" w:hAnsi="Times New Roman"/>
          <w:b w:val="0"/>
          <w:i w:val="0"/>
          <w:sz w:val="24"/>
        </w:rPr>
        <w:t>INT8-quantised triage model (~18MB, ~80ms inference on CPU).</w:t>
      </w:r>
    </w:p>
    <w:p>
      <w:pPr>
        <w:spacing w:line="360" w:lineRule="auto" w:after="120"/>
        <w:ind w:left="360" w:firstLine="0"/>
        <w:jc w:val="left"/>
      </w:pPr>
      <w:r>
        <w:rPr>
          <w:rFonts w:ascii="Times New Roman" w:hAnsi="Times New Roman"/>
          <w:b w:val="0"/>
          <w:i w:val="0"/>
          <w:sz w:val="24"/>
        </w:rPr>
        <w:t>Offline SQLite database with local cache capacity for 500 scans.</w:t>
      </w:r>
    </w:p>
    <w:p>
      <w:pPr>
        <w:spacing w:line="360" w:lineRule="auto" w:after="120"/>
        <w:ind w:left="360" w:firstLine="0"/>
        <w:jc w:val="left"/>
      </w:pPr>
      <w:r>
        <w:rPr>
          <w:rFonts w:ascii="Times New Roman" w:hAnsi="Times New Roman"/>
          <w:b w:val="0"/>
          <w:i w:val="0"/>
          <w:sz w:val="24"/>
        </w:rPr>
        <w:t>SMS fallback via GSM modem (Africa's Talk / Twilio SMS API).</w:t>
      </w:r>
    </w:p>
    <w:p>
      <w:pPr>
        <w:spacing w:line="360" w:lineRule="auto" w:after="120"/>
        <w:ind w:left="360" w:firstLine="0"/>
        <w:jc w:val="left"/>
      </w:pPr>
      <w:r>
        <w:rPr>
          <w:rFonts w:ascii="Times New Roman" w:hAnsi="Times New Roman"/>
          <w:b w:val="0"/>
          <w:i w:val="0"/>
          <w:sz w:val="24"/>
        </w:rPr>
        <w:t>Asynchronous cloud synchronisation when connectivity is restored.</w:t>
      </w:r>
    </w:p>
    <w:p>
      <w:pPr>
        <w:spacing w:line="360" w:lineRule="auto" w:after="120"/>
        <w:ind w:left="360" w:firstLine="0"/>
        <w:jc w:val="left"/>
      </w:pPr>
      <w:r>
        <w:rPr>
          <w:rFonts w:ascii="Times New Roman" w:hAnsi="Times New Roman"/>
          <w:b w:val="0"/>
          <w:i w:val="0"/>
          <w:sz w:val="24"/>
        </w:rPr>
        <w:t>Merkle-chained audit preserved across offline and online periods.</w:t>
      </w:r>
    </w:p>
    <w:p>
      <w:pPr>
        <w:spacing w:line="360" w:lineRule="auto" w:after="120"/>
        <w:ind w:left="0" w:firstLine="0"/>
        <w:jc w:val="left"/>
      </w:pPr>
      <w:r>
        <w:rPr>
          <w:rFonts w:ascii="Times New Roman" w:hAnsi="Times New Roman"/>
          <w:b w:val="0"/>
          <w:i w:val="0"/>
          <w:sz w:val="24"/>
        </w:rPr>
        <w:t>The device provides full AI triage and alert capability in both connected and disconnected operation modes.</w:t>
      </w:r>
    </w:p>
    <w:p>
      <w:r>
        <w:br w:type="page"/>
      </w:r>
    </w:p>
    <w:p>
      <w:pPr>
        <w:spacing w:before="240" w:after="240" w:line="360" w:lineRule="auto"/>
        <w:jc w:val="left"/>
      </w:pPr>
      <w:r>
        <w:rPr>
          <w:rFonts w:ascii="Times New Roman" w:hAnsi="Times New Roman"/>
          <w:b/>
          <w:sz w:val="28"/>
        </w:rPr>
        <w:t>5. CLAIMS</w:t>
      </w:r>
    </w:p>
    <w:p>
      <w:pPr>
        <w:spacing w:before="240" w:after="120" w:line="360" w:lineRule="auto"/>
        <w:jc w:val="left"/>
      </w:pPr>
      <w:r>
        <w:rPr>
          <w:rFonts w:ascii="Times New Roman" w:hAnsi="Times New Roman"/>
          <w:b/>
          <w:sz w:val="24"/>
        </w:rPr>
        <w:t>Claim 1 — Multi-Engine Diagnostic Orchestration (Method)</w:t>
      </w:r>
    </w:p>
    <w:p>
      <w:pPr>
        <w:spacing w:line="360" w:lineRule="auto" w:after="120"/>
        <w:ind w:left="0" w:firstLine="0"/>
        <w:jc w:val="left"/>
      </w:pPr>
      <w:r>
        <w:rPr>
          <w:rFonts w:ascii="Times New Roman" w:hAnsi="Times New Roman"/>
          <w:b w:val="0"/>
          <w:i w:val="0"/>
          <w:sz w:val="24"/>
        </w:rPr>
        <w:t>A computer-implemented method for clinical diagnostic triage and safety assurance in medical imaging, comprising:</w:t>
      </w:r>
    </w:p>
    <w:p>
      <w:pPr>
        <w:spacing w:line="360" w:lineRule="auto" w:after="120"/>
        <w:ind w:left="360" w:firstLine="0"/>
        <w:jc w:val="left"/>
      </w:pPr>
      <w:r>
        <w:rPr>
          <w:rFonts w:ascii="Times New Roman" w:hAnsi="Times New Roman"/>
          <w:b w:val="0"/>
          <w:i w:val="0"/>
          <w:sz w:val="24"/>
        </w:rPr>
        <w:t>(a) receiving, by a scan ingestion subsystem, a medical imaging study via any of DICOM C-STORE, FHIR R4, HL7v2 MLLP, or direct upload API;</w:t>
      </w:r>
    </w:p>
    <w:p>
      <w:pPr>
        <w:spacing w:line="360" w:lineRule="auto" w:after="120"/>
        <w:ind w:left="360" w:firstLine="0"/>
        <w:jc w:val="left"/>
      </w:pPr>
      <w:r>
        <w:rPr>
          <w:rFonts w:ascii="Times New Roman" w:hAnsi="Times New Roman"/>
          <w:b w:val="0"/>
          <w:i w:val="0"/>
          <w:sz w:val="24"/>
        </w:rPr>
        <w:t>(b) pre-processing the imaging data by applying modality-specific Hounsfield Unit windowing and producing a standardised multi-channel imaging tensor;</w:t>
      </w:r>
    </w:p>
    <w:p>
      <w:pPr>
        <w:spacing w:line="360" w:lineRule="auto" w:after="120"/>
        <w:ind w:left="360" w:firstLine="0"/>
        <w:jc w:val="left"/>
      </w:pPr>
      <w:r>
        <w:rPr>
          <w:rFonts w:ascii="Times New Roman" w:hAnsi="Times New Roman"/>
          <w:b w:val="0"/>
          <w:i w:val="0"/>
          <w:sz w:val="24"/>
        </w:rPr>
        <w:t>(c) executing, by a triage engine comprising a compound-scaled convolutional neural network, inference producing per-condition probability scores for at least two predefined clinical conditions and an urgency classification;</w:t>
      </w:r>
    </w:p>
    <w:p>
      <w:pPr>
        <w:spacing w:line="360" w:lineRule="auto" w:after="120"/>
        <w:ind w:left="360" w:firstLine="0"/>
        <w:jc w:val="left"/>
      </w:pPr>
      <w:r>
        <w:rPr>
          <w:rFonts w:ascii="Times New Roman" w:hAnsi="Times New Roman"/>
          <w:b w:val="0"/>
          <w:i w:val="0"/>
          <w:sz w:val="24"/>
        </w:rPr>
        <w:t>(d) executing, by an uncertainty engine, a plurality of stochastic forward passes through the triage engine with dropout layers active, computing a quantified uncertainty score comprising at least an epistemic uncertainty component;</w:t>
      </w:r>
    </w:p>
    <w:p>
      <w:pPr>
        <w:spacing w:line="360" w:lineRule="auto" w:after="120"/>
        <w:ind w:left="360" w:firstLine="0"/>
        <w:jc w:val="left"/>
      </w:pPr>
      <w:r>
        <w:rPr>
          <w:rFonts w:ascii="Times New Roman" w:hAnsi="Times New Roman"/>
          <w:b w:val="0"/>
          <w:i w:val="0"/>
          <w:sz w:val="24"/>
        </w:rPr>
        <w:t>(e) generating, by a vision-language model, a structured four-section diagnostic report from triage outputs and patient metadata;</w:t>
      </w:r>
    </w:p>
    <w:p>
      <w:pPr>
        <w:spacing w:line="360" w:lineRule="auto" w:after="120"/>
        <w:ind w:left="360" w:firstLine="0"/>
        <w:jc w:val="left"/>
      </w:pPr>
      <w:r>
        <w:rPr>
          <w:rFonts w:ascii="Times New Roman" w:hAnsi="Times New Roman"/>
          <w:b w:val="0"/>
          <w:i w:val="0"/>
          <w:sz w:val="24"/>
        </w:rPr>
        <w:t>(f) evaluating, by a metacognition engine comprising at least nine sequential validation layers, triage and report outputs against clinical plausibility rules, uncertainty-confidence consistency, and report-finding concordance, producing a binary safe-to-alert decision;</w:t>
      </w:r>
    </w:p>
    <w:p>
      <w:pPr>
        <w:spacing w:line="360" w:lineRule="auto" w:after="120"/>
        <w:ind w:left="360" w:firstLine="0"/>
        <w:jc w:val="left"/>
      </w:pPr>
      <w:r>
        <w:rPr>
          <w:rFonts w:ascii="Times New Roman" w:hAnsi="Times New Roman"/>
          <w:b w:val="0"/>
          <w:i w:val="0"/>
          <w:sz w:val="24"/>
        </w:rPr>
        <w:t>(g) dispatching, upon a PASS safe-to-alert decision, clinical alerts simultaneously via at least mobile push notification and HL7v2 ORU^R01; and</w:t>
      </w:r>
    </w:p>
    <w:p>
      <w:pPr>
        <w:spacing w:line="360" w:lineRule="auto" w:after="120"/>
        <w:ind w:left="360" w:firstLine="0"/>
        <w:jc w:val="left"/>
      </w:pPr>
      <w:r>
        <w:rPr>
          <w:rFonts w:ascii="Times New Roman" w:hAnsi="Times New Roman"/>
          <w:b w:val="0"/>
          <w:i w:val="0"/>
          <w:sz w:val="24"/>
        </w:rPr>
        <w:t>(h) requiring a qualified clinician's digital signature before clinical output delivery, enforced as a database-level constraint independent of application logic.</w:t>
      </w:r>
    </w:p>
    <w:p>
      <w:pPr>
        <w:spacing w:before="240" w:after="120" w:line="360" w:lineRule="auto"/>
        <w:jc w:val="left"/>
      </w:pPr>
      <w:r>
        <w:rPr>
          <w:rFonts w:ascii="Times New Roman" w:hAnsi="Times New Roman"/>
          <w:b/>
          <w:sz w:val="24"/>
        </w:rPr>
        <w:t>Claim 2 — Metacognition Safety Layer (Method)</w:t>
      </w:r>
    </w:p>
    <w:p>
      <w:pPr>
        <w:spacing w:line="360" w:lineRule="auto" w:after="120"/>
        <w:ind w:left="0" w:firstLine="0"/>
        <w:jc w:val="left"/>
      </w:pPr>
      <w:r>
        <w:rPr>
          <w:rFonts w:ascii="Times New Roman" w:hAnsi="Times New Roman"/>
          <w:b w:val="0"/>
          <w:i w:val="0"/>
          <w:sz w:val="24"/>
        </w:rPr>
        <w:t>A method for automated safety assurance of AI-generated clinical diagnostic outputs through nine sequential validation layers, wherein:</w:t>
      </w:r>
    </w:p>
    <w:p>
      <w:pPr>
        <w:spacing w:line="360" w:lineRule="auto" w:after="120"/>
        <w:ind w:left="360" w:firstLine="0"/>
        <w:jc w:val="left"/>
      </w:pPr>
      <w:r>
        <w:rPr>
          <w:rFonts w:ascii="Times New Roman" w:hAnsi="Times New Roman"/>
          <w:b w:val="0"/>
          <w:i w:val="0"/>
          <w:sz w:val="24"/>
        </w:rPr>
        <w:t>Layer 1 evaluates modality-finding plausibility;</w:t>
      </w:r>
    </w:p>
    <w:p>
      <w:pPr>
        <w:spacing w:line="360" w:lineRule="auto" w:after="120"/>
        <w:ind w:left="360" w:firstLine="0"/>
        <w:jc w:val="left"/>
      </w:pPr>
      <w:r>
        <w:rPr>
          <w:rFonts w:ascii="Times New Roman" w:hAnsi="Times New Roman"/>
          <w:b w:val="0"/>
          <w:i w:val="0"/>
          <w:sz w:val="24"/>
        </w:rPr>
        <w:t>Layer 2 evaluates urgency-finding consistency with auto-correction;</w:t>
      </w:r>
    </w:p>
    <w:p>
      <w:pPr>
        <w:spacing w:line="360" w:lineRule="auto" w:after="120"/>
        <w:ind w:left="360" w:firstLine="0"/>
        <w:jc w:val="left"/>
      </w:pPr>
      <w:r>
        <w:rPr>
          <w:rFonts w:ascii="Times New Roman" w:hAnsi="Times New Roman"/>
          <w:b w:val="0"/>
          <w:i w:val="0"/>
          <w:sz w:val="24"/>
        </w:rPr>
        <w:t>Layer 3 enforces minimum confidence floors per urgency class;</w:t>
      </w:r>
    </w:p>
    <w:p>
      <w:pPr>
        <w:spacing w:line="360" w:lineRule="auto" w:after="120"/>
        <w:ind w:left="360" w:firstLine="0"/>
        <w:jc w:val="left"/>
      </w:pPr>
      <w:r>
        <w:rPr>
          <w:rFonts w:ascii="Times New Roman" w:hAnsi="Times New Roman"/>
          <w:b w:val="0"/>
          <w:i w:val="0"/>
          <w:sz w:val="24"/>
        </w:rPr>
        <w:t>Layer 4 computes SHAP coherence between attribution and finding;</w:t>
      </w:r>
    </w:p>
    <w:p>
      <w:pPr>
        <w:spacing w:line="360" w:lineRule="auto" w:after="120"/>
        <w:ind w:left="360" w:firstLine="0"/>
        <w:jc w:val="left"/>
      </w:pPr>
      <w:r>
        <w:rPr>
          <w:rFonts w:ascii="Times New Roman" w:hAnsi="Times New Roman"/>
          <w:b w:val="0"/>
          <w:i w:val="0"/>
          <w:sz w:val="24"/>
        </w:rPr>
        <w:t>Layer 5 detects conflicts between high confidence and high uncertainty;</w:t>
      </w:r>
    </w:p>
    <w:p>
      <w:pPr>
        <w:spacing w:line="360" w:lineRule="auto" w:after="120"/>
        <w:ind w:left="360" w:firstLine="0"/>
        <w:jc w:val="left"/>
      </w:pPr>
      <w:r>
        <w:rPr>
          <w:rFonts w:ascii="Times New Roman" w:hAnsi="Times New Roman"/>
          <w:b w:val="0"/>
          <w:i w:val="0"/>
          <w:sz w:val="24"/>
        </w:rPr>
        <w:t>Layer 6 checks concordance between natural language impression and urgency via negation detection;</w:t>
      </w:r>
    </w:p>
    <w:p>
      <w:pPr>
        <w:spacing w:line="360" w:lineRule="auto" w:after="120"/>
        <w:ind w:left="360" w:firstLine="0"/>
        <w:jc w:val="left"/>
      </w:pPr>
      <w:r>
        <w:rPr>
          <w:rFonts w:ascii="Times New Roman" w:hAnsi="Times New Roman"/>
          <w:b w:val="0"/>
          <w:i w:val="0"/>
          <w:sz w:val="24"/>
        </w:rPr>
        <w:t>Layer 7 evaluates demographic plausibility against epidemiological priors;</w:t>
      </w:r>
    </w:p>
    <w:p>
      <w:pPr>
        <w:spacing w:line="360" w:lineRule="auto" w:after="120"/>
        <w:ind w:left="360" w:firstLine="0"/>
        <w:jc w:val="left"/>
      </w:pPr>
      <w:r>
        <w:rPr>
          <w:rFonts w:ascii="Times New Roman" w:hAnsi="Times New Roman"/>
          <w:b w:val="0"/>
          <w:i w:val="0"/>
          <w:sz w:val="24"/>
        </w:rPr>
        <w:t>Layer 8 computes composite hallucination risk score as weighted combination of signals from Layers 1-7;</w:t>
      </w:r>
    </w:p>
    <w:p>
      <w:pPr>
        <w:spacing w:line="360" w:lineRule="auto" w:after="120"/>
        <w:ind w:left="360" w:firstLine="0"/>
        <w:jc w:val="left"/>
      </w:pPr>
      <w:r>
        <w:rPr>
          <w:rFonts w:ascii="Times New Roman" w:hAnsi="Times New Roman"/>
          <w:b w:val="0"/>
          <w:i w:val="0"/>
          <w:sz w:val="24"/>
        </w:rPr>
        <w:t>Layer 9 produces binary safe-to-alert decision permitting dispatch only when no REJECT from Layers 1-7 and hallucination risk &lt;= 0.30;</w:t>
      </w:r>
    </w:p>
    <w:p>
      <w:pPr>
        <w:spacing w:line="360" w:lineRule="auto" w:after="120"/>
        <w:ind w:left="360" w:firstLine="0"/>
        <w:jc w:val="left"/>
      </w:pPr>
      <w:r>
        <w:rPr>
          <w:rFonts w:ascii="Times New Roman" w:hAnsi="Times New Roman"/>
          <w:b w:val="0"/>
          <w:i w:val="0"/>
          <w:sz w:val="24"/>
        </w:rPr>
        <w:t>wherein any failure routes the case to human clinical review rather than discarding the AI finding.</w:t>
      </w:r>
    </w:p>
    <w:p>
      <w:pPr>
        <w:spacing w:before="240" w:after="120" w:line="360" w:lineRule="auto"/>
        <w:jc w:val="left"/>
      </w:pPr>
      <w:r>
        <w:rPr>
          <w:rFonts w:ascii="Times New Roman" w:hAnsi="Times New Roman"/>
          <w:b/>
          <w:sz w:val="24"/>
        </w:rPr>
        <w:t>Claim 3 — Federated Learning with Human Approval Gate (System)</w:t>
      </w:r>
    </w:p>
    <w:p>
      <w:pPr>
        <w:spacing w:line="360" w:lineRule="auto" w:after="120"/>
        <w:ind w:left="0" w:firstLine="0"/>
        <w:jc w:val="left"/>
      </w:pPr>
      <w:r>
        <w:rPr>
          <w:rFonts w:ascii="Times New Roman" w:hAnsi="Times New Roman"/>
          <w:b w:val="0"/>
          <w:i w:val="0"/>
          <w:sz w:val="24"/>
        </w:rPr>
        <w:t>A system for privacy-preserving collaborative clinical AI model training, comprising:</w:t>
      </w:r>
    </w:p>
    <w:p>
      <w:pPr>
        <w:spacing w:line="360" w:lineRule="auto" w:after="120"/>
        <w:ind w:left="360" w:firstLine="0"/>
        <w:jc w:val="left"/>
      </w:pPr>
      <w:r>
        <w:rPr>
          <w:rFonts w:ascii="Times New Roman" w:hAnsi="Times New Roman"/>
          <w:b w:val="0"/>
          <w:i w:val="0"/>
          <w:sz w:val="24"/>
        </w:rPr>
        <w:t>(a) a central aggregation server distributing global model weights to participating institutions;</w:t>
      </w:r>
    </w:p>
    <w:p>
      <w:pPr>
        <w:spacing w:line="360" w:lineRule="auto" w:after="120"/>
        <w:ind w:left="360" w:firstLine="0"/>
        <w:jc w:val="left"/>
      </w:pPr>
      <w:r>
        <w:rPr>
          <w:rFonts w:ascii="Times New Roman" w:hAnsi="Times New Roman"/>
          <w:b w:val="0"/>
          <w:i w:val="0"/>
          <w:sz w:val="24"/>
        </w:rPr>
        <w:t>(b) local training at each institution on locally-held data without PHI leaving the institution;</w:t>
      </w:r>
    </w:p>
    <w:p>
      <w:pPr>
        <w:spacing w:line="360" w:lineRule="auto" w:after="120"/>
        <w:ind w:left="360" w:firstLine="0"/>
        <w:jc w:val="left"/>
      </w:pPr>
      <w:r>
        <w:rPr>
          <w:rFonts w:ascii="Times New Roman" w:hAnsi="Times New Roman"/>
          <w:b w:val="0"/>
          <w:i w:val="0"/>
          <w:sz w:val="24"/>
        </w:rPr>
        <w:t>(c) application of differential privacy noise to local model updates before transmission;</w:t>
      </w:r>
    </w:p>
    <w:p>
      <w:pPr>
        <w:spacing w:line="360" w:lineRule="auto" w:after="120"/>
        <w:ind w:left="360" w:firstLine="0"/>
        <w:jc w:val="left"/>
      </w:pPr>
      <w:r>
        <w:rPr>
          <w:rFonts w:ascii="Times New Roman" w:hAnsi="Times New Roman"/>
          <w:b w:val="0"/>
          <w:i w:val="0"/>
          <w:sz w:val="24"/>
        </w:rPr>
        <w:t>(d) transmission of only differentially private gradient updates to the aggregation server;</w:t>
      </w:r>
    </w:p>
    <w:p>
      <w:pPr>
        <w:spacing w:line="360" w:lineRule="auto" w:after="120"/>
        <w:ind w:left="360" w:firstLine="0"/>
        <w:jc w:val="left"/>
      </w:pPr>
      <w:r>
        <w:rPr>
          <w:rFonts w:ascii="Times New Roman" w:hAnsi="Times New Roman"/>
          <w:b w:val="0"/>
          <w:i w:val="0"/>
          <w:sz w:val="24"/>
        </w:rPr>
        <w:t>(e) weighted averaging of received updates to compute a proposed global model update;</w:t>
      </w:r>
    </w:p>
    <w:p>
      <w:pPr>
        <w:spacing w:line="360" w:lineRule="auto" w:after="120"/>
        <w:ind w:left="360" w:firstLine="0"/>
        <w:jc w:val="left"/>
      </w:pPr>
      <w:r>
        <w:rPr>
          <w:rFonts w:ascii="Times New Roman" w:hAnsi="Times New Roman"/>
          <w:b w:val="0"/>
          <w:i w:val="0"/>
          <w:sz w:val="24"/>
        </w:rPr>
        <w:t>(f) a human approval gate requiring digital sign-off from a designated approver before production deployment; and</w:t>
      </w:r>
    </w:p>
    <w:p>
      <w:pPr>
        <w:spacing w:line="360" w:lineRule="auto" w:after="120"/>
        <w:ind w:left="360" w:firstLine="0"/>
        <w:jc w:val="left"/>
      </w:pPr>
      <w:r>
        <w:rPr>
          <w:rFonts w:ascii="Times New Roman" w:hAnsi="Times New Roman"/>
          <w:b w:val="0"/>
          <w:i w:val="0"/>
          <w:sz w:val="24"/>
        </w:rPr>
        <w:t>(g) audit logging of all approval events in a tamper-evident chain.</w:t>
      </w:r>
    </w:p>
    <w:p>
      <w:pPr>
        <w:spacing w:before="240" w:after="120" w:line="360" w:lineRule="auto"/>
        <w:jc w:val="left"/>
      </w:pPr>
      <w:r>
        <w:rPr>
          <w:rFonts w:ascii="Times New Roman" w:hAnsi="Times New Roman"/>
          <w:b/>
          <w:sz w:val="24"/>
        </w:rPr>
        <w:t>Claim 4 — Stroke Code Activation Workflow (Method)</w:t>
      </w:r>
    </w:p>
    <w:p>
      <w:pPr>
        <w:spacing w:line="360" w:lineRule="auto" w:after="120"/>
        <w:ind w:left="0" w:firstLine="0"/>
        <w:jc w:val="left"/>
      </w:pPr>
      <w:r>
        <w:rPr>
          <w:rFonts w:ascii="Times New Roman" w:hAnsi="Times New Roman"/>
          <w:b w:val="0"/>
          <w:i w:val="0"/>
          <w:sz w:val="24"/>
        </w:rPr>
        <w:t>A method for automated stroke code activation comprising, upon metacognition PASS for a time-critical condition:</w:t>
      </w:r>
    </w:p>
    <w:p>
      <w:pPr>
        <w:spacing w:line="360" w:lineRule="auto" w:after="120"/>
        <w:ind w:left="360" w:firstLine="0"/>
        <w:jc w:val="left"/>
      </w:pPr>
      <w:r>
        <w:rPr>
          <w:rFonts w:ascii="Times New Roman" w:hAnsi="Times New Roman"/>
          <w:b w:val="0"/>
          <w:i w:val="0"/>
          <w:sz w:val="24"/>
        </w:rPr>
        <w:t>simultaneously dispatching via (i) mobile push notification, (ii) WebSocket event, (iii) HL7v2 ADT^A02 patient transfer message, (iv) HL7v2 ORM^O01 imaging order, and (v) HL7v2 ORU^R01 result message; recording door-to-alert time in milliseconds in an immutable audit log; and presenting AI findings with Grad-CAM, SHAP, and uncertainty score to the reviewing clinician.</w:t>
      </w:r>
    </w:p>
    <w:p>
      <w:pPr>
        <w:spacing w:before="240" w:after="120" w:line="360" w:lineRule="auto"/>
        <w:jc w:val="left"/>
      </w:pPr>
      <w:r>
        <w:rPr>
          <w:rFonts w:ascii="Times New Roman" w:hAnsi="Times New Roman"/>
          <w:b/>
          <w:sz w:val="24"/>
        </w:rPr>
        <w:t>Claim 5 — Sovereign Self-Hosted Deployment (Device)</w:t>
      </w:r>
    </w:p>
    <w:p>
      <w:pPr>
        <w:spacing w:line="360" w:lineRule="auto" w:after="120"/>
        <w:ind w:left="0" w:firstLine="0"/>
        <w:jc w:val="left"/>
      </w:pPr>
      <w:r>
        <w:rPr>
          <w:rFonts w:ascii="Times New Roman" w:hAnsi="Times New Roman"/>
          <w:b w:val="0"/>
          <w:i w:val="0"/>
          <w:sz w:val="24"/>
        </w:rPr>
        <w:t>A device for sovereign self-hosted clinical AI deployment comprising:</w:t>
      </w:r>
    </w:p>
    <w:p>
      <w:pPr>
        <w:spacing w:line="360" w:lineRule="auto" w:after="120"/>
        <w:ind w:left="360" w:firstLine="0"/>
        <w:jc w:val="left"/>
      </w:pPr>
      <w:r>
        <w:rPr>
          <w:rFonts w:ascii="Times New Roman" w:hAnsi="Times New Roman"/>
          <w:b w:val="0"/>
          <w:i w:val="0"/>
          <w:sz w:val="24"/>
        </w:rPr>
        <w:t>(a) a cloud-native path with GPU-enabled container orchestration, tenant-isolated encrypted database, and web application firewall; and</w:t>
      </w:r>
    </w:p>
    <w:p>
      <w:pPr>
        <w:spacing w:line="360" w:lineRule="auto" w:after="120"/>
        <w:ind w:left="360" w:firstLine="0"/>
        <w:jc w:val="left"/>
      </w:pPr>
      <w:r>
        <w:rPr>
          <w:rFonts w:ascii="Times New Roman" w:hAnsi="Times New Roman"/>
          <w:b w:val="0"/>
          <w:i w:val="0"/>
          <w:sz w:val="24"/>
        </w:rPr>
        <w:t>(b) an offline edge path with INT8-quantised AI model operable without internet connectivity, local audit log with Merkle chain integrity maintained across offline periods, and SMS alert fallback via GSM modem;</w:t>
      </w:r>
    </w:p>
    <w:p>
      <w:pPr>
        <w:spacing w:line="360" w:lineRule="auto" w:after="120"/>
        <w:ind w:left="360" w:firstLine="0"/>
        <w:jc w:val="left"/>
      </w:pPr>
      <w:r>
        <w:rPr>
          <w:rFonts w:ascii="Times New Roman" w:hAnsi="Times New Roman"/>
          <w:b w:val="0"/>
          <w:i w:val="0"/>
          <w:sz w:val="24"/>
        </w:rPr>
        <w:t>wherein the device provides full AI triage and alert capability in both connected and disconnected operation modes.</w:t>
      </w:r>
    </w:p>
    <w:p>
      <w:pPr>
        <w:spacing w:before="240" w:after="120" w:line="360" w:lineRule="auto"/>
        <w:jc w:val="left"/>
      </w:pPr>
      <w:r>
        <w:rPr>
          <w:rFonts w:ascii="Times New Roman" w:hAnsi="Times New Roman"/>
          <w:b/>
          <w:sz w:val="24"/>
        </w:rPr>
        <w:t>Claim 6 — Uncertainty-Gated Human Escalation (Method)</w:t>
      </w:r>
    </w:p>
    <w:p>
      <w:pPr>
        <w:spacing w:line="360" w:lineRule="auto" w:after="120"/>
        <w:ind w:left="0" w:firstLine="0"/>
        <w:jc w:val="left"/>
      </w:pPr>
      <w:r>
        <w:rPr>
          <w:rFonts w:ascii="Times New Roman" w:hAnsi="Times New Roman"/>
          <w:b w:val="0"/>
          <w:i w:val="0"/>
          <w:sz w:val="24"/>
        </w:rPr>
        <w:t>A method wherein a composite uncertainty score derived from epistemic and aleatoric decomposition of Monte Carlo Dropout variance mandatorily routes a medical imaging case to human clinical review when the score exceeds a configurable threshold, independently of the triage engine confidence score and independently of the metacognition engine, such that human escalation cannot be bypassed by any downstream AI component.</w:t>
      </w:r>
    </w:p>
    <w:p>
      <w:pPr>
        <w:spacing w:before="240" w:after="120" w:line="360" w:lineRule="auto"/>
        <w:jc w:val="left"/>
      </w:pPr>
      <w:r>
        <w:rPr>
          <w:rFonts w:ascii="Times New Roman" w:hAnsi="Times New Roman"/>
          <w:b/>
          <w:sz w:val="24"/>
        </w:rPr>
        <w:t>Claim 7 — Dependent: Three-Channel CT Pre-Processing</w:t>
      </w:r>
    </w:p>
    <w:p>
      <w:pPr>
        <w:spacing w:line="360" w:lineRule="auto" w:after="120"/>
        <w:ind w:left="0" w:firstLine="0"/>
        <w:jc w:val="left"/>
      </w:pPr>
      <w:r>
        <w:rPr>
          <w:rFonts w:ascii="Times New Roman" w:hAnsi="Times New Roman"/>
          <w:b w:val="0"/>
          <w:i w:val="0"/>
          <w:sz w:val="24"/>
        </w:rPr>
        <w:t>The method of Claim 1, wherein pre-processing for CT inputs applies three simultaneous window presets producing a three-channel tensor including at least a brain window and a subdural window for head CT, and a lung window and mediastinal window for chest CT.</w:t>
      </w:r>
    </w:p>
    <w:p>
      <w:pPr>
        <w:spacing w:before="240" w:after="120" w:line="360" w:lineRule="auto"/>
        <w:jc w:val="left"/>
      </w:pPr>
      <w:r>
        <w:rPr>
          <w:rFonts w:ascii="Times New Roman" w:hAnsi="Times New Roman"/>
          <w:b/>
          <w:sz w:val="24"/>
        </w:rPr>
        <w:t>Claim 8 — Dependent: Immutable Audit Trail</w:t>
      </w:r>
    </w:p>
    <w:p>
      <w:pPr>
        <w:spacing w:line="360" w:lineRule="auto" w:after="120"/>
        <w:ind w:left="0" w:firstLine="0"/>
        <w:jc w:val="left"/>
      </w:pPr>
      <w:r>
        <w:rPr>
          <w:rFonts w:ascii="Times New Roman" w:hAnsi="Times New Roman"/>
          <w:b w:val="0"/>
          <w:i w:val="0"/>
          <w:sz w:val="24"/>
        </w:rPr>
        <w:t>The system of Claim 3 or Claim 5, wherein all clinical events are recorded in a tamper-evident audit log using SHA-256 hash chaining wherein each record contains the hash of the previous record, with Merkle tree batch verification computed at regular intervals, maintained across both cloud and offline edge deployments.</w:t>
      </w:r>
    </w:p>
    <w:p>
      <w:pPr>
        <w:spacing w:before="240" w:after="120" w:line="360" w:lineRule="auto"/>
        <w:jc w:val="left"/>
      </w:pPr>
      <w:r>
        <w:rPr>
          <w:rFonts w:ascii="Times New Roman" w:hAnsi="Times New Roman"/>
          <w:b/>
          <w:sz w:val="24"/>
        </w:rPr>
        <w:t>Claim 9 — Dependent: Multi-Language VLM</w:t>
      </w:r>
    </w:p>
    <w:p>
      <w:pPr>
        <w:spacing w:line="360" w:lineRule="auto" w:after="120"/>
        <w:ind w:left="0" w:firstLine="0"/>
        <w:jc w:val="left"/>
      </w:pPr>
      <w:r>
        <w:rPr>
          <w:rFonts w:ascii="Times New Roman" w:hAnsi="Times New Roman"/>
          <w:b w:val="0"/>
          <w:i w:val="0"/>
          <w:sz w:val="24"/>
        </w:rPr>
        <w:t>The method of Claim 1, wherein the vision-language model generates structured diagnostic reports in a plurality of natural languages comprising at least English, French, Arabic, and Swahili, with language selection determined by clinical tenant configuration.</w:t>
      </w:r>
    </w:p>
    <w:p>
      <w:pPr>
        <w:spacing w:before="240" w:after="120" w:line="360" w:lineRule="auto"/>
        <w:jc w:val="left"/>
      </w:pPr>
      <w:r>
        <w:rPr>
          <w:rFonts w:ascii="Times New Roman" w:hAnsi="Times New Roman"/>
          <w:b/>
          <w:sz w:val="24"/>
        </w:rPr>
        <w:t>Claim 10 — Dependent: Hallucination Risk Score</w:t>
      </w:r>
    </w:p>
    <w:p>
      <w:pPr>
        <w:spacing w:line="360" w:lineRule="auto" w:after="120"/>
        <w:ind w:left="0" w:firstLine="0"/>
        <w:jc w:val="left"/>
      </w:pPr>
      <w:r>
        <w:rPr>
          <w:rFonts w:ascii="Times New Roman" w:hAnsi="Times New Roman"/>
          <w:b w:val="0"/>
          <w:i w:val="0"/>
          <w:sz w:val="24"/>
        </w:rPr>
        <w:t>The method of Claim 2, wherein Layer 8 composite hallucination risk score computation combines: a SHAP coherence deficit from Layer 4; an uncertainty-confidence conflict indicator from Layer 5; the composite uncertainty score from the uncertainty engine; a Mahalanobis out-of-distribution distance; and a negation detection indicator from Layer 6 analysis of the VLM impression section.</w:t>
      </w:r>
    </w:p>
    <w:p>
      <w:r>
        <w:br w:type="page"/>
      </w:r>
    </w:p>
    <w:p>
      <w:pPr>
        <w:spacing w:before="240" w:after="240" w:line="360" w:lineRule="auto"/>
        <w:jc w:val="left"/>
      </w:pPr>
      <w:r>
        <w:rPr>
          <w:rFonts w:ascii="Times New Roman" w:hAnsi="Times New Roman"/>
          <w:b/>
          <w:sz w:val="28"/>
        </w:rPr>
        <w:t>6. ANNEXES</w:t>
      </w:r>
    </w:p>
    <w:p>
      <w:pPr>
        <w:spacing w:before="240" w:after="120" w:line="360" w:lineRule="auto"/>
        <w:jc w:val="left"/>
      </w:pPr>
      <w:r>
        <w:rPr>
          <w:rFonts w:ascii="Times New Roman" w:hAnsi="Times New Roman"/>
          <w:b/>
          <w:sz w:val="24"/>
        </w:rPr>
        <w:t>Annex A — Technical Infrastructure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60" w:lineRule="auto"/>
            </w:pPr>
            <w:r>
              <w:rPr>
                <w:rFonts w:ascii="Times New Roman" w:hAnsi="Times New Roman"/>
                <w:sz w:val="24"/>
              </w:rPr>
              <w:t>Component</w:t>
            </w:r>
          </w:p>
        </w:tc>
        <w:tc>
          <w:tcPr>
            <w:tcW w:type="dxa" w:w="2880"/>
          </w:tcPr>
          <w:p>
            <w:pPr>
              <w:spacing w:line="360" w:lineRule="auto"/>
            </w:pPr>
            <w:r>
              <w:rPr>
                <w:rFonts w:ascii="Times New Roman" w:hAnsi="Times New Roman"/>
                <w:sz w:val="24"/>
              </w:rPr>
              <w:t>Specification</w:t>
            </w:r>
          </w:p>
        </w:tc>
        <w:tc>
          <w:tcPr>
            <w:tcW w:type="dxa" w:w="2880"/>
          </w:tcPr>
          <w:p>
            <w:pPr>
              <w:spacing w:line="360" w:lineRule="auto"/>
            </w:pPr>
            <w:r>
              <w:rPr>
                <w:rFonts w:ascii="Times New Roman" w:hAnsi="Times New Roman"/>
                <w:sz w:val="24"/>
              </w:rPr>
              <w:t>Purpose</w:t>
            </w:r>
          </w:p>
        </w:tc>
      </w:tr>
      <w:tr>
        <w:tc>
          <w:tcPr>
            <w:tcW w:type="dxa" w:w="2880"/>
          </w:tcPr>
          <w:p>
            <w:pPr>
              <w:spacing w:line="360" w:lineRule="auto"/>
            </w:pPr>
            <w:r>
              <w:rPr>
                <w:rFonts w:ascii="Times New Roman" w:hAnsi="Times New Roman"/>
                <w:sz w:val="24"/>
              </w:rPr>
              <w:t>AKS CPU Pool</w:t>
            </w:r>
          </w:p>
        </w:tc>
        <w:tc>
          <w:tcPr>
            <w:tcW w:type="dxa" w:w="2880"/>
          </w:tcPr>
          <w:p>
            <w:pPr>
              <w:spacing w:line="360" w:lineRule="auto"/>
            </w:pPr>
            <w:r>
              <w:rPr>
                <w:rFonts w:ascii="Times New Roman" w:hAnsi="Times New Roman"/>
                <w:sz w:val="24"/>
              </w:rPr>
              <w:t>Standard_D4s_v3 (4vCPU/16GB), x3 min</w:t>
            </w:r>
          </w:p>
        </w:tc>
        <w:tc>
          <w:tcPr>
            <w:tcW w:type="dxa" w:w="2880"/>
          </w:tcPr>
          <w:p>
            <w:pPr>
              <w:spacing w:line="360" w:lineRule="auto"/>
            </w:pPr>
            <w:r>
              <w:rPr>
                <w:rFonts w:ascii="Times New Roman" w:hAnsi="Times New Roman"/>
                <w:sz w:val="24"/>
              </w:rPr>
              <w:t>API, orchestration, DB proxy</w:t>
            </w:r>
          </w:p>
        </w:tc>
      </w:tr>
      <w:tr>
        <w:tc>
          <w:tcPr>
            <w:tcW w:type="dxa" w:w="2880"/>
          </w:tcPr>
          <w:p>
            <w:pPr>
              <w:spacing w:line="360" w:lineRule="auto"/>
            </w:pPr>
            <w:r>
              <w:rPr>
                <w:rFonts w:ascii="Times New Roman" w:hAnsi="Times New Roman"/>
                <w:sz w:val="24"/>
              </w:rPr>
              <w:t>AKS GPU Pool</w:t>
            </w:r>
          </w:p>
        </w:tc>
        <w:tc>
          <w:tcPr>
            <w:tcW w:type="dxa" w:w="2880"/>
          </w:tcPr>
          <w:p>
            <w:pPr>
              <w:spacing w:line="360" w:lineRule="auto"/>
            </w:pPr>
            <w:r>
              <w:rPr>
                <w:rFonts w:ascii="Times New Roman" w:hAnsi="Times New Roman"/>
                <w:sz w:val="24"/>
              </w:rPr>
              <w:t>Standard_NC4as_T4_v3 (T4 16GB), x2 min</w:t>
            </w:r>
          </w:p>
        </w:tc>
        <w:tc>
          <w:tcPr>
            <w:tcW w:type="dxa" w:w="2880"/>
          </w:tcPr>
          <w:p>
            <w:pPr>
              <w:spacing w:line="360" w:lineRule="auto"/>
            </w:pPr>
            <w:r>
              <w:rPr>
                <w:rFonts w:ascii="Times New Roman" w:hAnsi="Times New Roman"/>
                <w:sz w:val="24"/>
              </w:rPr>
              <w:t>AI inference (4 engines)</w:t>
            </w:r>
          </w:p>
        </w:tc>
      </w:tr>
      <w:tr>
        <w:tc>
          <w:tcPr>
            <w:tcW w:type="dxa" w:w="2880"/>
          </w:tcPr>
          <w:p>
            <w:pPr>
              <w:spacing w:line="360" w:lineRule="auto"/>
            </w:pPr>
            <w:r>
              <w:rPr>
                <w:rFonts w:ascii="Times New Roman" w:hAnsi="Times New Roman"/>
                <w:sz w:val="24"/>
              </w:rPr>
              <w:t>PostgreSQL</w:t>
            </w:r>
          </w:p>
        </w:tc>
        <w:tc>
          <w:tcPr>
            <w:tcW w:type="dxa" w:w="2880"/>
          </w:tcPr>
          <w:p>
            <w:pPr>
              <w:spacing w:line="360" w:lineRule="auto"/>
            </w:pPr>
            <w:r>
              <w:rPr>
                <w:rFonts w:ascii="Times New Roman" w:hAnsi="Times New Roman"/>
                <w:sz w:val="24"/>
              </w:rPr>
              <w:t>Azure Flexible Server v15, Zone-HA</w:t>
            </w:r>
          </w:p>
        </w:tc>
        <w:tc>
          <w:tcPr>
            <w:tcW w:type="dxa" w:w="2880"/>
          </w:tcPr>
          <w:p>
            <w:pPr>
              <w:spacing w:line="360" w:lineRule="auto"/>
            </w:pPr>
            <w:r>
              <w:rPr>
                <w:rFonts w:ascii="Times New Roman" w:hAnsi="Times New Roman"/>
                <w:sz w:val="24"/>
              </w:rPr>
              <w:t>Clinical data, row-level tenant security</w:t>
            </w:r>
          </w:p>
        </w:tc>
      </w:tr>
      <w:tr>
        <w:tc>
          <w:tcPr>
            <w:tcW w:type="dxa" w:w="2880"/>
          </w:tcPr>
          <w:p>
            <w:pPr>
              <w:spacing w:line="360" w:lineRule="auto"/>
            </w:pPr>
            <w:r>
              <w:rPr>
                <w:rFonts w:ascii="Times New Roman" w:hAnsi="Times New Roman"/>
                <w:sz w:val="24"/>
              </w:rPr>
              <w:t>Redis</w:t>
            </w:r>
          </w:p>
        </w:tc>
        <w:tc>
          <w:tcPr>
            <w:tcW w:type="dxa" w:w="2880"/>
          </w:tcPr>
          <w:p>
            <w:pPr>
              <w:spacing w:line="360" w:lineRule="auto"/>
            </w:pPr>
            <w:r>
              <w:rPr>
                <w:rFonts w:ascii="Times New Roman" w:hAnsi="Times New Roman"/>
                <w:sz w:val="24"/>
              </w:rPr>
              <w:t>Azure Cache for Redis v7</w:t>
            </w:r>
          </w:p>
        </w:tc>
        <w:tc>
          <w:tcPr>
            <w:tcW w:type="dxa" w:w="2880"/>
          </w:tcPr>
          <w:p>
            <w:pPr>
              <w:spacing w:line="360" w:lineRule="auto"/>
            </w:pPr>
            <w:r>
              <w:rPr>
                <w:rFonts w:ascii="Times New Roman" w:hAnsi="Times New Roman"/>
                <w:sz w:val="24"/>
              </w:rPr>
              <w:t>JWT blacklist, rate limiting, AI cache</w:t>
            </w:r>
          </w:p>
        </w:tc>
      </w:tr>
      <w:tr>
        <w:tc>
          <w:tcPr>
            <w:tcW w:type="dxa" w:w="2880"/>
          </w:tcPr>
          <w:p>
            <w:pPr>
              <w:spacing w:line="360" w:lineRule="auto"/>
            </w:pPr>
            <w:r>
              <w:rPr>
                <w:rFonts w:ascii="Times New Roman" w:hAnsi="Times New Roman"/>
                <w:sz w:val="24"/>
              </w:rPr>
              <w:t>Blob Storage</w:t>
            </w:r>
          </w:p>
        </w:tc>
        <w:tc>
          <w:tcPr>
            <w:tcW w:type="dxa" w:w="2880"/>
          </w:tcPr>
          <w:p>
            <w:pPr>
              <w:spacing w:line="360" w:lineRule="auto"/>
            </w:pPr>
            <w:r>
              <w:rPr>
                <w:rFonts w:ascii="Times New Roman" w:hAnsi="Times New Roman"/>
                <w:sz w:val="24"/>
              </w:rPr>
              <w:t>Azure Blob, AES-256-GCM</w:t>
            </w:r>
          </w:p>
        </w:tc>
        <w:tc>
          <w:tcPr>
            <w:tcW w:type="dxa" w:w="2880"/>
          </w:tcPr>
          <w:p>
            <w:pPr>
              <w:spacing w:line="360" w:lineRule="auto"/>
            </w:pPr>
            <w:r>
              <w:rPr>
                <w:rFonts w:ascii="Times New Roman" w:hAnsi="Times New Roman"/>
                <w:sz w:val="24"/>
              </w:rPr>
              <w:t>DICOM, Grad-CAM, reports</w:t>
            </w:r>
          </w:p>
        </w:tc>
      </w:tr>
      <w:tr>
        <w:tc>
          <w:tcPr>
            <w:tcW w:type="dxa" w:w="2880"/>
          </w:tcPr>
          <w:p>
            <w:pPr>
              <w:spacing w:line="360" w:lineRule="auto"/>
            </w:pPr>
            <w:r>
              <w:rPr>
                <w:rFonts w:ascii="Times New Roman" w:hAnsi="Times New Roman"/>
                <w:sz w:val="24"/>
              </w:rPr>
              <w:t>Edge Node Min.</w:t>
            </w:r>
          </w:p>
        </w:tc>
        <w:tc>
          <w:tcPr>
            <w:tcW w:type="dxa" w:w="2880"/>
          </w:tcPr>
          <w:p>
            <w:pPr>
              <w:spacing w:line="360" w:lineRule="auto"/>
            </w:pPr>
            <w:r>
              <w:rPr>
                <w:rFonts w:ascii="Times New Roman" w:hAnsi="Times New Roman"/>
                <w:sz w:val="24"/>
              </w:rPr>
              <w:t>4-core CPU, 8GB RAM, 128GB SSD</w:t>
            </w:r>
          </w:p>
        </w:tc>
        <w:tc>
          <w:tcPr>
            <w:tcW w:type="dxa" w:w="2880"/>
          </w:tcPr>
          <w:p>
            <w:pPr>
              <w:spacing w:line="360" w:lineRule="auto"/>
            </w:pPr>
            <w:r>
              <w:rPr>
                <w:rFonts w:ascii="Times New Roman" w:hAnsi="Times New Roman"/>
                <w:sz w:val="24"/>
              </w:rPr>
              <w:t>INT8 offline inference</w:t>
            </w:r>
          </w:p>
        </w:tc>
      </w:tr>
      <w:tr>
        <w:tc>
          <w:tcPr>
            <w:tcW w:type="dxa" w:w="2880"/>
          </w:tcPr>
          <w:p>
            <w:pPr>
              <w:spacing w:line="360" w:lineRule="auto"/>
            </w:pPr>
            <w:r>
              <w:rPr>
                <w:rFonts w:ascii="Times New Roman" w:hAnsi="Times New Roman"/>
                <w:sz w:val="24"/>
              </w:rPr>
              <w:t>Edge Model</w:t>
            </w:r>
          </w:p>
        </w:tc>
        <w:tc>
          <w:tcPr>
            <w:tcW w:type="dxa" w:w="2880"/>
          </w:tcPr>
          <w:p>
            <w:pPr>
              <w:spacing w:line="360" w:lineRule="auto"/>
            </w:pPr>
            <w:r>
              <w:rPr>
                <w:rFonts w:ascii="Times New Roman" w:hAnsi="Times New Roman"/>
                <w:sz w:val="24"/>
              </w:rPr>
              <w:t>EfficientNet-B4 INT8 quantised, ~18MB</w:t>
            </w:r>
          </w:p>
        </w:tc>
        <w:tc>
          <w:tcPr>
            <w:tcW w:type="dxa" w:w="2880"/>
          </w:tcPr>
          <w:p>
            <w:pPr>
              <w:spacing w:line="360" w:lineRule="auto"/>
            </w:pPr>
            <w:r>
              <w:rPr>
                <w:rFonts w:ascii="Times New Roman" w:hAnsi="Times New Roman"/>
                <w:sz w:val="24"/>
              </w:rPr>
              <w:t>Offline triage</w:t>
            </w:r>
          </w:p>
        </w:tc>
      </w:tr>
      <w:tr>
        <w:tc>
          <w:tcPr>
            <w:tcW w:type="dxa" w:w="2880"/>
          </w:tcPr>
          <w:p>
            <w:pPr>
              <w:spacing w:line="360" w:lineRule="auto"/>
            </w:pPr>
            <w:r>
              <w:rPr>
                <w:rFonts w:ascii="Times New Roman" w:hAnsi="Times New Roman"/>
                <w:sz w:val="24"/>
              </w:rPr>
              <w:t>Edge Alert</w:t>
            </w:r>
          </w:p>
        </w:tc>
        <w:tc>
          <w:tcPr>
            <w:tcW w:type="dxa" w:w="2880"/>
          </w:tcPr>
          <w:p>
            <w:pPr>
              <w:spacing w:line="360" w:lineRule="auto"/>
            </w:pPr>
            <w:r>
              <w:rPr>
                <w:rFonts w:ascii="Times New Roman" w:hAnsi="Times New Roman"/>
                <w:sz w:val="24"/>
              </w:rPr>
              <w:t>GSM modem, Africa's Talk SMS API</w:t>
            </w:r>
          </w:p>
        </w:tc>
        <w:tc>
          <w:tcPr>
            <w:tcW w:type="dxa" w:w="2880"/>
          </w:tcPr>
          <w:p>
            <w:pPr>
              <w:spacing w:line="360" w:lineRule="auto"/>
            </w:pPr>
            <w:r>
              <w:rPr>
                <w:rFonts w:ascii="Times New Roman" w:hAnsi="Times New Roman"/>
                <w:sz w:val="24"/>
              </w:rPr>
              <w:t>Offline critical alerts</w:t>
            </w:r>
          </w:p>
        </w:tc>
      </w:tr>
    </w:tbl>
    <w:p>
      <w:pPr>
        <w:spacing w:before="480" w:after="120" w:line="360" w:lineRule="auto"/>
        <w:jc w:val="left"/>
      </w:pPr>
      <w:r>
        <w:rPr>
          <w:rFonts w:ascii="Times New Roman" w:hAnsi="Times New Roman"/>
          <w:b/>
          <w:sz w:val="24"/>
        </w:rPr>
        <w:t>Annex B — Sample Workflow Data (Anonymised)</w:t>
      </w:r>
    </w:p>
    <w:p>
      <w:pPr>
        <w:spacing w:line="360" w:lineRule="auto" w:after="120"/>
        <w:ind w:left="0" w:firstLine="0"/>
        <w:jc w:val="left"/>
      </w:pPr>
      <w:r>
        <w:rPr>
          <w:rFonts w:ascii="Times New Roman" w:hAnsi="Times New Roman"/>
          <w:b w:val="0"/>
          <w:i w:val="0"/>
          <w:sz w:val="24"/>
        </w:rPr>
        <w:t>{</w:t>
        <w:br/>
        <w:t xml:space="preserve">  "doorToAlertMs": 1842,</w:t>
        <w:br/>
        <w:t xml:space="preserve">  "triageResult": {</w:t>
        <w:br/>
        <w:t xml:space="preserve">    "finding": "ICH",</w:t>
        <w:br/>
        <w:t xml:space="preserve">    "confidence": 0.942,</w:t>
        <w:br/>
        <w:t xml:space="preserve">    "urgency": "CRITICAL",</w:t>
        <w:br/>
        <w:t xml:space="preserve">    "inferenceMs": 384</w:t>
        <w:br/>
        <w:t xml:space="preserve">  },</w:t>
        <w:br/>
        <w:t xml:space="preserve">  "uncertaintyResult": {</w:t>
        <w:br/>
        <w:t xml:space="preserve">    "epistemic": 0.031,</w:t>
        <w:br/>
        <w:t xml:space="preserve">    "aleatoric": 0.058,</w:t>
        <w:br/>
        <w:t xml:space="preserve">    "composite": 0.042,</w:t>
        <w:br/>
        <w:t xml:space="preserve">    "highFlag": false</w:t>
        <w:br/>
        <w:t xml:space="preserve">  },</w:t>
        <w:br/>
        <w:t xml:space="preserve">  "metacognitionResult": {</w:t>
        <w:br/>
        <w:t xml:space="preserve">    "layer1": "PASS",</w:t>
        <w:br/>
        <w:t xml:space="preserve">    "layer2": "PASS",</w:t>
        <w:br/>
        <w:t xml:space="preserve">    "layer3": "PASS",</w:t>
        <w:br/>
        <w:t xml:space="preserve">    "layer4": "PASS",</w:t>
        <w:br/>
        <w:t xml:space="preserve">    "layer5": "PASS",</w:t>
        <w:br/>
        <w:t xml:space="preserve">    "layer6": "PASS",</w:t>
        <w:br/>
        <w:t xml:space="preserve">    "layer7": "PASS",</w:t>
        <w:br/>
        <w:t xml:space="preserve">    "layer8_H": 0.08,</w:t>
        <w:br/>
        <w:t xml:space="preserve">    "layer9": "PASS"</w:t>
        <w:br/>
        <w:t xml:space="preserve">  },</w:t>
        <w:br/>
        <w:t xml:space="preserve">  "alertChannels": {</w:t>
        <w:br/>
        <w:t xml:space="preserve">    "fcm": "delivered_312ms",</w:t>
        <w:br/>
        <w:t xml:space="preserve">    "websocket": "delivered_8ms",</w:t>
        <w:br/>
        <w:t xml:space="preserve">    "hl7_oru": "delivered_445ms",</w:t>
        <w:br/>
        <w:t xml:space="preserve">    "stroke_code": true</w:t>
        <w:br/>
        <w:t xml:space="preserve">  }</w:t>
        <w:br/>
        <w:t>}</w:t>
      </w:r>
    </w:p>
    <w:p>
      <w:pPr>
        <w:spacing w:before="480" w:after="120" w:line="360" w:lineRule="auto"/>
        <w:jc w:val="left"/>
      </w:pPr>
      <w:r>
        <w:rPr>
          <w:rFonts w:ascii="Times New Roman" w:hAnsi="Times New Roman"/>
          <w:b/>
          <w:sz w:val="24"/>
        </w:rPr>
        <w:t>Annex C — Clinical Safety Risk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360" w:lineRule="auto"/>
            </w:pPr>
            <w:r>
              <w:rPr>
                <w:rFonts w:ascii="Times New Roman" w:hAnsi="Times New Roman"/>
                <w:sz w:val="24"/>
              </w:rPr>
              <w:t>Risk</w:t>
            </w:r>
          </w:p>
        </w:tc>
        <w:tc>
          <w:tcPr>
            <w:tcW w:type="dxa" w:w="2160"/>
          </w:tcPr>
          <w:p>
            <w:pPr>
              <w:spacing w:line="360" w:lineRule="auto"/>
            </w:pPr>
            <w:r>
              <w:rPr>
                <w:rFonts w:ascii="Times New Roman" w:hAnsi="Times New Roman"/>
                <w:sz w:val="24"/>
              </w:rPr>
              <w:t>Pre-Control</w:t>
            </w:r>
          </w:p>
        </w:tc>
        <w:tc>
          <w:tcPr>
            <w:tcW w:type="dxa" w:w="2160"/>
          </w:tcPr>
          <w:p>
            <w:pPr>
              <w:spacing w:line="360" w:lineRule="auto"/>
            </w:pPr>
            <w:r>
              <w:rPr>
                <w:rFonts w:ascii="Times New Roman" w:hAnsi="Times New Roman"/>
                <w:sz w:val="24"/>
              </w:rPr>
              <w:t>Controls Applied</w:t>
            </w:r>
          </w:p>
        </w:tc>
        <w:tc>
          <w:tcPr>
            <w:tcW w:type="dxa" w:w="2160"/>
          </w:tcPr>
          <w:p>
            <w:pPr>
              <w:spacing w:line="360" w:lineRule="auto"/>
            </w:pPr>
            <w:r>
              <w:rPr>
                <w:rFonts w:ascii="Times New Roman" w:hAnsi="Times New Roman"/>
                <w:sz w:val="24"/>
              </w:rPr>
              <w:t>Post-Control</w:t>
            </w:r>
          </w:p>
        </w:tc>
      </w:tr>
      <w:tr>
        <w:tc>
          <w:tcPr>
            <w:tcW w:type="dxa" w:w="2160"/>
          </w:tcPr>
          <w:p>
            <w:pPr>
              <w:spacing w:line="360" w:lineRule="auto"/>
            </w:pPr>
            <w:r>
              <w:rPr>
                <w:rFonts w:ascii="Times New Roman" w:hAnsi="Times New Roman"/>
                <w:sz w:val="24"/>
              </w:rPr>
              <w:t>False negative (missed ICH)</w:t>
            </w:r>
          </w:p>
        </w:tc>
        <w:tc>
          <w:tcPr>
            <w:tcW w:type="dxa" w:w="2160"/>
          </w:tcPr>
          <w:p>
            <w:pPr>
              <w:spacing w:line="360" w:lineRule="auto"/>
            </w:pPr>
            <w:r>
              <w:rPr>
                <w:rFonts w:ascii="Times New Roman" w:hAnsi="Times New Roman"/>
                <w:sz w:val="24"/>
              </w:rPr>
              <w:t>High (RPN 10)</w:t>
            </w:r>
          </w:p>
        </w:tc>
        <w:tc>
          <w:tcPr>
            <w:tcW w:type="dxa" w:w="2160"/>
          </w:tcPr>
          <w:p>
            <w:pPr>
              <w:spacing w:line="360" w:lineRule="auto"/>
            </w:pPr>
            <w:r>
              <w:rPr>
                <w:rFonts w:ascii="Times New Roman" w:hAnsi="Times New Roman"/>
                <w:sz w:val="24"/>
              </w:rPr>
              <w:t>Uncertainty escalation; metacognition; human sign-off</w:t>
            </w:r>
          </w:p>
        </w:tc>
        <w:tc>
          <w:tcPr>
            <w:tcW w:type="dxa" w:w="2160"/>
          </w:tcPr>
          <w:p>
            <w:pPr>
              <w:spacing w:line="360" w:lineRule="auto"/>
            </w:pPr>
            <w:r>
              <w:rPr>
                <w:rFonts w:ascii="Times New Roman" w:hAnsi="Times New Roman"/>
                <w:sz w:val="24"/>
              </w:rPr>
              <w:t>ALARP (RPN 5)</w:t>
            </w:r>
          </w:p>
        </w:tc>
      </w:tr>
      <w:tr>
        <w:tc>
          <w:tcPr>
            <w:tcW w:type="dxa" w:w="2160"/>
          </w:tcPr>
          <w:p>
            <w:pPr>
              <w:spacing w:line="360" w:lineRule="auto"/>
            </w:pPr>
            <w:r>
              <w:rPr>
                <w:rFonts w:ascii="Times New Roman" w:hAnsi="Times New Roman"/>
                <w:sz w:val="24"/>
              </w:rPr>
              <w:t>AI hallucination</w:t>
            </w:r>
          </w:p>
        </w:tc>
        <w:tc>
          <w:tcPr>
            <w:tcW w:type="dxa" w:w="2160"/>
          </w:tcPr>
          <w:p>
            <w:pPr>
              <w:spacing w:line="360" w:lineRule="auto"/>
            </w:pPr>
            <w:r>
              <w:rPr>
                <w:rFonts w:ascii="Times New Roman" w:hAnsi="Times New Roman"/>
                <w:sz w:val="24"/>
              </w:rPr>
              <w:t>High (RPN 8)</w:t>
            </w:r>
          </w:p>
        </w:tc>
        <w:tc>
          <w:tcPr>
            <w:tcW w:type="dxa" w:w="2160"/>
          </w:tcPr>
          <w:p>
            <w:pPr>
              <w:spacing w:line="360" w:lineRule="auto"/>
            </w:pPr>
            <w:r>
              <w:rPr>
                <w:rFonts w:ascii="Times New Roman" w:hAnsi="Times New Roman"/>
                <w:sz w:val="24"/>
              </w:rPr>
              <w:t>Metacognition 9-layer; H &lt;= 0.30 gate</w:t>
            </w:r>
          </w:p>
        </w:tc>
        <w:tc>
          <w:tcPr>
            <w:tcW w:type="dxa" w:w="2160"/>
          </w:tcPr>
          <w:p>
            <w:pPr>
              <w:spacing w:line="360" w:lineRule="auto"/>
            </w:pPr>
            <w:r>
              <w:rPr>
                <w:rFonts w:ascii="Times New Roman" w:hAnsi="Times New Roman"/>
                <w:sz w:val="24"/>
              </w:rPr>
              <w:t>Negligible (RPN 4)</w:t>
            </w:r>
          </w:p>
        </w:tc>
      </w:tr>
      <w:tr>
        <w:tc>
          <w:tcPr>
            <w:tcW w:type="dxa" w:w="2160"/>
          </w:tcPr>
          <w:p>
            <w:pPr>
              <w:spacing w:line="360" w:lineRule="auto"/>
            </w:pPr>
            <w:r>
              <w:rPr>
                <w:rFonts w:ascii="Times New Roman" w:hAnsi="Times New Roman"/>
                <w:sz w:val="24"/>
              </w:rPr>
              <w:t>Automation bias</w:t>
            </w:r>
          </w:p>
        </w:tc>
        <w:tc>
          <w:tcPr>
            <w:tcW w:type="dxa" w:w="2160"/>
          </w:tcPr>
          <w:p>
            <w:pPr>
              <w:spacing w:line="360" w:lineRule="auto"/>
            </w:pPr>
            <w:r>
              <w:rPr>
                <w:rFonts w:ascii="Times New Roman" w:hAnsi="Times New Roman"/>
                <w:sz w:val="24"/>
              </w:rPr>
              <w:t>Medium (RPN 12)</w:t>
            </w:r>
          </w:p>
        </w:tc>
        <w:tc>
          <w:tcPr>
            <w:tcW w:type="dxa" w:w="2160"/>
          </w:tcPr>
          <w:p>
            <w:pPr>
              <w:spacing w:line="360" w:lineRule="auto"/>
            </w:pPr>
            <w:r>
              <w:rPr>
                <w:rFonts w:ascii="Times New Roman" w:hAnsi="Times New Roman"/>
                <w:sz w:val="24"/>
              </w:rPr>
              <w:t>DB-level HITL constraint; training</w:t>
            </w:r>
          </w:p>
        </w:tc>
        <w:tc>
          <w:tcPr>
            <w:tcW w:type="dxa" w:w="2160"/>
          </w:tcPr>
          <w:p>
            <w:pPr>
              <w:spacing w:line="360" w:lineRule="auto"/>
            </w:pPr>
            <w:r>
              <w:rPr>
                <w:rFonts w:ascii="Times New Roman" w:hAnsi="Times New Roman"/>
                <w:sz w:val="24"/>
              </w:rPr>
              <w:t>ALARP (RPN 8)</w:t>
            </w:r>
          </w:p>
        </w:tc>
      </w:tr>
      <w:tr>
        <w:tc>
          <w:tcPr>
            <w:tcW w:type="dxa" w:w="2160"/>
          </w:tcPr>
          <w:p>
            <w:pPr>
              <w:spacing w:line="360" w:lineRule="auto"/>
            </w:pPr>
            <w:r>
              <w:rPr>
                <w:rFonts w:ascii="Times New Roman" w:hAnsi="Times New Roman"/>
                <w:sz w:val="24"/>
              </w:rPr>
              <w:t>PHI via federated learning</w:t>
            </w:r>
          </w:p>
        </w:tc>
        <w:tc>
          <w:tcPr>
            <w:tcW w:type="dxa" w:w="2160"/>
          </w:tcPr>
          <w:p>
            <w:pPr>
              <w:spacing w:line="360" w:lineRule="auto"/>
            </w:pPr>
            <w:r>
              <w:rPr>
                <w:rFonts w:ascii="Times New Roman" w:hAnsi="Times New Roman"/>
                <w:sz w:val="24"/>
              </w:rPr>
              <w:t>High (RPN 8)</w:t>
            </w:r>
          </w:p>
        </w:tc>
        <w:tc>
          <w:tcPr>
            <w:tcW w:type="dxa" w:w="2160"/>
          </w:tcPr>
          <w:p>
            <w:pPr>
              <w:spacing w:line="360" w:lineRule="auto"/>
            </w:pPr>
            <w:r>
              <w:rPr>
                <w:rFonts w:ascii="Times New Roman" w:hAnsi="Times New Roman"/>
                <w:sz w:val="24"/>
              </w:rPr>
              <w:t>Differential privacy; no PHI leaves institution</w:t>
            </w:r>
          </w:p>
        </w:tc>
        <w:tc>
          <w:tcPr>
            <w:tcW w:type="dxa" w:w="2160"/>
          </w:tcPr>
          <w:p>
            <w:pPr>
              <w:spacing w:line="360" w:lineRule="auto"/>
            </w:pPr>
            <w:r>
              <w:rPr>
                <w:rFonts w:ascii="Times New Roman" w:hAnsi="Times New Roman"/>
                <w:sz w:val="24"/>
              </w:rPr>
              <w:t>ALARP (RPN 4)</w:t>
            </w:r>
          </w:p>
        </w:tc>
      </w:tr>
      <w:tr>
        <w:tc>
          <w:tcPr>
            <w:tcW w:type="dxa" w:w="2160"/>
          </w:tcPr>
          <w:p>
            <w:pPr>
              <w:spacing w:line="360" w:lineRule="auto"/>
            </w:pPr>
            <w:r>
              <w:rPr>
                <w:rFonts w:ascii="Times New Roman" w:hAnsi="Times New Roman"/>
                <w:sz w:val="24"/>
              </w:rPr>
              <w:t>Offline alert failure</w:t>
            </w:r>
          </w:p>
        </w:tc>
        <w:tc>
          <w:tcPr>
            <w:tcW w:type="dxa" w:w="2160"/>
          </w:tcPr>
          <w:p>
            <w:pPr>
              <w:spacing w:line="360" w:lineRule="auto"/>
            </w:pPr>
            <w:r>
              <w:rPr>
                <w:rFonts w:ascii="Times New Roman" w:hAnsi="Times New Roman"/>
                <w:sz w:val="24"/>
              </w:rPr>
              <w:t>High (RPN 12)</w:t>
            </w:r>
          </w:p>
        </w:tc>
        <w:tc>
          <w:tcPr>
            <w:tcW w:type="dxa" w:w="2160"/>
          </w:tcPr>
          <w:p>
            <w:pPr>
              <w:spacing w:line="360" w:lineRule="auto"/>
            </w:pPr>
            <w:r>
              <w:rPr>
                <w:rFonts w:ascii="Times New Roman" w:hAnsi="Times New Roman"/>
                <w:sz w:val="24"/>
              </w:rPr>
              <w:t>SMS fallback; offline audit; async sync</w:t>
            </w:r>
          </w:p>
        </w:tc>
        <w:tc>
          <w:tcPr>
            <w:tcW w:type="dxa" w:w="2160"/>
          </w:tcPr>
          <w:p>
            <w:pPr>
              <w:spacing w:line="360" w:lineRule="auto"/>
            </w:pPr>
            <w:r>
              <w:rPr>
                <w:rFonts w:ascii="Times New Roman" w:hAnsi="Times New Roman"/>
                <w:sz w:val="24"/>
              </w:rPr>
              <w:t>ALARP (RPN 6)</w:t>
            </w:r>
          </w:p>
        </w:tc>
      </w:tr>
    </w:tbl>
    <w:p>
      <w:r>
        <w:br w:type="page"/>
      </w:r>
    </w:p>
    <w:p>
      <w:pPr>
        <w:spacing w:before="240" w:after="240" w:line="360" w:lineRule="auto"/>
        <w:jc w:val="left"/>
      </w:pPr>
      <w:r>
        <w:rPr>
          <w:rFonts w:ascii="Times New Roman" w:hAnsi="Times New Roman"/>
          <w:b/>
          <w:sz w:val="28"/>
        </w:rPr>
        <w:t>7. STATEMENT OF INVENTORSHIP</w:t>
      </w:r>
    </w:p>
    <w:p>
      <w:pPr>
        <w:spacing w:line="360" w:lineRule="auto" w:after="120"/>
        <w:ind w:left="0" w:firstLine="0"/>
        <w:jc w:val="left"/>
      </w:pPr>
      <w:r>
        <w:rPr>
          <w:rFonts w:ascii="Times New Roman" w:hAnsi="Times New Roman"/>
          <w:b w:val="0"/>
          <w:i w:val="0"/>
          <w:sz w:val="24"/>
        </w:rPr>
        <w:t>I, Dolapo Ariyo, as sole inventor, conceived and implemented the four-engine AI pipeline architecture, federated learning subsystem with differential privacy, sovereign deployment architecture (cloud and edge), Merkle-chained audit trail, multi-channel alert dispatch system, Stroke Code activation workflow, human-in-the-loop enforcement subsystem, and the complete technical framework of the SEWA AI platform described in this application.</w:t>
      </w:r>
    </w:p>
    <w:p/>
    <w:p>
      <w:pPr>
        <w:spacing w:line="360" w:lineRule="auto" w:after="120"/>
        <w:ind w:left="0" w:firstLine="0"/>
        <w:jc w:val="left"/>
      </w:pPr>
      <w:r>
        <w:rPr>
          <w:rFonts w:ascii="Times New Roman" w:hAnsi="Times New Roman"/>
          <w:b w:val="0"/>
          <w:i w:val="0"/>
          <w:sz w:val="24"/>
        </w:rPr>
        <w:t>Signed: _______________________________</w:t>
      </w:r>
    </w:p>
    <w:p>
      <w:pPr>
        <w:spacing w:line="360" w:lineRule="auto" w:after="120"/>
        <w:ind w:left="0" w:firstLine="0"/>
        <w:jc w:val="left"/>
      </w:pPr>
      <w:r>
        <w:rPr>
          <w:rFonts w:ascii="Times New Roman" w:hAnsi="Times New Roman"/>
          <w:b w:val="0"/>
          <w:i w:val="0"/>
          <w:sz w:val="24"/>
        </w:rPr>
        <w:t>Dolapo Ariyo, Inventor</w:t>
      </w:r>
    </w:p>
    <w:p>
      <w:pPr>
        <w:spacing w:line="360" w:lineRule="auto" w:after="120"/>
        <w:ind w:left="0" w:firstLine="0"/>
        <w:jc w:val="left"/>
      </w:pPr>
      <w:r>
        <w:rPr>
          <w:rFonts w:ascii="Times New Roman" w:hAnsi="Times New Roman"/>
          <w:b w:val="0"/>
          <w:i w:val="0"/>
          <w:sz w:val="24"/>
        </w:rPr>
        <w:t>Date: March 2026</w:t>
      </w:r>
    </w:p>
    <w:p>
      <w:pPr>
        <w:spacing w:line="360" w:lineRule="auto" w:after="120"/>
        <w:ind w:left="0" w:firstLine="0"/>
        <w:jc w:val="left"/>
      </w:pPr>
      <w:r>
        <w:rPr>
          <w:rFonts w:ascii="Times New Roman" w:hAnsi="Times New Roman"/>
          <w:b w:val="0"/>
          <w:i w:val="0"/>
          <w:sz w:val="24"/>
        </w:rPr>
        <w:t>Address: c/o Storegrill Inc Ltd, 18 Hampshire Close, Binley, Coventry, CV3 2FP</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