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elements of the present invention may be co-designed in a particular arrangement to provide cross-layer operational stability. In such an arrangement,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in Relation to Conformal Risk Control:</w:t>
      </w:r>
    </w:p>
    <w:p>
      <w:pPr>
        <w:spacing w:after="120" w:line="320" w:lineRule="exact"/>
        <w:jc w:val="both"/>
      </w:pPr>
      <w:r>
        <w:rPr>
          <w:rFonts w:ascii="Times New Roman" w:hAnsi="Times New Roman"/>
          <w:b w:val="0"/>
          <w:i w:val="0"/>
          <w:sz w:val="24"/>
        </w:rPr>
        <w:t>Split Conformal Risk Control provides a basis for bounding expected conditional False Negative Rate under the assumption that calibration and inference instances are exchangeable. In heterogeneous multi-scanner clinical workflows, hardware differences can introduce channel-wise activation shifts. Rather than modifying convolutional filter weights, the platform may apply Zero-Label AdaBN to adapt running normalisation statistics on an unlabelled target stream to mitigate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Considerations for Relative Mahalanobis Distance (RMD) Gating:</w:t>
      </w:r>
    </w:p>
    <w:p>
      <w:pPr>
        <w:spacing w:after="120" w:line="320" w:lineRule="exact"/>
        <w:jc w:val="both"/>
      </w:pPr>
      <w:r>
        <w:rPr>
          <w:rFonts w:ascii="Times New Roman" w:hAnsi="Times New Roman"/>
          <w:b w:val="0"/>
          <w:i w:val="0"/>
          <w:sz w:val="24"/>
        </w:rPr>
        <w:t>The Relative Mahalanobis Distance metric evaluates penultimate feature representations relative to an unconditioned background centroid. Acquisition hardware differences may introduce non-pathological shifts; executing AdaBN in upstream convolutional layers may regularize the latent space prior to covariance estimation, helping to isolate pathological anomalies from hardware-induced variation.</w:t>
      </w:r>
    </w:p>
    <w:p>
      <w:pPr>
        <w:spacing w:after="120" w:line="320" w:lineRule="exact"/>
        <w:jc w:val="both"/>
      </w:pPr>
      <w:r>
        <w:rPr>
          <w:rFonts w:ascii="Times New Roman" w:hAnsi="Times New Roman"/>
          <w:b w:val="0"/>
          <w:i w:val="0"/>
          <w:sz w:val="24"/>
        </w:rPr>
        <w:t>3. Attribution Artifact Suppression for Metacognitive Verification:</w:t>
      </w:r>
    </w:p>
    <w:p>
      <w:pPr>
        <w:spacing w:after="120" w:line="320" w:lineRule="exact"/>
        <w:jc w:val="both"/>
      </w:pPr>
      <w:r>
        <w:rPr>
          <w:rFonts w:ascii="Times New Roman" w:hAnsi="Times New Roman"/>
          <w:b w:val="0"/>
          <w:i w:val="0"/>
          <w:sz w:val="24"/>
        </w:rPr>
        <w:t>Anatomically-Masked HiResCAM removes high-attenuation calvarial bone gradient artifacts via an intracranial parenchymal mask before spatial attribution maps are ingested by the metacognition safety engine, reducing the risk of cranial hyperdensities triggering spurious plausibility escalations.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integrated architecture is intended to provide defense-in-depth: conformal risk control addresses in-distribution calibration risk under exchangeability, RMD addresses certain latent representation shifts, epistemic uncertainty addresses aspects of physical sensor degradation, and database-level constraints address clinical release governance. Retrospective audit data showing that secondary gates intercepted 2 of 6 observed false negatives indicates the gates are complementary rather than comprehensive; accordingly, mandatory human review remains required.</w:t>
      </w: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physical medical display worklist on a PACS/radiology workstation, wherein final diagnostic report delivery requires authorised clinician sign-off enforced as a database-level constraint requiring signature metadata (signedBy, signedAt).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a plurality of stochastic Monte Carlo Dropout forward passes; detecting when said epistemic uncertainty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acquisition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apparatus for automated diagnostic triage and safety assurance, comprising physical hardware components: at least one hardware processor coupled to a physical medical imaging interface and to a PACS/worklist server; a medical imaging interface configured to receive digital medical imaging studies via DICOM, HL7, or FHIR protocols from physical imaging scanners and Picture Archiving and Communication System (PACS) servers;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signature metadata validation, wherein dispatch of prioritised clinical alerts is blocked absent authorised clinician sign-off recorded with signature metadata.</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+1500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normalising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standardizes internal feature map distributions across target scanner acquisitions in relation to the split conformal risk control prediction gate of step (d); (b) the out-of-distribution score of step (c) is computed over penultimate feature vectors extracted following said batch normalisation adaptation, so that scanner-induced covariate shifts are less likely to distort background-relative Mahalanobis distance calculation; and (c) the explainable spatial saliency map generated in step (f) is coupled to a multi-layer metacognition engine to verify attribution coherence against segmented soft-tissue intracranial structures to reduce the risk of calvarial bone gradient artifacts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computer-implemented system for safe diagnostic triage, comprising: (a) an adaptive batch normalisation module configured to update running mean and variance of a frozen-feature-extractor on unlabelled target images; (b) a relative Mahalanobis distance module configured to compute an out-of-distribution score over feature representations produced following adaptation in (a); (c) a split conformal risk control module configured to apply a threshold calibrated under exchangeability to bound conditional false-negative rate among positive studies; (d) an anatomically masked HiResCAM module configured to generate bone-artifact-suppressed attribution maps; and (e) a clinical routing module configured to combine outputs of (b),(c),(d) with database-enforced authorisation to gate dispatch of prioritised alerts, wherein the modules are co-arranged such that adaptation (a) conditions the representations used by (b),(c) and masked attribution (d) conditions inputs to metacognitive verification.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coupled to a physical medical imaging interface and to a PACS/worklist server;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