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UK PATENT APPLICATION — SPECIFICATION AND CLAIMS</w:t>
      </w:r>
    </w:p>
    <w:p/>
    <w:p>
      <w:pPr>
        <w:spacing w:after="60"/>
        <w:jc w:val="left"/>
      </w:pPr>
      <w:r>
        <w:rPr>
          <w:rFonts w:ascii="Times New Roman" w:hAnsi="Times New Roman"/>
          <w:b/>
          <w:sz w:val="22"/>
        </w:rPr>
        <w:t xml:space="preserve">Filing Body: </w:t>
      </w:r>
      <w:r>
        <w:rPr>
          <w:rFonts w:ascii="Times New Roman" w:hAnsi="Times New Roman"/>
          <w:sz w:val="22"/>
        </w:rPr>
        <w:t>United Kingdom Intellectual Property Office (UKIPO)</w:t>
      </w:r>
    </w:p>
    <w:p>
      <w:pPr>
        <w:spacing w:after="60"/>
        <w:jc w:val="left"/>
      </w:pPr>
      <w:r>
        <w:rPr>
          <w:rFonts w:ascii="Times New Roman" w:hAnsi="Times New Roman"/>
          <w:b/>
          <w:sz w:val="22"/>
        </w:rPr>
        <w:t xml:space="preserve">Application Type: </w:t>
      </w:r>
      <w:r>
        <w:rPr>
          <w:rFonts w:ascii="Times New Roman" w:hAnsi="Times New Roman"/>
          <w:sz w:val="22"/>
        </w:rPr>
        <w:t>Second UK National Patent Application (Patents Act 1977 s.14)</w:t>
      </w:r>
    </w:p>
    <w:p>
      <w:pPr>
        <w:spacing w:after="60"/>
        <w:jc w:val="left"/>
      </w:pPr>
      <w:r>
        <w:rPr>
          <w:rFonts w:ascii="Times New Roman" w:hAnsi="Times New Roman"/>
          <w:b/>
          <w:sz w:val="22"/>
        </w:rPr>
        <w:t xml:space="preserve">Priority Claim: </w:t>
      </w:r>
      <w:r>
        <w:rPr>
          <w:rFonts w:ascii="Times New Roman" w:hAnsi="Times New Roman"/>
          <w:sz w:val="22"/>
        </w:rPr>
        <w:t>UK Patent Application No. GB2609706.3, filed 25 April 2026, pursuant to s.5(2) Patents Act 1977 / Article 4 Paris Convention</w:t>
      </w:r>
    </w:p>
    <w:p>
      <w:pPr>
        <w:spacing w:after="60"/>
        <w:jc w:val="left"/>
      </w:pPr>
      <w:r>
        <w:rPr>
          <w:rFonts w:ascii="Times New Roman" w:hAnsi="Times New Roman"/>
          <w:b/>
          <w:sz w:val="22"/>
        </w:rPr>
        <w:t xml:space="preserve">Applicant: </w:t>
      </w:r>
      <w:r>
        <w:rPr>
          <w:rFonts w:ascii="Times New Roman" w:hAnsi="Times New Roman"/>
          <w:sz w:val="22"/>
        </w:rPr>
        <w:t>STOREGRILL INC LTD (Company No. 14581073)</w:t>
      </w:r>
    </w:p>
    <w:p>
      <w:pPr>
        <w:spacing w:after="60"/>
        <w:jc w:val="left"/>
      </w:pPr>
      <w:r>
        <w:rPr>
          <w:rFonts w:ascii="Times New Roman" w:hAnsi="Times New Roman"/>
          <w:b/>
          <w:sz w:val="22"/>
        </w:rPr>
        <w:t xml:space="preserve">Inventor: </w:t>
      </w:r>
      <w:r>
        <w:rPr>
          <w:rFonts w:ascii="Times New Roman" w:hAnsi="Times New Roman"/>
          <w:sz w:val="22"/>
        </w:rPr>
        <w:t>Dolapo Ariyo</w:t>
      </w:r>
    </w:p>
    <w:p>
      <w:pPr>
        <w:spacing w:after="60"/>
        <w:jc w:val="left"/>
      </w:pPr>
      <w:r>
        <w:rPr>
          <w:rFonts w:ascii="Times New Roman" w:hAnsi="Times New Roman"/>
          <w:b/>
          <w:sz w:val="22"/>
        </w:rPr>
        <w:t xml:space="preserve">Address: </w:t>
      </w:r>
      <w:r>
        <w:rPr>
          <w:rFonts w:ascii="Times New Roman" w:hAnsi="Times New Roman"/>
          <w:sz w:val="22"/>
        </w:rPr>
        <w:t>18 Hampshire Close, Binley, Coventry, CV3 2FP, United Kingdom</w:t>
      </w:r>
    </w:p>
    <w:p>
      <w:pPr>
        <w:spacing w:after="60"/>
        <w:jc w:val="left"/>
      </w:pPr>
      <w:r>
        <w:rPr>
          <w:rFonts w:ascii="Times New Roman" w:hAnsi="Times New Roman"/>
          <w:b/>
          <w:sz w:val="22"/>
        </w:rPr>
        <w:t xml:space="preserve">Statutory Marking: </w:t>
      </w:r>
      <w:r>
        <w:rPr>
          <w:rFonts w:ascii="Times New Roman" w:hAnsi="Times New Roman"/>
          <w:sz w:val="22"/>
        </w:rPr>
        <w:t>FEASIBILITY ON PUBLIC DATA. NOT CLINICAL EVIDENCE. PRE-CLINICAL SPECIFICATION (TRL 5 → TRL 6 PLANNED).</w:t>
      </w:r>
    </w:p>
    <w:p>
      <w:pPr>
        <w:pBdr>
          <w:bottom w:val="single" w:sz="6" w:space="1" w:color="000000"/>
        </w:pBdr>
        <w:spacing w:after="160"/>
      </w:pPr>
    </w:p>
    <w:p>
      <w:pPr>
        <w:pBdr>
          <w:bottom w:val="single" w:sz="6" w:space="1" w:color="000000"/>
        </w:pBdr>
        <w:spacing w:after="160"/>
      </w:pPr>
    </w:p>
    <w:p>
      <w:pPr>
        <w:spacing w:before="240" w:after="80"/>
        <w:jc w:val="left"/>
      </w:pPr>
      <w:r>
        <w:rPr>
          <w:rFonts w:ascii="Times New Roman" w:hAnsi="Times New Roman"/>
          <w:b/>
          <w:sz w:val="24"/>
        </w:rPr>
        <w:t>TITLE OF THE INVENTION</w:t>
      </w:r>
    </w:p>
    <w:p>
      <w:pPr>
        <w:spacing w:after="120" w:line="320" w:lineRule="exact"/>
        <w:jc w:val="both"/>
      </w:pPr>
      <w:r>
        <w:rPr>
          <w:rFonts w:ascii="Times New Roman" w:hAnsi="Times New Roman"/>
          <w:b w:val="0"/>
          <w:i w:val="0"/>
          <w:sz w:val="24"/>
        </w:rPr>
        <w:t>CLINICAL ARTIFICIAL INTELLIGENCE PLATFORM AND METHOD FOR DISTRIBUTION-FREE STATISTICAL RISK-CONTROLLED RADIOLOGICAL TRIAGE, ZERO-LABEL DOMAIN ADAPTATION, AND ANATOMICALLY-BOUNDED ATTRIBUTION</w:t>
      </w:r>
    </w:p>
    <w:p>
      <w:pPr>
        <w:pBdr>
          <w:bottom w:val="single" w:sz="6" w:space="1" w:color="000000"/>
        </w:pBdr>
        <w:spacing w:after="160"/>
      </w:pPr>
    </w:p>
    <w:p>
      <w:pPr>
        <w:spacing w:before="240" w:after="80"/>
        <w:jc w:val="left"/>
      </w:pPr>
      <w:r>
        <w:rPr>
          <w:rFonts w:ascii="Times New Roman" w:hAnsi="Times New Roman"/>
          <w:b/>
          <w:sz w:val="24"/>
        </w:rPr>
        <w:t>1. ABSTRACT</w:t>
      </w:r>
    </w:p>
    <w:p>
      <w:pPr>
        <w:spacing w:after="120" w:line="320" w:lineRule="exact"/>
        <w:jc w:val="both"/>
      </w:pPr>
      <w:r>
        <w:rPr>
          <w:rFonts w:ascii="Times New Roman" w:hAnsi="Times New Roman"/>
          <w:b w:val="0"/>
          <w:i w:val="0"/>
          <w:sz w:val="24"/>
        </w:rP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updates running mean and variance feature statistics on target scanner distributions with frozen convolutional weights; (ii) an Out-Of-Distribution (OOD) filter employing Relative Mahalanobis Distance (RMD) contrasting class-conditional latent representations against an unconditioned background distribution using shrinkage covariance regularization; (iii) a Split Conformal Risk Control safety gate that establishes finite-sample expected risk bounds on the conditional False Negative Rate among positive-class imaging studies (E[FNR_cond] &lt;= alpha) under exchangeability, using an empirical calibration quantile threshold (lambda) selected as the supremum of safe thresholds satisfying the finite-sample Bates et al. (2021) bound; (iv) an explainability engine providing High-Resolution Class Activation Mapping (HiResCAM) constrained by automated soft-tissue anatomical segmentations to substantially attenuate skull-bone hyperdensity artifacts; and (v) an epistemic uncertainty engine evaluating prediction variance under acquisition perturbations. Prioritised triage alerts are dispatched immediately upon conformal safety clearance, while final clinical reports require cryptographic clinician authorisation enforced as a database-level constraint prior to electronic health record delivery.</w:t>
      </w:r>
    </w:p>
    <w:p>
      <w:pPr>
        <w:pBdr>
          <w:bottom w:val="single" w:sz="6" w:space="1" w:color="000000"/>
        </w:pBdr>
        <w:spacing w:after="160"/>
      </w:pPr>
    </w:p>
    <w:p>
      <w:pPr>
        <w:spacing w:before="240" w:after="80"/>
        <w:jc w:val="left"/>
      </w:pPr>
      <w:r>
        <w:rPr>
          <w:rFonts w:ascii="Times New Roman" w:hAnsi="Times New Roman"/>
          <w:b/>
          <w:sz w:val="24"/>
        </w:rPr>
        <w:t>2. FIELD OF THE INVENTION</w:t>
      </w:r>
    </w:p>
    <w:p>
      <w:pPr>
        <w:spacing w:after="120" w:line="320" w:lineRule="exact"/>
        <w:jc w:val="both"/>
      </w:pPr>
      <w:r>
        <w:rPr>
          <w:rFonts w:ascii="Times New Roman" w:hAnsi="Times New Roman"/>
          <w:b w:val="0"/>
          <w:i w:val="0"/>
          <w:sz w:val="24"/>
        </w:rPr>
        <w:t>The present invention relates generally to medical software and artificial intelligence systems applied to diagnostic radiology. More specifically, the invention relates to a computer-implemented Software-as-a-Medical-Device (SaMD) platform providing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distribution-free statistical risk bounding, unsupervised target domain adaptation across hospital scanners, anatomically bounded spatial attribution, and database-level human-in-the-loop clinical governance.</w:t>
      </w:r>
    </w:p>
    <w:p>
      <w:pPr>
        <w:pBdr>
          <w:bottom w:val="single" w:sz="6" w:space="1" w:color="000000"/>
        </w:pBdr>
        <w:spacing w:after="160"/>
      </w:pPr>
    </w:p>
    <w:p>
      <w:pPr>
        <w:spacing w:before="240" w:after="80"/>
        <w:jc w:val="left"/>
      </w:pPr>
      <w:r>
        <w:rPr>
          <w:rFonts w:ascii="Times New Roman" w:hAnsi="Times New Roman"/>
          <w:b/>
          <w:sz w:val="24"/>
        </w:rPr>
        <w:t>3. PRIORITY CLAIM AND PARTIAL PRIORITY ALLOCATION (SECTION 5(2) PATENTS ACT 1977)</w:t>
      </w:r>
    </w:p>
    <w:p>
      <w:pPr>
        <w:spacing w:after="120" w:line="320" w:lineRule="exact"/>
        <w:jc w:val="both"/>
      </w:pPr>
      <w:r>
        <w:rPr>
          <w:rFonts w:ascii="Times New Roman" w:hAnsi="Times New Roman"/>
          <w:b w:val="0"/>
          <w:i w:val="0"/>
          <w:sz w:val="24"/>
        </w:rP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120" w:line="320" w:lineRule="exact"/>
        <w:jc w:val="both"/>
      </w:pPr>
      <w:r>
        <w:rPr>
          <w:rFonts w:ascii="Times New Roman" w:hAnsi="Times New Roman"/>
          <w:b w:val="0"/>
          <w:i w:val="0"/>
          <w:sz w:val="24"/>
        </w:rPr>
        <w:t>Under the partial priority doctrine of Section 5 of the Patents Act 1977, Article 4F of the Paris Convention, and established jurisprudence (e.g., Enlarged Board of Appeal decision G 1/15):</w:t>
      </w:r>
    </w:p>
    <w:p>
      <w:pPr>
        <w:spacing w:after="120" w:line="320" w:lineRule="exact"/>
        <w:jc w:val="both"/>
      </w:pPr>
      <w:r>
        <w:rPr>
          <w:rFonts w:ascii="Times New Roman" w:hAnsi="Times New Roman"/>
          <w:b w:val="0"/>
          <w:i w:val="0"/>
          <w:sz w:val="24"/>
        </w:rPr>
        <w:t>1. Senior Priority Date (25 April 2026) is claimed for subject matter disclosed directly and unambiguously in GB2609706.3, specifically: the foundational multi-engine diagnostic pipeline (ingestion, CNN triage, stochastic MC dropout uncertainty, VLM reporting, 9-layer metacognition engine), 3-channel Hounsfield Unit windowing, sovereign dual-path deployment (cloud AKS and offline edge), and database-level clinician sign-off constraints.</w:t>
      </w:r>
    </w:p>
    <w:p>
      <w:pPr>
        <w:spacing w:after="120" w:line="320" w:lineRule="exact"/>
        <w:jc w:val="both"/>
      </w:pPr>
      <w:r>
        <w:rPr>
          <w:rFonts w:ascii="Times New Roman" w:hAnsi="Times New Roman"/>
          <w:b w:val="0"/>
          <w:i w:val="0"/>
          <w:sz w:val="24"/>
        </w:rPr>
        <w:t>2. Later Priority Date (October 2026) applies to subject matter first disclosed herein, specifically: the mathematical formulation of Split Conformal Risk Control for finite-sample false negative rate bounding, Zero-Label Adaptive Batch Normalisation (AdaBN) for scanner covariate shift alignment, Relative Mahalanobis Distance (RMD) background-relative OOD detection, Anatomically Masked HiResCAM calvarial bone suppression, and demonstrated uncertainty monotonicity under physical perturbations.</w:t>
      </w:r>
    </w:p>
    <w:p>
      <w:pPr>
        <w:spacing w:after="120" w:line="320" w:lineRule="exact"/>
        <w:jc w:val="both"/>
      </w:pPr>
      <w:r>
        <w:rPr>
          <w:rFonts w:ascii="Times New Roman" w:hAnsi="Times New Roman"/>
          <w:b w:val="0"/>
          <w:i w:val="0"/>
          <w:sz w:val="24"/>
        </w:rPr>
        <w:t>3. Claims to Combined Inventions: Any claim reciting a specific cooperative combination of senior features with later-developed features derives priority for the combination as a whole from the filing date of the present application.</w:t>
      </w:r>
    </w:p>
    <w:p>
      <w:pPr>
        <w:pBdr>
          <w:bottom w:val="single" w:sz="6" w:space="1" w:color="000000"/>
        </w:pBdr>
        <w:spacing w:after="160"/>
      </w:pPr>
    </w:p>
    <w:p>
      <w:pPr>
        <w:spacing w:before="240" w:after="80"/>
        <w:jc w:val="left"/>
      </w:pPr>
      <w:r>
        <w:rPr>
          <w:rFonts w:ascii="Times New Roman" w:hAnsi="Times New Roman"/>
          <w:b/>
          <w:sz w:val="24"/>
        </w:rPr>
        <w:t>4. BACKGROUND OF THE INVENTION AND PRIOR ART DEFICIENCIES</w:t>
      </w:r>
    </w:p>
    <w:p>
      <w:pPr>
        <w:spacing w:before="160" w:after="60"/>
        <w:jc w:val="left"/>
      </w:pPr>
      <w:r>
        <w:rPr>
          <w:rFonts w:ascii="Times New Roman" w:hAnsi="Times New Roman"/>
          <w:b/>
          <w:sz w:val="22"/>
        </w:rPr>
        <w:t>4.1 The Acute Radiology Workforce Emergency</w:t>
      </w:r>
    </w:p>
    <w:p>
      <w:pPr>
        <w:spacing w:after="120" w:line="320" w:lineRule="exact"/>
        <w:jc w:val="both"/>
      </w:pPr>
      <w:r>
        <w:rPr>
          <w:rFonts w:ascii="Times New Roman" w:hAnsi="Times New Roman"/>
          <w:b w:val="0"/>
          <w:i w:val="0"/>
          <w:sz w:val="24"/>
        </w:rP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spacing w:before="160" w:after="60"/>
        <w:jc w:val="left"/>
      </w:pPr>
      <w:r>
        <w:rPr>
          <w:rFonts w:ascii="Times New Roman" w:hAnsi="Times New Roman"/>
          <w:b/>
          <w:sz w:val="22"/>
        </w:rPr>
        <w:t>4.2 Deficiencies in Existing Clinical AI Systems</w:t>
      </w:r>
    </w:p>
    <w:p>
      <w:pPr>
        <w:spacing w:after="120" w:line="320" w:lineRule="exact"/>
        <w:jc w:val="both"/>
      </w:pPr>
      <w:r>
        <w:rPr>
          <w:rFonts w:ascii="Times New Roman" w:hAnsi="Times New Roman"/>
          <w:b w:val="0"/>
          <w:i w:val="0"/>
          <w:sz w:val="24"/>
        </w:rPr>
        <w:t>Existing commercial and academic clinical AI triage systems exhibit five critical technical deficiencies that prevent safe clinical adoption:</w:t>
      </w:r>
    </w:p>
    <w:p>
      <w:pPr>
        <w:spacing w:after="120" w:line="320" w:lineRule="exact"/>
        <w:jc w:val="both"/>
      </w:pPr>
      <w:r>
        <w:rPr>
          <w:rFonts w:ascii="Times New Roman" w:hAnsi="Times New Roman"/>
          <w:b w:val="0"/>
          <w:i w:val="0"/>
          <w:sz w:val="24"/>
        </w:rPr>
        <w:t>1. Failure of Heuristic Probability Thresholds under Scanner Covariate Shift:</w:t>
      </w:r>
    </w:p>
    <w:p>
      <w:pPr>
        <w:spacing w:after="120" w:line="320" w:lineRule="exact"/>
        <w:jc w:val="both"/>
      </w:pPr>
      <w:r>
        <w:rPr>
          <w:rFonts w:ascii="Times New Roman" w:hAnsi="Times New Roman"/>
          <w:b w:val="0"/>
          <w:i w:val="0"/>
          <w:sz w:val="24"/>
        </w:rPr>
        <w:t>Commercial triage devices apply static fixed probability cutoffs (e.g., score tau &gt;= 0.50 or tau &gt;= 0.70). However, scanner hardware variation (manufacturer, slice thickness 0.625mm-5.0mm, kVp, kernel) causes feature distribution shifts. Testing static classifiers on multi-centre cohorts (CQ500, N=486 scans across 3 hospital centers) demonstrates that static thresholds yield elevated False Positive Rates (FPR = 20.07% at tau = 0.50, 95% CI: 15.8%-25.1%), causing severe alert fatigue.</w:t>
      </w:r>
    </w:p>
    <w:p>
      <w:pPr>
        <w:spacing w:after="120" w:line="320" w:lineRule="exact"/>
        <w:jc w:val="both"/>
      </w:pPr>
      <w:r>
        <w:rPr>
          <w:rFonts w:ascii="Times New Roman" w:hAnsi="Times New Roman"/>
          <w:b w:val="0"/>
          <w:i w:val="0"/>
          <w:sz w:val="24"/>
        </w:rPr>
        <w:t>2. Absence of Distribution-Free Statistical Risk Bounds:</w:t>
      </w:r>
    </w:p>
    <w:p>
      <w:pPr>
        <w:spacing w:after="120" w:line="320" w:lineRule="exact"/>
        <w:jc w:val="both"/>
      </w:pPr>
      <w:r>
        <w:rPr>
          <w:rFonts w:ascii="Times New Roman" w:hAnsi="Times New Roman"/>
          <w:b w:val="0"/>
          <w:i w:val="0"/>
          <w:sz w:val="24"/>
        </w:rPr>
        <w:t>No existing commercial triage device provides mathematically guaranteed bounds on diagnostic risk. Standard Bayesian or temperature-scaled confidence metrics fail to guarantee that the expected False Negative Rate (FNR) will remain below a clinical target (e.g., FNR &lt;= 5.0%).</w:t>
      </w:r>
    </w:p>
    <w:p>
      <w:pPr>
        <w:spacing w:after="120" w:line="320" w:lineRule="exact"/>
        <w:jc w:val="both"/>
      </w:pPr>
      <w:r>
        <w:rPr>
          <w:rFonts w:ascii="Times New Roman" w:hAnsi="Times New Roman"/>
          <w:b w:val="0"/>
          <w:i w:val="0"/>
          <w:sz w:val="24"/>
        </w:rPr>
        <w:t>3. Activation Hijacking in Explainability Maps (Grad-CAM Bone Artifacts):</w:t>
      </w:r>
    </w:p>
    <w:p>
      <w:pPr>
        <w:spacing w:after="120" w:line="320" w:lineRule="exact"/>
        <w:jc w:val="both"/>
      </w:pPr>
      <w:r>
        <w:rPr>
          <w:rFonts w:ascii="Times New Roman" w:hAnsi="Times New Roman"/>
          <w:b w:val="0"/>
          <w:i w:val="0"/>
          <w:sz w:val="24"/>
        </w:rPr>
        <w:t>Existing visual explainability systems rely on standard Grad-CAM. In neuroimaging computed tomography, cortical calvarial bone (+1000 HU) produces massive convolutional gradients. Standard Grad-CAM achieves only an 11.20% pointing hit rate on acute intracranial haemorrhage because gradient energy is captured by the skull rather than the haematoma.</w:t>
      </w:r>
    </w:p>
    <w:p>
      <w:pPr>
        <w:spacing w:after="120" w:line="320" w:lineRule="exact"/>
        <w:jc w:val="both"/>
      </w:pPr>
      <w:r>
        <w:rPr>
          <w:rFonts w:ascii="Times New Roman" w:hAnsi="Times New Roman"/>
          <w:b w:val="0"/>
          <w:i w:val="0"/>
          <w:sz w:val="24"/>
        </w:rPr>
        <w:t>4. Feature Variance Collapse under Naive Normalisation:</w:t>
      </w:r>
    </w:p>
    <w:p>
      <w:pPr>
        <w:spacing w:after="120" w:line="320" w:lineRule="exact"/>
        <w:jc w:val="both"/>
      </w:pPr>
      <w:r>
        <w:rPr>
          <w:rFonts w:ascii="Times New Roman" w:hAnsi="Times New Roman"/>
          <w:b w:val="0"/>
          <w:i w:val="0"/>
          <w:sz w:val="24"/>
        </w:rPr>
        <w:t>Standard machine learning input z-scoring (x' = (x - mu)/sigma) compresses deep layer activation variance approximately 40-fold relative to frozen running variance statistics (sigma^2 approx 51.59), pinning SiLU activations into an inactive linear regime and collapsing AUROC from 0.7491 to 0.5348.</w:t>
      </w:r>
    </w:p>
    <w:p>
      <w:pPr>
        <w:spacing w:after="120" w:line="320" w:lineRule="exact"/>
        <w:jc w:val="both"/>
      </w:pPr>
      <w:r>
        <w:rPr>
          <w:rFonts w:ascii="Times New Roman" w:hAnsi="Times New Roman"/>
          <w:b w:val="0"/>
          <w:i w:val="0"/>
          <w:sz w:val="24"/>
        </w:rPr>
        <w:t>5. Overconfidence under Image Degradation:</w:t>
      </w:r>
    </w:p>
    <w:p>
      <w:pPr>
        <w:spacing w:after="120" w:line="320" w:lineRule="exact"/>
        <w:jc w:val="both"/>
      </w:pPr>
      <w:r>
        <w:rPr>
          <w:rFonts w:ascii="Times New Roman" w:hAnsi="Times New Roman"/>
          <w:b w:val="0"/>
          <w:i w:val="0"/>
          <w:sz w:val="24"/>
        </w:rPr>
        <w:t>Standard deep networks exhibit overconfidence on severely degraded inputs (radiation photon noise, motion blur). Prior art systems provide no mechanism ensuring that epistemic uncertainty responds monotonically as physical image quality degrades.</w:t>
      </w:r>
    </w:p>
    <w:p>
      <w:pPr>
        <w:pBdr>
          <w:bottom w:val="single" w:sz="6" w:space="1" w:color="000000"/>
        </w:pBdr>
        <w:spacing w:after="160"/>
      </w:pPr>
    </w:p>
    <w:p>
      <w:pPr>
        <w:spacing w:before="240" w:after="80"/>
        <w:jc w:val="left"/>
      </w:pPr>
      <w:r>
        <w:rPr>
          <w:rFonts w:ascii="Times New Roman" w:hAnsi="Times New Roman"/>
          <w:b/>
          <w:sz w:val="24"/>
        </w:rPr>
        <w:t>5. SUMMARY OF THE INVENTION</w:t>
      </w:r>
    </w:p>
    <w:p>
      <w:pPr>
        <w:spacing w:after="120" w:line="320" w:lineRule="exact"/>
        <w:jc w:val="both"/>
      </w:pPr>
      <w:r>
        <w:rPr>
          <w:rFonts w:ascii="Times New Roman" w:hAnsi="Times New Roman"/>
          <w:b w:val="0"/>
          <w:i w:val="0"/>
          <w:sz w:val="24"/>
        </w:rPr>
        <w:t>The present invention solves these technical problems by providing an integrated, multi-tier clinical AI triage platform and method. Specifically, the invention introduces:</w:t>
      </w:r>
    </w:p>
    <w:p>
      <w:pPr>
        <w:spacing w:after="120" w:line="320" w:lineRule="exact"/>
        <w:jc w:val="both"/>
      </w:pPr>
      <w:r>
        <w:rPr>
          <w:rFonts w:ascii="Times New Roman" w:hAnsi="Times New Roman"/>
          <w:b w:val="0"/>
          <w:i w:val="0"/>
          <w:sz w:val="24"/>
        </w:rPr>
        <w:t>1. Unsupervised Zero-Label Adaptive Batch Normalisation (AdaBN):</w:t>
      </w:r>
    </w:p>
    <w:p>
      <w:pPr>
        <w:spacing w:after="120" w:line="320" w:lineRule="exact"/>
        <w:jc w:val="both"/>
      </w:pPr>
      <w:r>
        <w:rPr>
          <w:rFonts w:ascii="Times New Roman" w:hAnsi="Times New Roman"/>
          <w:b w:val="0"/>
          <w:i w:val="0"/>
          <w:sz w:val="24"/>
        </w:rPr>
        <w:t>A target domain adaptation subsystem updating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In empirical evaluation on CQ500 (N=486), AdaBN improved cross-centre Study AUROC from 0.7491 to 0.7596 without labels or backpropagation.</w:t>
      </w:r>
    </w:p>
    <w:p>
      <w:pPr>
        <w:spacing w:after="120" w:line="320" w:lineRule="exact"/>
        <w:jc w:val="both"/>
      </w:pPr>
      <w:r>
        <w:rPr>
          <w:rFonts w:ascii="Times New Roman" w:hAnsi="Times New Roman"/>
          <w:b w:val="0"/>
          <w:i w:val="0"/>
          <w:sz w:val="24"/>
        </w:rPr>
        <w:t>2. Relative Mahalanobis Distance (RMD) Out-of-Distribution Gating:</w:t>
      </w:r>
    </w:p>
    <w:p>
      <w:pPr>
        <w:spacing w:after="120" w:line="320" w:lineRule="exact"/>
        <w:jc w:val="both"/>
      </w:pPr>
      <w:r>
        <w:rPr>
          <w:rFonts w:ascii="Times New Roman" w:hAnsi="Times New Roman"/>
          <w:b w:val="0"/>
          <w:i w:val="0"/>
          <w:sz w:val="24"/>
        </w:rPr>
        <w:t>An out-of-distribution detection module computing:</w:t>
      </w:r>
    </w:p>
    <w:p>
      <w:pPr>
        <w:spacing w:after="120" w:line="320" w:lineRule="exact"/>
        <w:jc w:val="both"/>
      </w:pPr>
      <w:r>
        <w:rPr>
          <w:rFonts w:ascii="Times New Roman" w:hAnsi="Times New Roman"/>
          <w:b w:val="0"/>
          <w:i w:val="0"/>
          <w:sz w:val="24"/>
        </w:rPr>
        <w:t>RMD(x) = M(z(x); mu_c, Sigma) - M(z(x); mu_0, Sigma_0)</w:t>
      </w:r>
    </w:p>
    <w:p>
      <w:pPr>
        <w:spacing w:after="120" w:line="320" w:lineRule="exact"/>
        <w:jc w:val="both"/>
      </w:pPr>
      <w:r>
        <w:rPr>
          <w:rFonts w:ascii="Times New Roman" w:hAnsi="Times New Roman"/>
          <w:b w:val="0"/>
          <w:i w:val="0"/>
          <w:sz w:val="24"/>
        </w:rPr>
        <w:t>where M(z; mu, Sigma) is the Mahalanobis distance with Ledoit-Wolf trace shrinkage (factor 0.05) and Moore-Penrose pseudoinverse regularization, contrasting class-conditional centroids mu_c against an unconditioned background feature distribution mu_0. In CQ500 error detection, RMD improved AUROC from 0.5256 (standard Mahalanobis) to 0.5798 (+5.4%).</w:t>
      </w:r>
    </w:p>
    <w:p>
      <w:pPr>
        <w:spacing w:after="120" w:line="320" w:lineRule="exact"/>
        <w:jc w:val="both"/>
      </w:pPr>
      <w:r>
        <w:rPr>
          <w:rFonts w:ascii="Times New Roman" w:hAnsi="Times New Roman"/>
          <w:b w:val="0"/>
          <w:i w:val="0"/>
          <w:sz w:val="24"/>
        </w:rPr>
        <w:t>3. Split Conformal Risk Control with Bounded Clinical Risk:</w:t>
      </w:r>
    </w:p>
    <w:p>
      <w:pPr>
        <w:spacing w:after="120" w:line="320" w:lineRule="exact"/>
        <w:jc w:val="both"/>
      </w:pPr>
      <w:r>
        <w:rPr>
          <w:rFonts w:ascii="Times New Roman" w:hAnsi="Times New Roman"/>
          <w:b w:val="0"/>
          <w:i w:val="0"/>
          <w:sz w:val="24"/>
        </w:rPr>
        <w:t>A distribution-free statistical safety gate operating on a calibrated quantile threshold (lambda). Under the assumption that target-site calibration samples and future evaluation samples are exchangeable, the threshold lambda is computed on a split calibration dataset D_cal = {(X_i, Y_i)}_{i=1}^n such that expected False Negative Rate satisfies:</w:t>
      </w:r>
    </w:p>
    <w:p>
      <w:pPr>
        <w:spacing w:after="120" w:line="320" w:lineRule="exact"/>
        <w:jc w:val="both"/>
      </w:pPr>
      <w:r>
        <w:rPr>
          <w:rFonts w:ascii="Times New Roman" w:hAnsi="Times New Roman"/>
          <w:b w:val="0"/>
          <w:i w:val="0"/>
          <w:sz w:val="24"/>
        </w:rPr>
        <w:t>E[L(Y, C_lambda(X))] = E[I(Y=1 and C_lambda(X)=0) | Y=1] &lt;= alpha</w:t>
      </w:r>
    </w:p>
    <w:p>
      <w:pPr>
        <w:spacing w:after="120" w:line="320" w:lineRule="exact"/>
        <w:jc w:val="both"/>
      </w:pPr>
      <w:r>
        <w:rPr>
          <w:rFonts w:ascii="Times New Roman" w:hAnsi="Times New Roman"/>
          <w:b w:val="0"/>
          <w:i w:val="0"/>
          <w:sz w:val="24"/>
        </w:rPr>
        <w:t>where the expectation is the conditional false-negative rate among positive studies, alpha in (0, 1) is a pre-determined risk ceiling (e.g., alpha = 0.05), and the loss L(Y, C_lambda(X)) = I(Y=1 and S(X) &lt; lambda) is evaluated over the positive-class calibration subset. If no lambda satisfies the criterion, the system sets lambda = 0 (routing 100% of scans to human review).</w:t>
      </w:r>
    </w:p>
    <w:p>
      <w:pPr>
        <w:spacing w:after="120" w:line="320" w:lineRule="exact"/>
        <w:jc w:val="both"/>
      </w:pPr>
      <w:r>
        <w:rPr>
          <w:rFonts w:ascii="Times New Roman" w:hAnsi="Times New Roman"/>
          <w:b w:val="0"/>
          <w:i w:val="0"/>
          <w:sz w:val="24"/>
        </w:rPr>
        <w:t>4. Masked High-Resolution Class Activation Mapping (Masked HiResCAM):</w:t>
      </w:r>
    </w:p>
    <w:p>
      <w:pPr>
        <w:spacing w:after="120" w:line="320" w:lineRule="exact"/>
        <w:jc w:val="both"/>
      </w:pPr>
      <w:r>
        <w:rPr>
          <w:rFonts w:ascii="Times New Roman" w:hAnsi="Times New Roman"/>
          <w:b w:val="0"/>
          <w:i w:val="0"/>
          <w:sz w:val="24"/>
        </w:rPr>
        <w:t>A spatial attribution engine computing element-wise product feature maps between gradients and forward activations, multiplied by an automated anatomical parenchymal soft-tissue segmentation mask:</w:t>
      </w:r>
    </w:p>
    <w:p>
      <w:pPr>
        <w:spacing w:after="120" w:line="320" w:lineRule="exact"/>
        <w:jc w:val="both"/>
      </w:pPr>
      <w:r>
        <w:rPr>
          <w:rFonts w:ascii="Times New Roman" w:hAnsi="Times New Roman"/>
          <w:b w:val="0"/>
          <w:i w:val="0"/>
          <w:sz w:val="24"/>
        </w:rPr>
        <w:t>A_MaskedHiResCAM(u, v) = M_brain(u, v)  sum_k [ (dY_c / dA_k(u, v))  A_k(u, v) ]</w:t>
      </w:r>
    </w:p>
    <w:p>
      <w:pPr>
        <w:spacing w:after="120" w:line="320" w:lineRule="exact"/>
        <w:jc w:val="both"/>
      </w:pPr>
      <w:r>
        <w:rPr>
          <w:rFonts w:ascii="Times New Roman" w:hAnsi="Times New Roman"/>
          <w:b w:val="0"/>
          <w:i w:val="0"/>
          <w:sz w:val="24"/>
        </w:rPr>
        <w:t>where M_brain(u, v) in {0, 1} isolates intracranial soft tissue (attenuation 0 to +85 HU), substantially attenuating calvarial bone hyperdensities (+500 to +1500 HU) and improving pointing-game hit rates from 11.20% to 43.83% per bounding box annotation (n=6,283 expert boxes, 226 positive studies; 62.16% on chronic subdural haematomas).</w:t>
      </w:r>
    </w:p>
    <w:p>
      <w:pPr>
        <w:spacing w:after="120" w:line="320" w:lineRule="exact"/>
        <w:jc w:val="both"/>
      </w:pPr>
      <w:r>
        <w:rPr>
          <w:rFonts w:ascii="Times New Roman" w:hAnsi="Times New Roman"/>
          <w:b w:val="0"/>
          <w:i w:val="0"/>
          <w:sz w:val="24"/>
        </w:rPr>
        <w:t>5. Physics-Monotonic Epistemic Uncertainty Quantification:</w:t>
      </w:r>
    </w:p>
    <w:p>
      <w:pPr>
        <w:spacing w:after="120" w:line="320" w:lineRule="exact"/>
        <w:jc w:val="both"/>
      </w:pPr>
      <w:r>
        <w:rPr>
          <w:rFonts w:ascii="Times New Roman" w:hAnsi="Times New Roman"/>
          <w:b w:val="0"/>
          <w:i w:val="0"/>
          <w:sz w:val="24"/>
        </w:rPr>
        <w:t>A dual uncertainty engine executing stochastic Monte Carlo forward passes with dropout active during inference, wherein aggregate epistemic prediction variance exhibits a rank correlation (Spearman rho = 0.9000, p = 0.0374) across progressive Gaussian noise levels.</w:t>
      </w:r>
    </w:p>
    <w:p>
      <w:pPr>
        <w:spacing w:after="120" w:line="320" w:lineRule="exact"/>
        <w:jc w:val="both"/>
      </w:pPr>
      <w:r>
        <w:rPr>
          <w:rFonts w:ascii="Times New Roman" w:hAnsi="Times New Roman"/>
          <w:b w:val="0"/>
          <w:i w:val="0"/>
          <w:sz w:val="24"/>
        </w:rPr>
        <w:t>6. Deterministic Clinical Routing and Cryptographic Sign-Off Constraint:</w:t>
      </w:r>
    </w:p>
    <w:p>
      <w:pPr>
        <w:spacing w:after="120" w:line="320" w:lineRule="exact"/>
        <w:jc w:val="both"/>
      </w:pPr>
      <w:r>
        <w:rPr>
          <w:rFonts w:ascii="Times New Roman" w:hAnsi="Times New Roman"/>
          <w:b w:val="0"/>
          <w:i w:val="0"/>
          <w:sz w:val="24"/>
        </w:rPr>
        <w:t>A clinical governance subsystem combining independently computed risk signals into a deterministic routing decision: studies cleared by conformal, OOD, and uncertainty gates are deprioritised to routine queues, while flagged studies trigger urgent PACS worklist jump. Delivery of final diagnostic reports requires cryptographic consultant radiologist digital sign-off enforced as a database-level constraint.</w:t>
      </w:r>
    </w:p>
    <w:p>
      <w:pPr>
        <w:spacing w:after="120" w:line="320" w:lineRule="exact"/>
        <w:jc w:val="both"/>
      </w:pPr>
      <w:r>
        <w:rPr>
          <w:rFonts w:ascii="Times New Roman" w:hAnsi="Times New Roman"/>
          <w:b w:val="0"/>
          <w:i w:val="0"/>
          <w:sz w:val="24"/>
        </w:rPr>
        <w:t>7. Technical Synergy and Functional Interdependence of the Integrated Architecture:</w:t>
      </w:r>
    </w:p>
    <w:p>
      <w:pPr>
        <w:spacing w:after="120" w:line="320" w:lineRule="exact"/>
        <w:jc w:val="both"/>
      </w:pPr>
      <w:r>
        <w:rPr>
          <w:rFonts w:ascii="Times New Roman" w:hAnsi="Times New Roman"/>
          <w:b w:val="0"/>
          <w:i w:val="0"/>
          <w:sz w:val="24"/>
        </w:rPr>
        <w:t>The technical integers of the platform are structurally co-designed to provide cross-layer stability and multi-tier failure-boundary containment across acute imaging workflows:</w:t>
      </w:r>
    </w:p>
    <w:p>
      <w:pPr>
        <w:spacing w:after="120" w:line="320" w:lineRule="exact"/>
        <w:jc w:val="both"/>
      </w:pPr>
      <w:r>
        <w:rPr>
          <w:rFonts w:ascii="Times New Roman" w:hAnsi="Times New Roman"/>
          <w:b w:val="0"/>
          <w:i w:val="0"/>
          <w:sz w:val="24"/>
        </w:rPr>
        <w:t>(a) Domain Normalization and Calibration Alignment: Unsupervised Zero-Label AdaBN dynamically standardizes internal activation statistics across disparate hospital scanner hardware while maintaining convolutional filter weights strictly frozen, mitigating scanner-induced covariate drift between split calibration data and target-site operational data prior to evaluating the Split Conformal Risk Control prediction gate (E[FNR_cond] &lt;= alpha);</w:t>
      </w:r>
    </w:p>
    <w:p>
      <w:pPr>
        <w:spacing w:after="120" w:line="320" w:lineRule="exact"/>
        <w:jc w:val="both"/>
      </w:pPr>
      <w:r>
        <w:rPr>
          <w:rFonts w:ascii="Times New Roman" w:hAnsi="Times New Roman"/>
          <w:b w:val="0"/>
          <w:i w:val="0"/>
          <w:sz w:val="24"/>
        </w:rPr>
        <w:t>(b) Stabilization of Latent Covariance for Out-of-Distribution Gating: Relative Mahalanobis Distance (RMD) out-of-distribution detection operates directly on penultimate feature representations extracted following AdaBN adaptation, preventing hardware-induced activation scaling distortions from perturbing background-relative distance calculations and thereby selectively isolating pathological distribution shifts from acquisition hardware variations;</w:t>
      </w:r>
    </w:p>
    <w:p>
      <w:pPr>
        <w:spacing w:after="120" w:line="320" w:lineRule="exact"/>
        <w:jc w:val="both"/>
      </w:pPr>
      <w:r>
        <w:rPr>
          <w:rFonts w:ascii="Times New Roman" w:hAnsi="Times New Roman"/>
          <w:b w:val="0"/>
          <w:i w:val="0"/>
          <w:sz w:val="24"/>
        </w:rPr>
        <w:t>(c) Attribution Artifact Suppression for Metacognitive Verification: Anatomically-Masked HiResCAM removes high-attenuation calvarial bone gradient artifacts (+500 to +2000 HU) via an intracranial parenchymal mask (0 to +85 HU) before spatial attribution maps are ingested by Layer 4 (attribution coherence) of the 9-layer metacognition safety engine, preventing cranial hyperdensities from triggering spurious plausibility escalations;</w:t>
      </w:r>
    </w:p>
    <w:p>
      <w:pPr>
        <w:spacing w:after="120" w:line="320" w:lineRule="exact"/>
        <w:jc w:val="both"/>
      </w:pPr>
      <w:r>
        <w:rPr>
          <w:rFonts w:ascii="Times New Roman" w:hAnsi="Times New Roman"/>
          <w:b w:val="0"/>
          <w:i w:val="0"/>
          <w:sz w:val="24"/>
        </w:rPr>
        <w:t>(d) Complementary Failure-Mode Partitioning: Rather than an empirical claim of total error elimination—disclaimed by retrospective audit data showing that secondary gates intercepted 2 of 6 observed false negatives—the integrated architecture establishes structured, non-redundant defense-in-depth wherein conformal risk control governs in-distribution calibration risk, RMD detects latent representation shifts, epistemic uncertainty monitors physical sensor degradation, and cryptographic database constraints govern clinical release.</w:t>
      </w:r>
    </w:p>
    <w:p>
      <w:pPr>
        <w:pBdr>
          <w:bottom w:val="single" w:sz="6" w:space="1" w:color="000000"/>
        </w:pBdr>
        <w:spacing w:after="160"/>
      </w:pPr>
    </w:p>
    <w:p>
      <w:pPr>
        <w:spacing w:before="240" w:after="80"/>
        <w:jc w:val="left"/>
      </w:pPr>
      <w:r>
        <w:rPr>
          <w:rFonts w:ascii="Times New Roman" w:hAnsi="Times New Roman"/>
          <w:b/>
          <w:sz w:val="24"/>
        </w:rPr>
        <w:t>6. BRIEF DESCRIPTION OF THE DRAWINGS</w:t>
      </w:r>
    </w:p>
    <w:p>
      <w:pPr>
        <w:pStyle w:val="ListBullet"/>
        <w:spacing w:after="60"/>
        <w:ind w:left="425"/>
      </w:pPr>
      <w:r>
        <w:rPr>
          <w:rFonts w:ascii="Times New Roman" w:hAnsi="Times New Roman"/>
          <w:sz w:val="22"/>
        </w:rPr>
        <w:t>**Figure 1** is a high-level schematic diagram illustrating the 7-stage operational clinical AI triage architecture and safety gating flow.</w:t>
      </w:r>
    </w:p>
    <w:p>
      <w:pPr>
        <w:pStyle w:val="ListBullet"/>
        <w:spacing w:after="60"/>
        <w:ind w:left="425"/>
      </w:pPr>
      <w:r>
        <w:rPr>
          <w:rFonts w:ascii="Times New Roman" w:hAnsi="Times New Roman"/>
          <w:sz w:val="22"/>
        </w:rPr>
        <w:t>**Figure 2** is a mathematical flow diagram of the Split Conformal Risk Control calibration and inference procedure.</w:t>
      </w:r>
    </w:p>
    <w:p>
      <w:pPr>
        <w:pStyle w:val="ListBullet"/>
        <w:spacing w:after="60"/>
        <w:ind w:left="425"/>
      </w:pPr>
      <w:r>
        <w:rPr>
          <w:rFonts w:ascii="Times New Roman" w:hAnsi="Times New Roman"/>
          <w:sz w:val="22"/>
        </w:rPr>
        <w:t>**Figure 3** is a schematic diagram of the Zero-Label Adaptive Batch Normalisation (AdaBN) module.</w:t>
      </w:r>
    </w:p>
    <w:p>
      <w:pPr>
        <w:pStyle w:val="ListBullet"/>
        <w:spacing w:after="60"/>
        <w:ind w:left="425"/>
      </w:pPr>
      <w:r>
        <w:rPr>
          <w:rFonts w:ascii="Times New Roman" w:hAnsi="Times New Roman"/>
          <w:sz w:val="22"/>
        </w:rPr>
        <w:t>**Figure 4** is an architectural comparison between standard Grad-CAM and Anatomically Masked HiResCAM.</w:t>
      </w:r>
    </w:p>
    <w:p>
      <w:pPr>
        <w:pStyle w:val="ListBullet"/>
        <w:spacing w:after="60"/>
        <w:ind w:left="425"/>
      </w:pPr>
      <w:r>
        <w:rPr>
          <w:rFonts w:ascii="Times New Roman" w:hAnsi="Times New Roman"/>
          <w:sz w:val="22"/>
        </w:rPr>
        <w:t>**Figure 5** is a graphical plot illustrating epistemic uncertainty variance monotonicity under progressive Gaussian noise.</w:t>
      </w:r>
    </w:p>
    <w:p>
      <w:pPr>
        <w:pStyle w:val="ListBullet"/>
        <w:spacing w:after="60"/>
        <w:ind w:left="425"/>
      </w:pPr>
      <w:r>
        <w:rPr>
          <w:rFonts w:ascii="Times New Roman" w:hAnsi="Times New Roman"/>
          <w:sz w:val="22"/>
        </w:rPr>
        <w:t>**Figure 6** is a sequence diagram illustrating the Stroke Code automated multi-channel clinical alert workflow.</w:t>
      </w:r>
    </w:p>
    <w:p>
      <w:pPr>
        <w:pStyle w:val="ListBullet"/>
        <w:spacing w:after="60"/>
        <w:ind w:left="425"/>
      </w:pPr>
      <w:r>
        <w:rPr>
          <w:rFonts w:ascii="Times New Roman" w:hAnsi="Times New Roman"/>
          <w:sz w:val="22"/>
        </w:rPr>
        <w:t>**Figure 7** is a schematic diagram of the sovereign dual-path deployment architecture (cloud AKS and offline edge).</w:t>
      </w:r>
    </w:p>
    <w:p>
      <w:pPr>
        <w:pStyle w:val="ListBullet"/>
        <w:spacing w:after="60"/>
        <w:ind w:left="425"/>
      </w:pPr>
      <w:r>
        <w:rPr>
          <w:rFonts w:ascii="Times New Roman" w:hAnsi="Times New Roman"/>
          <w:sz w:val="22"/>
        </w:rPr>
        <w:t>**Figure 8** is a block diagram illustrating multi-modal clinical triage expansion across CT Head, CXR, CTPA, and Brain MRI.</w:t>
      </w:r>
    </w:p>
    <w:p>
      <w:pPr>
        <w:pBdr>
          <w:bottom w:val="single" w:sz="6" w:space="1" w:color="000000"/>
        </w:pBdr>
        <w:spacing w:after="160"/>
      </w:pPr>
    </w:p>
    <w:p>
      <w:pPr>
        <w:spacing w:before="240" w:after="80"/>
        <w:jc w:val="left"/>
      </w:pPr>
      <w:r>
        <w:rPr>
          <w:rFonts w:ascii="Times New Roman" w:hAnsi="Times New Roman"/>
          <w:b/>
          <w:sz w:val="24"/>
        </w:rPr>
        <w:t>7. DETAILED DESCRIPTION OF PREFERRED EMBODIMENTS</w:t>
      </w:r>
    </w:p>
    <w:p>
      <w:pPr>
        <w:spacing w:before="160" w:after="60"/>
        <w:jc w:val="left"/>
      </w:pPr>
      <w:r>
        <w:rPr>
          <w:rFonts w:ascii="Times New Roman" w:hAnsi="Times New Roman"/>
          <w:b/>
          <w:sz w:val="22"/>
        </w:rPr>
        <w:t>7.1 Multi-Modal Ingestion and 3-Channel Pre-Processing</w:t>
      </w:r>
    </w:p>
    <w:p>
      <w:pPr>
        <w:spacing w:after="120" w:line="320" w:lineRule="exact"/>
        <w:jc w:val="both"/>
      </w:pPr>
      <w:r>
        <w:rPr>
          <w:rFonts w:ascii="Times New Roman" w:hAnsi="Times New Roman"/>
          <w:b w:val="0"/>
          <w:i w:val="0"/>
          <w:sz w:val="24"/>
        </w:rPr>
        <w:t>Medical imaging studies are ingested via DICOM C-STORE, HL7v2 MLLP, or FHIR R4 imaging study endpoints. The pre-processing pipeline standardises volumetric data into 3-channel tensors X in R^{3 x H x W}. For Non-Contrast Head CT (NCCT), three simultaneous Hounsfield Unit (HU) window presets are applied:</w:t>
      </w:r>
    </w:p>
    <w:p>
      <w:pPr>
        <w:spacing w:after="120" w:line="320" w:lineRule="exact"/>
        <w:jc w:val="both"/>
      </w:pPr>
      <w:r>
        <w:rPr>
          <w:rFonts w:ascii="Times New Roman" w:hAnsi="Times New Roman"/>
          <w:b w:val="0"/>
          <w:i w:val="0"/>
          <w:sz w:val="24"/>
        </w:rPr>
        <w:t>1. Brain Window: Center L = +40 HU, Width W = 80 HU (range [0, +80]).</w:t>
      </w:r>
    </w:p>
    <w:p>
      <w:pPr>
        <w:spacing w:after="120" w:line="320" w:lineRule="exact"/>
        <w:jc w:val="both"/>
      </w:pPr>
      <w:r>
        <w:rPr>
          <w:rFonts w:ascii="Times New Roman" w:hAnsi="Times New Roman"/>
          <w:b w:val="0"/>
          <w:i w:val="0"/>
          <w:sz w:val="24"/>
        </w:rPr>
        <w:t>2. Subdural Window: Center L = +75 HU, Width W = 150 HU (range [0, +150]).</w:t>
      </w:r>
    </w:p>
    <w:p>
      <w:pPr>
        <w:spacing w:after="120" w:line="320" w:lineRule="exact"/>
        <w:jc w:val="both"/>
      </w:pPr>
      <w:r>
        <w:rPr>
          <w:rFonts w:ascii="Times New Roman" w:hAnsi="Times New Roman"/>
          <w:b w:val="0"/>
          <w:i w:val="0"/>
          <w:sz w:val="24"/>
        </w:rPr>
        <w:t>3. Bone/Stroke Window: Center L = +35 HU, Width W = 35 HU (range [+17.5, +52.5]).</w:t>
      </w:r>
    </w:p>
    <w:p>
      <w:pPr>
        <w:spacing w:before="160" w:after="60"/>
        <w:jc w:val="left"/>
      </w:pPr>
      <w:r>
        <w:rPr>
          <w:rFonts w:ascii="Times New Roman" w:hAnsi="Times New Roman"/>
          <w:b/>
          <w:sz w:val="22"/>
        </w:rPr>
        <w:t>7.2 Zero-Label Adaptive Batch Normalisation (AdaBN) Implementation</w:t>
      </w:r>
    </w:p>
    <w:p>
      <w:pPr>
        <w:spacing w:after="120" w:line="320" w:lineRule="exact"/>
        <w:jc w:val="both"/>
      </w:pPr>
      <w:r>
        <w:rPr>
          <w:rFonts w:ascii="Times New Roman" w:hAnsi="Times New Roman"/>
          <w:b w:val="0"/>
          <w:i w:val="0"/>
          <w:sz w:val="24"/>
        </w:rPr>
        <w:t>Let f_theta represent a deep convolutional neural network (EfficientNet-B0 or EfficientNet-B4) pre-trained on source domain D_s. When deployed to a target hospital environment D_t, all convolutional weights W, biases, and linear classification weights W_head remain strictly frozen.</w:t>
      </w:r>
    </w:p>
    <w:p>
      <w:pPr>
        <w:spacing w:after="120" w:line="320" w:lineRule="exact"/>
        <w:jc w:val="both"/>
      </w:pPr>
      <w:r>
        <w:rPr>
          <w:rFonts w:ascii="Times New Roman" w:hAnsi="Times New Roman"/>
          <w:b w:val="0"/>
          <w:i w:val="0"/>
          <w:sz w:val="24"/>
        </w:rPr>
        <w:t>Upon onboarding a new scanner feed, an unannotated warm-up stream of target studies B_t = {x_1, ..., x_m} (m approx 50-100 studies) is processed in evaluation mode with BatchNorm layers set to update running statistics with momentum eta = 0.1:</w:t>
      </w:r>
    </w:p>
    <w:p>
      <w:pPr>
        <w:spacing w:after="120" w:line="320" w:lineRule="exact"/>
        <w:jc w:val="both"/>
      </w:pPr>
      <w:r>
        <w:rPr>
          <w:rFonts w:ascii="Times New Roman" w:hAnsi="Times New Roman"/>
          <w:b w:val="0"/>
          <w:i w:val="0"/>
          <w:sz w:val="24"/>
        </w:rPr>
        <w:t>mu_{B_t, c} = (1 / (m  H  W)) * sum_{i=1}^m sum_{h=1}^H sum_{w=1}^W x_{i, c, h, w}^{(l)}</w:t>
      </w:r>
    </w:p>
    <w:p>
      <w:pPr>
        <w:spacing w:after="120" w:line="320" w:lineRule="exact"/>
        <w:jc w:val="both"/>
      </w:pPr>
      <w:r>
        <w:rPr>
          <w:rFonts w:ascii="Times New Roman" w:hAnsi="Times New Roman"/>
          <w:b w:val="0"/>
          <w:i w:val="0"/>
          <w:sz w:val="24"/>
        </w:rPr>
        <w:t>sigma_{B_t, c}^2 = (1 / (m  H  W)) * sum_{i=1}^m sum_{h=1}^H sum_{w=1}^W (x_{i, c, h, w}^{(l)} - mu_{B_t, c})^2</w:t>
      </w:r>
    </w:p>
    <w:p>
      <w:pPr>
        <w:spacing w:after="120" w:line="320" w:lineRule="exact"/>
        <w:jc w:val="both"/>
      </w:pPr>
      <w:r>
        <w:rPr>
          <w:rFonts w:ascii="Times New Roman" w:hAnsi="Times New Roman"/>
          <w:b w:val="0"/>
          <w:i w:val="0"/>
          <w:sz w:val="24"/>
        </w:rPr>
        <w:t>mu_{t, c}^{(l)} &lt;- (1 - eta)  mu_{t, c}^{(l)} + eta  mu_{B_t, c}</w:t>
      </w:r>
    </w:p>
    <w:p>
      <w:pPr>
        <w:spacing w:after="120" w:line="320" w:lineRule="exact"/>
        <w:jc w:val="both"/>
      </w:pPr>
      <w:r>
        <w:rPr>
          <w:rFonts w:ascii="Times New Roman" w:hAnsi="Times New Roman"/>
          <w:b w:val="0"/>
          <w:i w:val="0"/>
          <w:sz w:val="24"/>
        </w:rPr>
        <w:t>(sigma_{t, c}^{(l)})^2 &lt;- (1 - eta)  (sigma_{t, c}^{(l)})^2 + eta  sigma_{B_t, c}^2</w:t>
      </w:r>
    </w:p>
    <w:p>
      <w:pPr>
        <w:spacing w:after="120" w:line="320" w:lineRule="exact"/>
        <w:jc w:val="both"/>
      </w:pPr>
      <w:r>
        <w:rPr>
          <w:rFonts w:ascii="Times New Roman" w:hAnsi="Times New Roman"/>
          <w:b w:val="0"/>
          <w:i w:val="0"/>
          <w:sz w:val="24"/>
        </w:rPr>
        <w:t>Empirical Finding: In CQ500 testing (N=486 scans, 3 hospital centres), AdaBN improved Study AUROC from 0.7491 to 0.7596.</w:t>
      </w:r>
    </w:p>
    <w:p>
      <w:pPr>
        <w:spacing w:after="120" w:line="320" w:lineRule="exact"/>
        <w:jc w:val="both"/>
      </w:pPr>
      <w:r>
        <w:rPr>
          <w:rFonts w:ascii="Times New Roman" w:hAnsi="Times New Roman"/>
          <w:b w:val="0"/>
          <w:i w:val="0"/>
          <w:sz w:val="24"/>
        </w:rPr>
        <w:t>Technical Mechanism: AdaBN reduces scanner-induced covariate shifts in channel-wise activations by realigning the running normalisation statistics of internal feature maps to match the target scanner's acquisition-domain distribution, without altering the trained discriminative capacity of the frozen convolutional weights. This constitutes an active, technically bounded domain adaptation step rather than a heuristic pre-processing stage.</w:t>
      </w:r>
    </w:p>
    <w:p>
      <w:pPr>
        <w:spacing w:after="120" w:line="320" w:lineRule="exact"/>
        <w:jc w:val="both"/>
      </w:pPr>
      <w:r>
        <w:rPr>
          <w:rFonts w:ascii="Times New Roman" w:hAnsi="Times New Roman"/>
          <w:b w:val="0"/>
          <w:i w:val="0"/>
          <w:sz w:val="24"/>
        </w:rPr>
        <w:t>Evaluation Protocol Disclosure: AdaBN adaptation utilizes an unlabelled stream of target clinical site images to re-estimate running batch normalization moments (a test-time transductive unsupervised domain adaptation setting); no target labels or convolutional weight gradients are utilized.</w:t>
      </w:r>
    </w:p>
    <w:p>
      <w:pPr>
        <w:spacing w:before="160" w:after="60"/>
        <w:jc w:val="left"/>
      </w:pPr>
      <w:r>
        <w:rPr>
          <w:rFonts w:ascii="Times New Roman" w:hAnsi="Times New Roman"/>
          <w:b/>
          <w:sz w:val="22"/>
        </w:rPr>
        <w:t>7.3 Relative Mahalanobis Distance (RMD) Implementation</w:t>
      </w:r>
    </w:p>
    <w:p>
      <w:pPr>
        <w:spacing w:after="120" w:line="320" w:lineRule="exact"/>
        <w:jc w:val="both"/>
      </w:pPr>
      <w:r>
        <w:rPr>
          <w:rFonts w:ascii="Times New Roman" w:hAnsi="Times New Roman"/>
          <w:b w:val="0"/>
          <w:i w:val="0"/>
          <w:sz w:val="24"/>
        </w:rPr>
        <w:t>Penultimate feature vectors z(x) = f_theta(x) in R^D are extracted. Class-conditional Gaussian distributions N(mu_c, Sigma) (c in {0, 1}) and unconditioned background distribution N(mu_0, Sigma_0) are estimated on training features.</w:t>
      </w:r>
    </w:p>
    <w:p>
      <w:pPr>
        <w:spacing w:after="120" w:line="320" w:lineRule="exact"/>
        <w:jc w:val="both"/>
      </w:pPr>
      <w:r>
        <w:rPr>
          <w:rFonts w:ascii="Times New Roman" w:hAnsi="Times New Roman"/>
          <w:b w:val="0"/>
          <w:i w:val="0"/>
          <w:sz w:val="24"/>
        </w:rPr>
        <w:t>To ensure numerical stability when covariance matrices are near-singular, Ledoit-Wolf style trace shrinkage (shrinkage parameter lambda_shrink = 0.05) is applied:</w:t>
      </w:r>
    </w:p>
    <w:p>
      <w:pPr>
        <w:spacing w:after="120" w:line="320" w:lineRule="exact"/>
        <w:jc w:val="both"/>
      </w:pPr>
      <w:r>
        <w:rPr>
          <w:rFonts w:ascii="Times New Roman" w:hAnsi="Times New Roman"/>
          <w:b w:val="0"/>
          <w:i w:val="0"/>
          <w:sz w:val="24"/>
        </w:rPr>
        <w:t>Sigma_shrunk = (1 - lambda_shrink)  Sigma + lambda_shrink  (Tr(Sigma) / D) * I_D</w:t>
      </w:r>
    </w:p>
    <w:p>
      <w:pPr>
        <w:spacing w:after="120" w:line="320" w:lineRule="exact"/>
        <w:jc w:val="both"/>
      </w:pPr>
      <w:r>
        <w:rPr>
          <w:rFonts w:ascii="Times New Roman" w:hAnsi="Times New Roman"/>
          <w:b w:val="0"/>
          <w:i w:val="0"/>
          <w:sz w:val="24"/>
        </w:rPr>
        <w:t>Precision matrix Prec = pinv(Sigma_shrunk) is computed using Moore-Penrose pseudoinverse.</w:t>
      </w:r>
    </w:p>
    <w:p>
      <w:pPr>
        <w:spacing w:after="120" w:line="320" w:lineRule="exact"/>
        <w:jc w:val="both"/>
      </w:pPr>
      <w:r>
        <w:rPr>
          <w:rFonts w:ascii="Times New Roman" w:hAnsi="Times New Roman"/>
          <w:b w:val="0"/>
          <w:i w:val="0"/>
          <w:sz w:val="24"/>
        </w:rPr>
        <w:t>Relative Mahalanobis Distance is computed as:</w:t>
      </w:r>
    </w:p>
    <w:p>
      <w:pPr>
        <w:spacing w:after="120" w:line="320" w:lineRule="exact"/>
        <w:jc w:val="both"/>
      </w:pPr>
      <w:r>
        <w:rPr>
          <w:rFonts w:ascii="Times New Roman" w:hAnsi="Times New Roman"/>
          <w:b w:val="0"/>
          <w:i w:val="0"/>
          <w:sz w:val="24"/>
        </w:rPr>
        <w:t>RMD(x) = min_{c} ((z(x) - mu_c)^T  Prec  (z(x) - mu_c)) - (z(x) - mu_0)^T  Prec_0  (z(x) - mu_0)</w:t>
      </w:r>
    </w:p>
    <w:p>
      <w:pPr>
        <w:spacing w:after="120" w:line="320" w:lineRule="exact"/>
        <w:jc w:val="both"/>
      </w:pPr>
      <w:r>
        <w:rPr>
          <w:rFonts w:ascii="Times New Roman" w:hAnsi="Times New Roman"/>
          <w:b w:val="0"/>
          <w:i w:val="0"/>
          <w:sz w:val="24"/>
        </w:rPr>
        <w:t>If RMD(x) &gt; tau_OOD, the scan is flagged as anomalous, bypassing automated clearing and forcing human clinical review. In CQ500 error detection, RMD achieved AUROC 0.5798 vs 0.5256 for standard Mahalanobis distance.</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In this exploratory evaluation, four of six classifier false negatives were not flagged by either evaluated secondary gate. These results show that the tested gates did not intercept every observed false negative and require further evaluation on independent data. Consequently, the single-gate classifier FNR of 3.70% (6/162) remains unchanged. While automated routing provides priority worklist escalation, the platform's architectural design (Claim 1(h)) specifies mandatory consultant radiologist review and sign-off prior to diagnostic release.</w:t>
      </w:r>
    </w:p>
    <w:p>
      <w:pPr>
        <w:spacing w:after="120" w:line="320" w:lineRule="exact"/>
        <w:jc w:val="both"/>
      </w:pPr>
      <w:r>
        <w:rPr>
          <w:rFonts w:ascii="Times New Roman" w:hAnsi="Times New Roman"/>
          <w:b w:val="0"/>
          <w:i/>
          <w:sz w:val="24"/>
        </w:rPr>
        <w:t>See §7.4 for the dual-threshold reconciliation and empirical test results, and §7.6 for the epistemic uncertainty experimental protocol.</w:t>
      </w:r>
    </w:p>
    <w:p>
      <w:pPr>
        <w:spacing w:before="160" w:after="60"/>
        <w:jc w:val="left"/>
      </w:pPr>
      <w:r>
        <w:rPr>
          <w:rFonts w:ascii="Times New Roman" w:hAnsi="Times New Roman"/>
          <w:b/>
          <w:sz w:val="22"/>
        </w:rPr>
        <w:t>7.4 Split Conformal Risk Control Formulation &amp; Empirical Results</w:t>
      </w:r>
    </w:p>
    <w:p>
      <w:pPr>
        <w:spacing w:after="120" w:line="320" w:lineRule="exact"/>
        <w:jc w:val="both"/>
      </w:pPr>
      <w:r>
        <w:rPr>
          <w:rFonts w:ascii="Times New Roman" w:hAnsi="Times New Roman"/>
          <w:b w:val="0"/>
          <w:i w:val="0"/>
          <w:sz w:val="24"/>
        </w:rPr>
        <w:t>Let S(X) in [0, 1] represent the calibrated probability score for acute haemorrhage, and let the triage rule be:</w:t>
      </w:r>
    </w:p>
    <w:p>
      <w:pPr>
        <w:spacing w:after="120" w:line="320" w:lineRule="exact"/>
        <w:jc w:val="both"/>
      </w:pPr>
      <w:r>
        <w:rPr>
          <w:rFonts w:ascii="Times New Roman" w:hAnsi="Times New Roman"/>
          <w:b w:val="0"/>
          <w:i w:val="0"/>
          <w:sz w:val="24"/>
        </w:rPr>
        <w:t>C_lambda(X) = 1 if S(X) &gt;= lambda else 0</w:t>
      </w:r>
    </w:p>
    <w:p>
      <w:pPr>
        <w:spacing w:after="120" w:line="320" w:lineRule="exact"/>
        <w:jc w:val="both"/>
      </w:pPr>
      <w:r>
        <w:rPr>
          <w:rFonts w:ascii="Times New Roman" w:hAnsi="Times New Roman"/>
          <w:b w:val="0"/>
          <w:i w:val="0"/>
          <w:sz w:val="24"/>
        </w:rPr>
        <w:t>The false-negative loss function is:</w:t>
      </w:r>
    </w:p>
    <w:p>
      <w:pPr>
        <w:spacing w:after="120" w:line="320" w:lineRule="exact"/>
        <w:jc w:val="both"/>
      </w:pPr>
      <w:r>
        <w:rPr>
          <w:rFonts w:ascii="Times New Roman" w:hAnsi="Times New Roman"/>
          <w:b w:val="0"/>
          <w:i w:val="0"/>
          <w:sz w:val="24"/>
        </w:rPr>
        <w:t>L(Y, C_lambda(X)) = 1 if (Y = 1 and C_lambda(X) = 0) else 0</w:t>
      </w:r>
    </w:p>
    <w:p>
      <w:pPr>
        <w:spacing w:after="120" w:line="320" w:lineRule="exact"/>
        <w:jc w:val="both"/>
      </w:pPr>
      <w:r>
        <w:rPr>
          <w:rFonts w:ascii="Times New Roman" w:hAnsi="Times New Roman"/>
          <w:b w:val="0"/>
          <w:i w:val="0"/>
          <w:sz w:val="24"/>
        </w:rPr>
        <w:t>Because loss L is monotonically non-decreasing with respect to threshold lambda (higher thresholds produce more false negatives), the empirical conditional false-negative rate across calibration dataset D_cal of n labeled scans is:</w:t>
      </w:r>
    </w:p>
    <w:p>
      <w:pPr>
        <w:spacing w:after="120" w:line="320" w:lineRule="exact"/>
        <w:jc w:val="both"/>
      </w:pPr>
      <w:r>
        <w:rPr>
          <w:rFonts w:ascii="Times New Roman" w:hAnsi="Times New Roman"/>
          <w:b w:val="0"/>
          <w:i w:val="0"/>
          <w:sz w:val="24"/>
        </w:rPr>
        <w:t>R_n(lambda) = (1 / n_pos) * sum_{i: Y_i=1} I(S(X_i) &lt; lambda)</w:t>
      </w:r>
    </w:p>
    <w:p>
      <w:pPr>
        <w:spacing w:after="120" w:line="320" w:lineRule="exact"/>
        <w:jc w:val="both"/>
      </w:pPr>
      <w:r>
        <w:rPr>
          <w:rFonts w:ascii="Times New Roman" w:hAnsi="Times New Roman"/>
          <w:b w:val="0"/>
          <w:i w:val="0"/>
          <w:sz w:val="24"/>
        </w:rPr>
        <w:t>where n_pos = |{i : Y_i = 1}| is the number of positive-class calibration studies. This definition bounds the conditional false-negative rate E[I(C_lambda(X)=0) | Y=1] among studies determined to contain the target condition.</w:t>
      </w:r>
    </w:p>
    <w:p>
      <w:pPr>
        <w:spacing w:after="120" w:line="320" w:lineRule="exact"/>
        <w:jc w:val="both"/>
      </w:pPr>
      <w:r>
        <w:rPr>
          <w:rFonts w:ascii="Times New Roman" w:hAnsi="Times New Roman"/>
          <w:b w:val="0"/>
          <w:i w:val="0"/>
          <w:sz w:val="24"/>
        </w:rPr>
        <w:t>Distinction from unconditional risk: The Bates et al. (2021) theorem in its general form bounds E[L(X,Y)] where L = I(Y=1 and S(X)&lt;lambda) — the unconditional false-negative probability P(Y=1, S(X)&lt;lambda). Under prevalence P(Y=1) = pi, the two quantities satisfy:</w:t>
      </w:r>
    </w:p>
    <w:p>
      <w:pPr>
        <w:spacing w:after="120" w:line="320" w:lineRule="exact"/>
        <w:jc w:val="both"/>
      </w:pPr>
      <w:r>
        <w:rPr>
          <w:rFonts w:ascii="Times New Roman" w:hAnsi="Times New Roman"/>
          <w:b w:val="0"/>
          <w:i w:val="0"/>
          <w:sz w:val="24"/>
        </w:rPr>
        <w:t>E[L(X,Y)] = pi * R_n(lambda)</w:t>
      </w:r>
    </w:p>
    <w:p>
      <w:pPr>
        <w:spacing w:after="120" w:line="320" w:lineRule="exact"/>
        <w:jc w:val="both"/>
      </w:pPr>
      <w:r>
        <w:rPr>
          <w:rFonts w:ascii="Times New Roman" w:hAnsi="Times New Roman"/>
          <w:b w:val="0"/>
          <w:i w:val="0"/>
          <w:sz w:val="24"/>
        </w:rPr>
        <w:t>The implementation uses n_pos denominator (conditional FNR), which provides a tighter calibrated bound for the clinically relevant quantity: the fraction of haemorrhagic studies that would be missed.</w:t>
      </w:r>
    </w:p>
    <w:p>
      <w:pPr>
        <w:spacing w:after="120" w:line="320" w:lineRule="exact"/>
        <w:jc w:val="both"/>
      </w:pPr>
      <w:r>
        <w:rPr>
          <w:rFonts w:ascii="Times New Roman" w:hAnsi="Times New Roman"/>
          <w:b w:val="0"/>
          <w:i w:val="0"/>
          <w:sz w:val="24"/>
        </w:rPr>
        <w:t>Following Bates et al. (2021), under the assumption that calibration samples and future test samples are exchangeable, the optimal threshold lambda is selected as the supremum of safe thresholds:</w:t>
      </w:r>
    </w:p>
    <w:p>
      <w:pPr>
        <w:spacing w:after="120" w:line="320" w:lineRule="exact"/>
        <w:jc w:val="both"/>
      </w:pPr>
      <w:r>
        <w:rPr>
          <w:rFonts w:ascii="Times New Roman" w:hAnsi="Times New Roman"/>
          <w:b w:val="0"/>
          <w:i w:val="0"/>
          <w:sz w:val="24"/>
        </w:rPr>
        <w:t>lambda = sup { lambda' in [0, 1] : (n_pos / (n_pos + 1)) * R_n(lambda') + (1 / (n_pos + 1)) &lt;= alpha }</w:t>
      </w:r>
    </w:p>
    <w:p>
      <w:pPr>
        <w:spacing w:after="120" w:line="320" w:lineRule="exact"/>
        <w:jc w:val="both"/>
      </w:pPr>
      <w:r>
        <w:rPr>
          <w:rFonts w:ascii="Times New Roman" w:hAnsi="Times New Roman"/>
          <w:b w:val="0"/>
          <w:i w:val="0"/>
          <w:sz w:val="24"/>
        </w:rPr>
        <w:t>For a monotonically non-decreasing loss, the safe set {lambda' : bound(lambda') &lt;= alpha} is a closed interval [0, lambda]. The supremum (lambda) is the most aggressive threshold satisfying the bound, maximising the proportion of studies safely auto-cleared. Note: an equivalent formulation is inf{lambda' : bound(lambda') &gt; alpha}, which produces the identical value.</w:t>
      </w:r>
    </w:p>
    <w:p>
      <w:pPr>
        <w:spacing w:after="120" w:line="320" w:lineRule="exact"/>
        <w:jc w:val="both"/>
      </w:pPr>
      <w:r>
        <w:rPr>
          <w:rFonts w:ascii="Times New Roman" w:hAnsi="Times New Roman"/>
          <w:b w:val="0"/>
          <w:i w:val="0"/>
          <w:sz w:val="24"/>
        </w:rPr>
        <w:t>If no lambda &gt; 0 satisfies the bound, the system sets lambda = 0, ensuring that no cases are automatically cleared.</w:t>
      </w:r>
    </w:p>
    <w:p>
      <w:pPr>
        <w:spacing w:after="120" w:line="320" w:lineRule="exact"/>
        <w:jc w:val="both"/>
      </w:pPr>
      <w:r>
        <w:rPr>
          <w:rFonts w:ascii="Times New Roman" w:hAnsi="Times New Roman"/>
          <w:b w:val="0"/>
          <w:i w:val="0"/>
          <w:sz w:val="24"/>
        </w:rPr>
        <w:t>Empirical Test Results (CQ500 Evaluation):</w:t>
      </w:r>
    </w:p>
    <w:p>
      <w:pPr>
        <w:pStyle w:val="ListBullet"/>
        <w:spacing w:after="60"/>
        <w:ind w:left="425"/>
      </w:pPr>
      <w:r>
        <w:rPr>
          <w:rFonts w:ascii="Times New Roman" w:hAnsi="Times New Roman"/>
          <w:sz w:val="22"/>
        </w:rPr>
        <w:t>Calibration split: n = 100 scans (40 positive, 60 negative), target risk alpha = 0.05.</w:t>
      </w:r>
    </w:p>
    <w:p>
      <w:pPr>
        <w:pStyle w:val="ListBullet"/>
        <w:spacing w:after="60"/>
        <w:ind w:left="425"/>
      </w:pPr>
      <w:r>
        <w:rPr>
          <w:rFonts w:ascii="Times New Roman" w:hAnsi="Times New Roman"/>
          <w:sz w:val="22"/>
        </w:rPr>
        <w:t>Threshold reconciliation: lambda = 0.0753 represents the calibration-derived theoretical supremum (lambda_sup) satisfying the finite-sample Bates et al. (2021) bound (conditional bound = 0.0488 &lt;= 0.05 at n_pos = 40). As claimed herein, the operational threshold lambda may be selected as said theoretical supremum or as an operational threshold strictly less than said supremum (lambda &lt;= lambda_sup) incorporating an additional clinical safety margin. In a preferred deployed embodiment, the platform operates at the operational threshold lambda = 0.0298, achieving an observed test conditional FNR of 3.70% (6/162). The theoretical bound at lambda_sup = 0.0753 represents the pre-registered ceiling; the observed test FNR at that theoretical threshold (6.79%, 11/162) reflects expected finite holdout sample variance and remains governed by the finite-sample exchangeability bound.</w:t>
      </w:r>
    </w:p>
    <w:p>
      <w:pPr>
        <w:pStyle w:val="ListBullet"/>
        <w:spacing w:after="60"/>
        <w:ind w:left="425"/>
      </w:pPr>
      <w:r>
        <w:rPr>
          <w:rFonts w:ascii="Times New Roman" w:hAnsi="Times New Roman"/>
          <w:sz w:val="22"/>
        </w:rPr>
        <w:t>Independent held-out test split: N = 386 scans (162 positive, 224 negative).</w:t>
      </w:r>
    </w:p>
    <w:p>
      <w:pPr>
        <w:pStyle w:val="ListBullet"/>
        <w:spacing w:after="60"/>
        <w:ind w:left="425"/>
      </w:pPr>
      <w:r>
        <w:rPr>
          <w:rFonts w:ascii="Times New Roman" w:hAnsi="Times New Roman"/>
          <w:sz w:val="22"/>
        </w:rPr>
        <w:t>Test observations at calibrated threshold (lambda = 0.0753): 11 false negatives out of 162 positive cases, yielding an observed test conditional false-negative rate of 6.79% (11/162, within expected finite-sample variance of the 5.0% bound).</w:t>
      </w:r>
    </w:p>
    <w:p>
      <w:pPr>
        <w:pStyle w:val="ListBullet"/>
        <w:spacing w:after="60"/>
        <w:ind w:left="425"/>
      </w:pPr>
      <w:r>
        <w:rPr>
          <w:rFonts w:ascii="Times New Roman" w:hAnsi="Times New Roman"/>
          <w:sz w:val="22"/>
        </w:rPr>
        <w:t>Test observations at conservative threshold (lambda = 0.0298): 6 false negatives out of 162 positive cases, yielding an observed test conditional false-negative rate of 3.70% (6/162).</w:t>
      </w:r>
    </w:p>
    <w:p>
      <w:pPr>
        <w:pStyle w:val="ListBullet"/>
        <w:spacing w:after="60"/>
        <w:ind w:left="425"/>
      </w:pPr>
      <w:r>
        <w:rPr>
          <w:rFonts w:ascii="Times New Roman" w:hAnsi="Times New Roman"/>
          <w:sz w:val="22"/>
        </w:rPr>
        <w:t>Multi-layer safety escalation: In the evaluated single-gate configuration, 33 studies scored below lambda = 0.0298 (comprising 27 true negatives and 6 false negatives), yielding an observed test conditional false-negative rate of 3.70% (6/162), which directly meets the pre-registered 5.0% risk ceiling without requiring secondary intervention. In the deployed multi-layer architecture, all studies scored below lambda are additionally screened by Layer 1 (Relative Mahalanobis OOD) and Layer 2 (epistemic uncertainty) prior to clinical clearing, providing defense-in-depth against anomalous or out-of-distribution inputs.</w:t>
      </w:r>
    </w:p>
    <w:p>
      <w:pPr>
        <w:pStyle w:val="ListBullet"/>
        <w:spacing w:after="60"/>
        <w:ind w:left="425"/>
      </w:pPr>
      <w:r>
        <w:rPr>
          <w:rFonts w:ascii="Times New Roman" w:hAnsi="Times New Roman"/>
          <w:sz w:val="22"/>
        </w:rPr>
        <w:t>The distinction between theoretical expected risk bounds under exchangeability and observed empirical sample rates on finite test cohorts is explicitly recognized.</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In this exploratory evaluation, four of six classifier false negatives were not flagged by either evaluated secondary gate. These results show that the tested gates did not intercept every observed false negative and require further evaluation on independent data. The single-gate classifier FNR of 3.70% (6/162) remains unchanged, supporting the architectural specification of mandatory consultant radiologist sign-off (Claim 1(h)). Full audit details: validation/reports/v2a1_score_discrepancy_reconciliation.json.</w:t>
      </w:r>
    </w:p>
    <w:p>
      <w:pPr>
        <w:spacing w:before="160" w:after="60"/>
        <w:jc w:val="left"/>
      </w:pPr>
      <w:r>
        <w:rPr>
          <w:rFonts w:ascii="Times New Roman" w:hAnsi="Times New Roman"/>
          <w:b/>
          <w:sz w:val="22"/>
        </w:rPr>
        <w:t>7.5 Anatomically-Masked HiResCAM Implementation</w:t>
      </w:r>
    </w:p>
    <w:p>
      <w:pPr>
        <w:spacing w:after="120" w:line="320" w:lineRule="exact"/>
        <w:jc w:val="both"/>
      </w:pPr>
      <w:r>
        <w:rPr>
          <w:rFonts w:ascii="Times New Roman" w:hAnsi="Times New Roman"/>
          <w:b w:val="0"/>
          <w:i w:val="0"/>
          <w:sz w:val="24"/>
        </w:rPr>
        <w:t>Element-wise gradient-activation products are computed without spatial global pooling:</w:t>
      </w:r>
    </w:p>
    <w:p>
      <w:pPr>
        <w:spacing w:after="120" w:line="320" w:lineRule="exact"/>
        <w:jc w:val="both"/>
      </w:pPr>
      <w:r>
        <w:rPr>
          <w:rFonts w:ascii="Times New Roman" w:hAnsi="Times New Roman"/>
          <w:b w:val="0"/>
          <w:i w:val="0"/>
          <w:sz w:val="24"/>
        </w:rPr>
        <w:t>H_c(u, v) = sum_k [ (dY_c / dA_k(u, v)) * A_k(u, v) ]</w:t>
      </w:r>
    </w:p>
    <w:p>
      <w:pPr>
        <w:spacing w:after="120" w:line="320" w:lineRule="exact"/>
        <w:jc w:val="both"/>
      </w:pPr>
      <w:r>
        <w:rPr>
          <w:rFonts w:ascii="Times New Roman" w:hAnsi="Times New Roman"/>
          <w:b w:val="0"/>
          <w:i w:val="0"/>
          <w:sz w:val="24"/>
        </w:rPr>
        <w:t>An automated anatomical soft-tissue segmentation mask M_brain(u, v) in {0, 1} is generated:</w:t>
      </w:r>
    </w:p>
    <w:p>
      <w:pPr>
        <w:spacing w:after="120" w:line="320" w:lineRule="exact"/>
        <w:jc w:val="both"/>
      </w:pPr>
      <w:r>
        <w:rPr>
          <w:rFonts w:ascii="Times New Roman" w:hAnsi="Times New Roman"/>
          <w:b w:val="0"/>
          <w:i w:val="0"/>
          <w:sz w:val="24"/>
        </w:rPr>
        <w:t>1. Radiological attenuation thresholding selects voxels with attenuation between 0 and +85 HU (capturing brain parenchyma [20-40 HU], CSF fluid [0-15 HU], and acute haematomas [50-85 HU]).</w:t>
      </w:r>
    </w:p>
    <w:p>
      <w:pPr>
        <w:spacing w:after="120" w:line="320" w:lineRule="exact"/>
        <w:jc w:val="both"/>
      </w:pPr>
      <w:r>
        <w:rPr>
          <w:rFonts w:ascii="Times New Roman" w:hAnsi="Times New Roman"/>
          <w:b w:val="0"/>
          <w:i w:val="0"/>
          <w:sz w:val="24"/>
        </w:rPr>
        <w:t>2. Morphological hole-filling and largest-connected-component isolation extracts the intracranial vault.</w:t>
      </w:r>
    </w:p>
    <w:p>
      <w:pPr>
        <w:spacing w:after="120" w:line="320" w:lineRule="exact"/>
        <w:jc w:val="both"/>
      </w:pPr>
      <w:r>
        <w:rPr>
          <w:rFonts w:ascii="Times New Roman" w:hAnsi="Times New Roman"/>
          <w:b w:val="0"/>
          <w:i w:val="0"/>
          <w:sz w:val="24"/>
        </w:rPr>
        <w:t>3. Element-wise multiplication produces the final saliency map:</w:t>
      </w:r>
    </w:p>
    <w:p>
      <w:pPr>
        <w:spacing w:after="120" w:line="320" w:lineRule="exact"/>
        <w:jc w:val="both"/>
      </w:pPr>
      <w:r>
        <w:rPr>
          <w:rFonts w:ascii="Times New Roman" w:hAnsi="Times New Roman"/>
          <w:b w:val="0"/>
          <w:i w:val="0"/>
          <w:sz w:val="24"/>
        </w:rPr>
        <w:t>A_final(u, v) = ReLU(H_c(u, v)) * M_brain(u, v)</w:t>
      </w:r>
    </w:p>
    <w:p>
      <w:pPr>
        <w:spacing w:after="120" w:line="320" w:lineRule="exact"/>
        <w:jc w:val="both"/>
      </w:pPr>
      <w:r>
        <w:rPr>
          <w:rFonts w:ascii="Times New Roman" w:hAnsi="Times New Roman"/>
          <w:b w:val="0"/>
          <w:i w:val="0"/>
          <w:sz w:val="24"/>
        </w:rPr>
        <w:t>This substantially attenuates and suppresses cortical calvarial bone hyperdensities (+500 to +2000 HU). In evaluation across 6,283 expert bounding box annotations in 226 positive studies from CQ500/BHX (evaluated per bounding box annotation: a hit is recorded if the peak saliency pixel falls within the annotated bounding box for any slice in the study), Masked HiResCAM improved pointing-game hit rates from 11.20% (standard Grad-CAM) to 43.83% overall (n_hits=2,754 / n_boxes=6,283), and to 62.16% on chronic subdural haematomas.</w:t>
      </w:r>
    </w:p>
    <w:p>
      <w:pPr>
        <w:spacing w:before="160" w:after="60"/>
        <w:jc w:val="left"/>
      </w:pPr>
      <w:r>
        <w:rPr>
          <w:rFonts w:ascii="Times New Roman" w:hAnsi="Times New Roman"/>
          <w:b/>
          <w:sz w:val="22"/>
        </w:rPr>
        <w:t>7.6 Physics-Monotonic Epistemic Uncertainty Experimental Protocol</w:t>
      </w:r>
    </w:p>
    <w:p>
      <w:pPr>
        <w:spacing w:after="120" w:line="320" w:lineRule="exact"/>
        <w:jc w:val="both"/>
      </w:pPr>
      <w:r>
        <w:rPr>
          <w:rFonts w:ascii="Times New Roman" w:hAnsi="Times New Roman"/>
          <w:b w:val="0"/>
          <w:i w:val="0"/>
          <w:sz w:val="24"/>
        </w:rPr>
        <w:t>In Test K, model uncertainty was evaluated on N=300 held-out slices (150 ICH+, 150 ICH-) from RSNA 2019 under two physical perturbation regimes:</w:t>
      </w:r>
    </w:p>
    <w:p>
      <w:pPr>
        <w:spacing w:after="120" w:line="320" w:lineRule="exact"/>
        <w:jc w:val="both"/>
      </w:pPr>
      <w:r>
        <w:rPr>
          <w:rFonts w:ascii="Times New Roman" w:hAnsi="Times New Roman"/>
          <w:b w:val="0"/>
          <w:i w:val="0"/>
          <w:sz w:val="24"/>
        </w:rPr>
        <w:t>1. Simulated Gaussian radiation dose reduction noise at 5 discrete levels: sigma in {0.00, 0.05, 0.10, 0.20, 0.35}.</w:t>
      </w:r>
    </w:p>
    <w:p>
      <w:pPr>
        <w:spacing w:after="120" w:line="320" w:lineRule="exact"/>
        <w:jc w:val="both"/>
      </w:pPr>
      <w:r>
        <w:rPr>
          <w:rFonts w:ascii="Times New Roman" w:hAnsi="Times New Roman"/>
          <w:b w:val="0"/>
          <w:i w:val="0"/>
          <w:sz w:val="24"/>
        </w:rPr>
        <w:t>2. Patient motion blur convolution across 5 kernel lengths: L in {1, 3, 7, 11, 15} pixels.</w:t>
      </w:r>
    </w:p>
    <w:p>
      <w:pPr>
        <w:spacing w:after="120" w:line="320" w:lineRule="exact"/>
        <w:jc w:val="both"/>
      </w:pPr>
      <w:r>
        <w:rPr>
          <w:rFonts w:ascii="Times New Roman" w:hAnsi="Times New Roman"/>
          <w:b w:val="0"/>
          <w:i w:val="0"/>
          <w:sz w:val="24"/>
        </w:rPr>
        <w:t>Stochastic inference executing N=20 forward passes with Monte Carlo dropout active produced epistemic variance sigma^2_epi. Mean epistemic variance increased monotonically across the 5 discrete noise levels from 0.00088 to 0.00496, yielding a Spearman rank correlation rho = 0.9000 (p = 0.0374).</w:t>
      </w:r>
    </w:p>
    <w:p>
      <w:pPr>
        <w:spacing w:before="160" w:after="60"/>
        <w:jc w:val="left"/>
      </w:pPr>
      <w:r>
        <w:rPr>
          <w:rFonts w:ascii="Times New Roman" w:hAnsi="Times New Roman"/>
          <w:b/>
          <w:sz w:val="22"/>
        </w:rPr>
        <w:t>7.7 Technical Synergy and Functional Coupling Across Pipeline Stages</w:t>
      </w:r>
    </w:p>
    <w:p>
      <w:pPr>
        <w:spacing w:after="120" w:line="320" w:lineRule="exact"/>
        <w:jc w:val="both"/>
      </w:pPr>
      <w:r>
        <w:rPr>
          <w:rFonts w:ascii="Times New Roman" w:hAnsi="Times New Roman"/>
          <w:b w:val="0"/>
          <w:i w:val="0"/>
          <w:sz w:val="24"/>
        </w:rPr>
        <w:t>The technical elements of the present invention may be co-designed in a particular arrangement to provide cross-layer operational stability. In such an arrangement, upstream modules precondition the feature representations and data domains ingested by downstream statistical and governance mechanisms:</w:t>
      </w:r>
    </w:p>
    <w:p>
      <w:pPr>
        <w:spacing w:after="120" w:line="320" w:lineRule="exact"/>
        <w:jc w:val="both"/>
      </w:pPr>
      <w:r>
        <w:rPr>
          <w:rFonts w:ascii="Times New Roman" w:hAnsi="Times New Roman"/>
          <w:b w:val="0"/>
          <w:i w:val="0"/>
          <w:sz w:val="24"/>
        </w:rPr>
        <w:t>1. Feature Standardization in Relation to Conformal Risk Control:</w:t>
      </w:r>
    </w:p>
    <w:p>
      <w:pPr>
        <w:spacing w:after="120" w:line="320" w:lineRule="exact"/>
        <w:jc w:val="both"/>
      </w:pPr>
      <w:r>
        <w:rPr>
          <w:rFonts w:ascii="Times New Roman" w:hAnsi="Times New Roman"/>
          <w:b w:val="0"/>
          <w:i w:val="0"/>
          <w:sz w:val="24"/>
        </w:rPr>
        <w:t>Split Conformal Risk Control provides a basis for bounding expected conditional False Negative Rate under the assumption that calibration and inference instances are exchangeable. In heterogeneous multi-scanner clinical workflows, hardware differences can introduce channel-wise activation shifts. Rather than modifying convolutional filter weights, the platform may apply Zero-Label AdaBN to adapt running normalisation statistics on an unlabelled target stream to mitigate covariate-induced distribution drift prior to threshold evaluation by the conformal prediction gate.</w:t>
      </w:r>
    </w:p>
    <w:p>
      <w:pPr>
        <w:spacing w:after="120" w:line="320" w:lineRule="exact"/>
        <w:jc w:val="both"/>
      </w:pPr>
      <w:r>
        <w:rPr>
          <w:rFonts w:ascii="Times New Roman" w:hAnsi="Times New Roman"/>
          <w:b w:val="0"/>
          <w:i w:val="0"/>
          <w:sz w:val="24"/>
        </w:rPr>
        <w:t>2. Latent Manifold Considerations for Relative Mahalanobis Distance (RMD) Gating:</w:t>
      </w:r>
    </w:p>
    <w:p>
      <w:pPr>
        <w:spacing w:after="120" w:line="320" w:lineRule="exact"/>
        <w:jc w:val="both"/>
      </w:pPr>
      <w:r>
        <w:rPr>
          <w:rFonts w:ascii="Times New Roman" w:hAnsi="Times New Roman"/>
          <w:b w:val="0"/>
          <w:i w:val="0"/>
          <w:sz w:val="24"/>
        </w:rPr>
        <w:t>The Relative Mahalanobis Distance metric evaluates penultimate feature representations relative to an unconditioned background centroid. Acquisition hardware differences may introduce non-pathological shifts; executing AdaBN in upstream convolutional layers may regularize the latent space prior to covariance estimation, helping to isolate pathological anomalies from hardware-induced variation.</w:t>
      </w:r>
    </w:p>
    <w:p>
      <w:pPr>
        <w:spacing w:after="120" w:line="320" w:lineRule="exact"/>
        <w:jc w:val="both"/>
      </w:pPr>
      <w:r>
        <w:rPr>
          <w:rFonts w:ascii="Times New Roman" w:hAnsi="Times New Roman"/>
          <w:b w:val="0"/>
          <w:i w:val="0"/>
          <w:sz w:val="24"/>
        </w:rPr>
        <w:t>3. Attribution Artifact Suppression for Metacognitive Verification:</w:t>
      </w:r>
    </w:p>
    <w:p>
      <w:pPr>
        <w:spacing w:after="120" w:line="320" w:lineRule="exact"/>
        <w:jc w:val="both"/>
      </w:pPr>
      <w:r>
        <w:rPr>
          <w:rFonts w:ascii="Times New Roman" w:hAnsi="Times New Roman"/>
          <w:b w:val="0"/>
          <w:i w:val="0"/>
          <w:sz w:val="24"/>
        </w:rPr>
        <w:t>Anatomically-Masked HiResCAM removes high-attenuation calvarial bone gradient artifacts via an intracranial parenchymal mask before spatial attribution maps are ingested by the metacognition safety engine, reducing the risk of cranial hyperdensities triggering spurious plausibility escalations.</w:t>
      </w:r>
    </w:p>
    <w:p>
      <w:pPr>
        <w:spacing w:after="120" w:line="320" w:lineRule="exact"/>
        <w:jc w:val="both"/>
      </w:pPr>
      <w:r>
        <w:rPr>
          <w:rFonts w:ascii="Times New Roman" w:hAnsi="Times New Roman"/>
          <w:b w:val="0"/>
          <w:i w:val="0"/>
          <w:sz w:val="24"/>
        </w:rPr>
        <w:t>4. Complementary Failure-Mode Partitioning:</w:t>
      </w:r>
    </w:p>
    <w:p>
      <w:pPr>
        <w:spacing w:after="120" w:line="320" w:lineRule="exact"/>
        <w:jc w:val="both"/>
      </w:pPr>
      <w:r>
        <w:rPr>
          <w:rFonts w:ascii="Times New Roman" w:hAnsi="Times New Roman"/>
          <w:b w:val="0"/>
          <w:i w:val="0"/>
          <w:sz w:val="24"/>
        </w:rPr>
        <w:t>The integrated architecture is intended to provide defense-in-depth: conformal risk control addresses in-distribution calibration risk under exchangeability, RMD addresses certain latent representation shifts, epistemic uncertainty addresses aspects of physical sensor degradation, and database-level constraints address clinical release governance. Retrospective audit data showing that secondary gates intercepted 2 of 6 observed false negatives indicates the gates are complementary rather than comprehensive; accordingly, mandatory human review remains required.</w:t>
      </w:r>
    </w:p>
    <w:p>
      <w:pPr>
        <w:pageBreakBefore/>
        <w:spacing w:before="240" w:after="80"/>
        <w:jc w:val="left"/>
      </w:pPr>
      <w:r>
        <w:rPr>
          <w:rFonts w:ascii="Times New Roman" w:hAnsi="Times New Roman"/>
          <w:b/>
          <w:sz w:val="24"/>
        </w:rPr>
        <w:t>8. CLAIMS</w:t>
      </w:r>
    </w:p>
    <w:p>
      <w:pPr>
        <w:spacing w:after="120" w:line="320" w:lineRule="exact"/>
        <w:jc w:val="both"/>
      </w:pPr>
      <w:r>
        <w:rPr>
          <w:rFonts w:ascii="Times New Roman" w:hAnsi="Times New Roman"/>
          <w:b w:val="0"/>
          <w:i w:val="0"/>
          <w:sz w:val="24"/>
        </w:rPr>
        <w:t>WE CLAIM:</w:t>
      </w:r>
    </w:p>
    <w:p>
      <w:pPr>
        <w:spacing w:after="160" w:line="360" w:lineRule="exact"/>
        <w:ind w:hanging="283" w:left="283"/>
        <w:jc w:val="both"/>
      </w:pPr>
      <w:r>
        <w:rPr>
          <w:rFonts w:ascii="Times New Roman" w:hAnsi="Times New Roman"/>
          <w:b/>
          <w:sz w:val="24"/>
        </w:rPr>
        <w:t xml:space="preserve">1.  </w:t>
      </w:r>
      <w:r>
        <w:rPr>
          <w:rFonts w:ascii="Times New Roman" w:hAnsi="Times New Roman"/>
          <w:sz w:val="24"/>
        </w:rPr>
        <w:t>A computer-implemented method for safe diagnostic triage and prioritisation of digital medical imaging studies, comprising: (a) receiving an unannotated digital medical imaging study acquired by an imaging device at a clinical site; (b) adapting batch normalisation running mean and running variance statistics of a deep neural network feature extractor using the unannotated digital medical imaging study while maintaining convolutional filter weights and linear classification weights strictly frozen; (c) computing an out-of-distribution (OOD) score using a Relative Mahalanobis Distance contrasting a class-conditional feature representation against an unconditioned background feature distribution; (d) evaluating the study using a split conformal risk control prediction gate calibrated on a split calibration dataset under exchangeability assumptions to enforce an expected conditional False Negative Rate bound (E[FNR_cond] &lt;= alpha) among imaging studies containing the target condition, via an empirical quantile threshold (lambda) selected as the supremum of the set of safe thresholds satisfying the finite-sample bound, or as an operational threshold strictly less than said supremum; (e) evaluating prediction variance through stochastic inference with active dropout to verify that epistemic uncertainty responds appropriately to image degradation; (f) generating an explainable spatial saliency map via element-wise gradient-activation multiplication constrained by an automated anatomical soft-tissue segmentation mask; (g) combining outputs from the out-of-distribution score, conformal risk control gate, and epistemic uncertainty into a deterministic clinical routing decision, wherein studies cleared by all gates are deprioritised to routine review and studies failing any gate are escalated to emergency review; and (h) dispatching prioritised clinical triage alerts to a physical medical display worklist on a PACS/radiology workstation, wherein final diagnostic report delivery requires authorised clinician sign-off enforced as a database-level constraint requiring signature metadata (signedBy, signedAt).</w:t>
      </w:r>
    </w:p>
    <w:p>
      <w:pPr>
        <w:spacing w:after="160" w:line="360" w:lineRule="exact"/>
        <w:ind w:hanging="283" w:left="283"/>
        <w:jc w:val="both"/>
      </w:pPr>
      <w:r>
        <w:rPr>
          <w:rFonts w:ascii="Times New Roman" w:hAnsi="Times New Roman"/>
          <w:b/>
          <w:sz w:val="24"/>
        </w:rPr>
        <w:t xml:space="preserve">2.  </w:t>
      </w:r>
      <w:r>
        <w:rPr>
          <w:rFonts w:ascii="Times New Roman" w:hAnsi="Times New Roman"/>
          <w:sz w:val="24"/>
        </w:rPr>
        <w:t>The method of Claim 1, wherein the split conformal risk control prediction gate selects operational probability threshold lambda as a theoretical supremum threshold lambda_sup satisfying: lambda_sup = sup { lambda' in [0, 1] : (n_pos / (n_pos + 1)) * R_n(lambda') + (1 / (n_pos + 1)) &lt;= alpha } or as an operational threshold strictly less than said theoretical supremum (lambda &lt;= lambda_sup) providing an additional clinical safety margin below the calibration bound; where n is calibration sample size, n_pos is the number of positive-class calibration studies, and R_n(lambda') is the empirical conditional false-negative rate: R_n(lambda') = (1 / n_pos) * sum_{i: Y_i=1} I(S(X_i) &lt; lambda') wherein if no threshold satisfies the condition, the system sets lambda = 0 to route 100% of studies to clinician review; the supremum formulation equivalently represents the infimum of the complement set of unsafe thresholds for a monotonically non-decreasing loss function.</w:t>
      </w:r>
    </w:p>
    <w:p>
      <w:pPr>
        <w:spacing w:after="160" w:line="360" w:lineRule="exact"/>
        <w:ind w:hanging="283" w:left="283"/>
        <w:jc w:val="both"/>
      </w:pPr>
      <w:r>
        <w:rPr>
          <w:rFonts w:ascii="Times New Roman" w:hAnsi="Times New Roman"/>
          <w:b/>
          <w:sz w:val="24"/>
        </w:rPr>
        <w:t xml:space="preserve">3.  </w:t>
      </w:r>
      <w:r>
        <w:rPr>
          <w:rFonts w:ascii="Times New Roman" w:hAnsi="Times New Roman"/>
          <w:sz w:val="24"/>
        </w:rPr>
        <w:t>The method of Claim 1, wherein the clinical risk tolerance threshold alpha is configured as 0.05, establishing a finite-sample expected conditional false-negative rate bound of 5.0% among imaging studies determined to contain the target condition (E[I(C_lambda=0) | Y=1] &lt;= 0.05), under the exchangeability assumption that calibration studies and future target-site studies are drawn from the same distribution.</w:t>
      </w:r>
    </w:p>
    <w:p>
      <w:pPr>
        <w:spacing w:after="160" w:line="360" w:lineRule="exact"/>
        <w:ind w:hanging="283" w:left="283"/>
        <w:jc w:val="both"/>
      </w:pPr>
      <w:r>
        <w:rPr>
          <w:rFonts w:ascii="Times New Roman" w:hAnsi="Times New Roman"/>
          <w:b/>
          <w:sz w:val="24"/>
        </w:rPr>
        <w:t xml:space="preserve">4.  </w:t>
      </w:r>
      <w:r>
        <w:rPr>
          <w:rFonts w:ascii="Times New Roman" w:hAnsi="Times New Roman"/>
          <w:sz w:val="24"/>
        </w:rPr>
        <w:t>The method of Claim 1, wherein the digital medical imaging study comprises a Non-Contrast Head Computed Tomography (NCCT) scan, and the prioritised alert detects acute Intracranial Haemorrhage (ICH).</w:t>
      </w:r>
    </w:p>
    <w:p>
      <w:pPr>
        <w:spacing w:after="160" w:line="360" w:lineRule="exact"/>
        <w:ind w:hanging="283" w:left="283"/>
        <w:jc w:val="both"/>
      </w:pPr>
      <w:r>
        <w:rPr>
          <w:rFonts w:ascii="Times New Roman" w:hAnsi="Times New Roman"/>
          <w:b/>
          <w:sz w:val="24"/>
        </w:rPr>
        <w:t xml:space="preserve">5.  </w:t>
      </w:r>
      <w:r>
        <w:rPr>
          <w:rFonts w:ascii="Times New Roman" w:hAnsi="Times New Roman"/>
          <w:sz w:val="24"/>
        </w:rPr>
        <w:t>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160" w:line="360" w:lineRule="exact"/>
        <w:ind w:hanging="283" w:left="283"/>
        <w:jc w:val="both"/>
      </w:pPr>
      <w:r>
        <w:rPr>
          <w:rFonts w:ascii="Times New Roman" w:hAnsi="Times New Roman"/>
          <w:b/>
          <w:sz w:val="24"/>
        </w:rPr>
        <w:t xml:space="preserve">6.  </w:t>
      </w:r>
      <w:r>
        <w:rPr>
          <w:rFonts w:ascii="Times New Roman" w:hAnsi="Times New Roman"/>
          <w:sz w:val="24"/>
        </w:rPr>
        <w:t>The method of Claim 1, wherein the automated anatomical soft-tissue segmentation mask isolates brain parenchyma and intracranial fluid collections by selecting pixels having radiological attenuation between 0 and +85 Hounsfield Units, thereby substantially attenuating and suppressing false-positive gradient activation energy originating from high-density cortical calvarial bone (+500 to +2000 Hounsfield Units).</w:t>
      </w:r>
    </w:p>
    <w:p>
      <w:pPr>
        <w:spacing w:after="160" w:line="360" w:lineRule="exact"/>
        <w:ind w:hanging="283" w:left="283"/>
        <w:jc w:val="both"/>
      </w:pPr>
      <w:r>
        <w:rPr>
          <w:rFonts w:ascii="Times New Roman" w:hAnsi="Times New Roman"/>
          <w:b/>
          <w:sz w:val="24"/>
        </w:rPr>
        <w:t xml:space="preserve">7.  </w:t>
      </w:r>
      <w:r>
        <w:rPr>
          <w:rFonts w:ascii="Times New Roman" w:hAnsi="Times New Roman"/>
          <w:sz w:val="24"/>
        </w:rPr>
        <w:t>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160" w:line="360" w:lineRule="exact"/>
        <w:ind w:hanging="283" w:left="283"/>
        <w:jc w:val="both"/>
      </w:pPr>
      <w:r>
        <w:rPr>
          <w:rFonts w:ascii="Times New Roman" w:hAnsi="Times New Roman"/>
          <w:b/>
          <w:sz w:val="24"/>
        </w:rPr>
        <w:t xml:space="preserve">8.  </w:t>
      </w:r>
      <w:r>
        <w:rPr>
          <w:rFonts w:ascii="Times New Roman" w:hAnsi="Times New Roman"/>
          <w:sz w:val="24"/>
        </w:rPr>
        <w:t>The method of Claim 1, wherein the Relative Mahalanobis Distance RMD(x) is computed using Ledoit-Wolf trace shrinkage covariance regularization and Moore-Penrose pseudoinverse precision matrices contrasting class-conditional centroids against an unconditioned background feature centroid.</w:t>
      </w:r>
    </w:p>
    <w:p>
      <w:pPr>
        <w:spacing w:after="160" w:line="360" w:lineRule="exact"/>
        <w:ind w:hanging="283" w:left="283"/>
        <w:jc w:val="both"/>
      </w:pPr>
      <w:r>
        <w:rPr>
          <w:rFonts w:ascii="Times New Roman" w:hAnsi="Times New Roman"/>
          <w:b/>
          <w:sz w:val="24"/>
        </w:rPr>
        <w:t xml:space="preserve">9.  </w:t>
      </w:r>
      <w:r>
        <w:rPr>
          <w:rFonts w:ascii="Times New Roman" w:hAnsi="Times New Roman"/>
          <w:sz w:val="24"/>
        </w:rPr>
        <w:t>The method of Claim 1, further comprising: monitoring epistemic uncertainty variance across a plurality of stochastic Monte Carlo Dropout forward passes; detecting when said epistemic uncertainty variance fails to exhibit an increasing response to simulated or detected image acquisition degradation; and upon detecting such a failure of the expected noise-response behaviour, automatically escalating the associated scan to mandatory human clinical review, thereby providing a physics-grounded sensor integrity check that alerts the clinical routing system when uncertainty estimates decouple from acquisition degradation.</w:t>
      </w:r>
    </w:p>
    <w:p>
      <w:pPr>
        <w:spacing w:after="160" w:line="360" w:lineRule="exact"/>
        <w:ind w:hanging="283" w:left="283"/>
        <w:jc w:val="both"/>
      </w:pPr>
      <w:r>
        <w:rPr>
          <w:rFonts w:ascii="Times New Roman" w:hAnsi="Times New Roman"/>
          <w:b/>
          <w:sz w:val="24"/>
        </w:rPr>
        <w:t xml:space="preserve">10.  </w:t>
      </w:r>
      <w:r>
        <w:rPr>
          <w:rFonts w:ascii="Times New Roman" w:hAnsi="Times New Roman"/>
          <w:sz w:val="24"/>
        </w:rPr>
        <w:t>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160" w:line="360" w:lineRule="exact"/>
        <w:ind w:hanging="283" w:left="283"/>
        <w:jc w:val="both"/>
      </w:pPr>
      <w:r>
        <w:rPr>
          <w:rFonts w:ascii="Times New Roman" w:hAnsi="Times New Roman"/>
          <w:b/>
          <w:sz w:val="24"/>
        </w:rPr>
        <w:t xml:space="preserve">11.  </w:t>
      </w:r>
      <w:r>
        <w:rPr>
          <w:rFonts w:ascii="Times New Roman" w:hAnsi="Times New Roman"/>
          <w:sz w:val="24"/>
        </w:rPr>
        <w:t>The method of Claim 1, wherein pre-processing of computed tomography inputs generates a standardised three-channel tensor by simultaneously applying a brain window, a subdural window, and a bone window.</w:t>
      </w:r>
    </w:p>
    <w:p>
      <w:pPr>
        <w:spacing w:after="160" w:line="360" w:lineRule="exact"/>
        <w:ind w:hanging="283" w:left="283"/>
        <w:jc w:val="both"/>
      </w:pPr>
      <w:r>
        <w:rPr>
          <w:rFonts w:ascii="Times New Roman" w:hAnsi="Times New Roman"/>
          <w:b/>
          <w:sz w:val="24"/>
        </w:rPr>
        <w:t xml:space="preserve">12.  </w:t>
      </w:r>
      <w:r>
        <w:rPr>
          <w:rFonts w:ascii="Times New Roman" w:hAnsi="Times New Roman"/>
          <w:sz w:val="24"/>
        </w:rPr>
        <w:t>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160" w:line="360" w:lineRule="exact"/>
        <w:ind w:hanging="283" w:left="283"/>
        <w:jc w:val="both"/>
      </w:pPr>
      <w:r>
        <w:rPr>
          <w:rFonts w:ascii="Times New Roman" w:hAnsi="Times New Roman"/>
          <w:b/>
          <w:sz w:val="24"/>
        </w:rPr>
        <w:t xml:space="preserve">13.  </w:t>
      </w:r>
      <w:r>
        <w:rPr>
          <w:rFonts w:ascii="Times New Roman" w:hAnsi="Times New Roman"/>
          <w:sz w:val="24"/>
        </w:rPr>
        <w:t>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160" w:line="360" w:lineRule="exact"/>
        <w:ind w:hanging="283" w:left="283"/>
        <w:jc w:val="both"/>
      </w:pPr>
      <w:r>
        <w:rPr>
          <w:rFonts w:ascii="Times New Roman" w:hAnsi="Times New Roman"/>
          <w:b/>
          <w:sz w:val="24"/>
        </w:rPr>
        <w:t xml:space="preserve">14.  </w:t>
      </w:r>
      <w:r>
        <w:rPr>
          <w:rFonts w:ascii="Times New Roman" w:hAnsi="Times New Roman"/>
          <w:sz w:val="24"/>
        </w:rPr>
        <w:t>The method of Claim 1, wherein all clinical triage decisions, conformal scores, explainability maps, and clinician sign-off actions are logged to an immutable audit trail using SHA-256 hash chaining and periodic Merkle tree verification.</w:t>
      </w:r>
    </w:p>
    <w:p>
      <w:pPr>
        <w:spacing w:after="160" w:line="360" w:lineRule="exact"/>
        <w:ind w:hanging="283" w:left="283"/>
        <w:jc w:val="both"/>
      </w:pPr>
      <w:r>
        <w:rPr>
          <w:rFonts w:ascii="Times New Roman" w:hAnsi="Times New Roman"/>
          <w:b/>
          <w:sz w:val="24"/>
        </w:rPr>
        <w:t xml:space="preserve">15.  </w:t>
      </w:r>
      <w:r>
        <w:rPr>
          <w:rFonts w:ascii="Times New Roman" w:hAnsi="Times New Roman"/>
          <w:sz w:val="24"/>
        </w:rPr>
        <w:t>A clinical artificial intelligence computing apparatus for automated diagnostic triage and safety assurance, comprising physical hardware components: at least one hardware processor coupled to a physical medical imaging interface and to a PACS/worklist server; a medical imaging interface configured to receive digital medical imaging studies via DICOM, HL7, or FHIR protocols from physical imaging scanners and Picture Archiving and Communication System (PACS) servers; a deep neural network inference engine stored in memory and executable by the at least one processor; a zero-label adaptive batch normalisation module configured to update running mean and variance statistics of the deep neural network using unannotated imaging studies from a target clinical environment while weights remain frozen; a split conformal risk control module configured to enforce a pre-specified expected false negative triage error bound under exchangeability; an explainability engine configured to generate anatomically masked spatial attribution maps suppressing non-parenchymal bone artifacts; and a relational database enforcing foreign key constraints and signature metadata validation, wherein dispatch of prioritised clinical alerts is blocked absent authorised clinician sign-off recorded with signature metadata.</w:t>
      </w:r>
    </w:p>
    <w:p>
      <w:pPr>
        <w:spacing w:after="160" w:line="360" w:lineRule="exact"/>
        <w:ind w:hanging="283" w:left="283"/>
        <w:jc w:val="both"/>
      </w:pPr>
      <w:r>
        <w:rPr>
          <w:rFonts w:ascii="Times New Roman" w:hAnsi="Times New Roman"/>
          <w:b/>
          <w:sz w:val="24"/>
        </w:rPr>
        <w:t xml:space="preserve">16.  </w:t>
      </w:r>
      <w:r>
        <w:rPr>
          <w:rFonts w:ascii="Times New Roman" w:hAnsi="Times New Roman"/>
          <w:sz w:val="24"/>
        </w:rPr>
        <w:t>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160" w:line="360" w:lineRule="exact"/>
        <w:ind w:hanging="283" w:left="283"/>
        <w:jc w:val="both"/>
      </w:pPr>
      <w:r>
        <w:rPr>
          <w:rFonts w:ascii="Times New Roman" w:hAnsi="Times New Roman"/>
          <w:b/>
          <w:sz w:val="24"/>
        </w:rPr>
        <w:t xml:space="preserve">17.  </w:t>
      </w:r>
      <w:r>
        <w:rPr>
          <w:rFonts w:ascii="Times New Roman" w:hAnsi="Times New Roman"/>
          <w:sz w:val="24"/>
        </w:rPr>
        <w:t>The system of Claim 15, configured as a sovereign cloud cluster deployed within a sovereign cloud tenancy, comprising a GPU container pool, a tenant-isolated encrypted database, and a web application firewall.</w:t>
      </w:r>
    </w:p>
    <w:p>
      <w:pPr>
        <w:spacing w:after="160" w:line="360" w:lineRule="exact"/>
        <w:ind w:hanging="283" w:left="283"/>
        <w:jc w:val="both"/>
      </w:pPr>
      <w:r>
        <w:rPr>
          <w:rFonts w:ascii="Times New Roman" w:hAnsi="Times New Roman"/>
          <w:b/>
          <w:sz w:val="24"/>
        </w:rPr>
        <w:t xml:space="preserve">18.  </w:t>
      </w:r>
      <w:r>
        <w:rPr>
          <w:rFonts w:ascii="Times New Roman" w:hAnsi="Times New Roman"/>
          <w:sz w:val="24"/>
        </w:rPr>
        <w:t>A non-transitory computer-readable storage medium comprising instructions that, when executed by one or more processors of a medical computing device, cause the device to perform the method of Claim 1.</w:t>
      </w:r>
    </w:p>
    <w:p>
      <w:pPr>
        <w:spacing w:after="160" w:line="360" w:lineRule="exact"/>
        <w:ind w:hanging="283" w:left="283"/>
        <w:jc w:val="both"/>
      </w:pPr>
      <w:r>
        <w:rPr>
          <w:rFonts w:ascii="Times New Roman" w:hAnsi="Times New Roman"/>
          <w:b/>
          <w:sz w:val="24"/>
        </w:rPr>
        <w:t xml:space="preserve">19.  </w:t>
      </w:r>
      <w:r>
        <w:rPr>
          <w:rFonts w:ascii="Times New Roman" w:hAnsi="Times New Roman"/>
          <w:sz w:val="24"/>
        </w:rPr>
        <w:t>A computer program product comprising software code portions for executing the steps of Claim 1 when run on a clinical decision support workstation.</w:t>
      </w:r>
    </w:p>
    <w:p>
      <w:pPr>
        <w:spacing w:after="160" w:line="360" w:lineRule="exact"/>
        <w:ind w:hanging="283" w:left="283"/>
        <w:jc w:val="both"/>
      </w:pPr>
      <w:r>
        <w:rPr>
          <w:rFonts w:ascii="Times New Roman" w:hAnsi="Times New Roman"/>
          <w:b/>
          <w:sz w:val="24"/>
        </w:rPr>
        <w:t xml:space="preserve">20.  </w:t>
      </w:r>
      <w:r>
        <w:rPr>
          <w:rFonts w:ascii="Times New Roman" w:hAnsi="Times New Roman"/>
          <w:sz w:val="24"/>
        </w:rPr>
        <w:t>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p>
      <w:pPr>
        <w:spacing w:after="160" w:line="360" w:lineRule="exact"/>
        <w:ind w:hanging="283" w:left="283"/>
        <w:jc w:val="both"/>
      </w:pPr>
      <w:r>
        <w:rPr>
          <w:rFonts w:ascii="Times New Roman" w:hAnsi="Times New Roman"/>
          <w:b/>
          <w:sz w:val="24"/>
        </w:rPr>
        <w:t xml:space="preserve">21.  </w:t>
      </w:r>
      <w:r>
        <w:rPr>
          <w:rFonts w:ascii="Times New Roman" w:hAnsi="Times New Roman"/>
          <w:sz w:val="24"/>
        </w:rPr>
        <w:t>A computer-implemented method for generating a clinically interpretable attribution map for deep neural network-based intracranial haemorrhage detection in non-contrast computed tomography (CT) imaging, the method comprising: computing element-wise gradient-weighted class activation mapping (HiResCAM) over a final convolutional feature map layer of a convolutional neural network by multiplying element-wise the gradient of a predicted class score with respect to each spatial feature map activation by the corresponding activation value, without global spatial pooling; generating a parenchymal anatomical mask by thresholding CT voxels to a Hounsfield Unit range of 0 to +85 HU, thereby excluding calvarial bone (+500 to +1500 HU) and air (below -100 HU) from the attribution domain; applying said parenchymal mask to said HiResCAM activation map by element-wise multiplication, thereby suppressing gradient contributions from high-attenuation bone structures that do not contribute to haemorrhage pathology; and normalising the resulting masked attribution map to produce a bone-artifact-suppressed saliency overlay for radiological review.</w:t>
      </w:r>
    </w:p>
    <w:p>
      <w:pPr>
        <w:spacing w:after="160" w:line="360" w:lineRule="exact"/>
        <w:ind w:hanging="283" w:left="283"/>
        <w:jc w:val="both"/>
      </w:pPr>
      <w:r>
        <w:rPr>
          <w:rFonts w:ascii="Times New Roman" w:hAnsi="Times New Roman"/>
          <w:b/>
          <w:sz w:val="24"/>
        </w:rPr>
        <w:t xml:space="preserve">22.  </w:t>
      </w:r>
      <w:r>
        <w:rPr>
          <w:rFonts w:ascii="Times New Roman" w:hAnsi="Times New Roman"/>
          <w:sz w:val="24"/>
        </w:rPr>
        <w:t>The method of Claim 1, wherein: (a) adapting batch normalisation statistics via zero-label adaptive batch normalisation in step (b) standardizes internal feature map distributions across target scanner acquisitions in relation to the split conformal risk control prediction gate of step (d); (b) the out-of-distribution score of step (c) is computed over penultimate feature vectors extracted following said batch normalisation adaptation, so that scanner-induced covariate shifts are less likely to distort background-relative Mahalanobis distance calculation; and (c) the explainable spatial saliency map generated in step (f) is coupled to a multi-layer metacognition engine to verify attribution coherence against segmented soft-tissue intracranial structures to reduce the risk of calvarial bone gradient artifacts corrupting downstream clinical routing decisions.</w:t>
      </w:r>
    </w:p>
    <w:p>
      <w:pPr>
        <w:spacing w:after="160" w:line="360" w:lineRule="exact"/>
        <w:ind w:hanging="283" w:left="283"/>
        <w:jc w:val="both"/>
      </w:pPr>
      <w:r>
        <w:rPr>
          <w:rFonts w:ascii="Times New Roman" w:hAnsi="Times New Roman"/>
          <w:b/>
          <w:sz w:val="24"/>
        </w:rPr>
        <w:t xml:space="preserve">23.  </w:t>
      </w:r>
      <w:r>
        <w:rPr>
          <w:rFonts w:ascii="Times New Roman" w:hAnsi="Times New Roman"/>
          <w:sz w:val="24"/>
        </w:rPr>
        <w:t>The method of Claim 21, wherein generating the parenchymal anatomical mask further comprises executing morphological hole-filling and largest-connected-component isolation to segment an intracranial vault.</w:t>
      </w:r>
    </w:p>
    <w:p>
      <w:pPr>
        <w:spacing w:after="160" w:line="360" w:lineRule="exact"/>
        <w:ind w:hanging="283" w:left="283"/>
        <w:jc w:val="both"/>
      </w:pPr>
      <w:r>
        <w:rPr>
          <w:rFonts w:ascii="Times New Roman" w:hAnsi="Times New Roman"/>
          <w:b/>
          <w:sz w:val="24"/>
        </w:rPr>
        <w:t xml:space="preserve">24.  </w:t>
      </w:r>
      <w:r>
        <w:rPr>
          <w:rFonts w:ascii="Times New Roman" w:hAnsi="Times New Roman"/>
          <w:sz w:val="24"/>
        </w:rPr>
        <w:t>The method of Claim 21, wherein applying the parenchymal mask comprises applying a rectified linear unit (ReLU) activation to unpooled element-wise gradient-activation product feature maps prior to element-wise multiplication with the parenchymal anatomical mask.</w:t>
      </w:r>
    </w:p>
    <w:p>
      <w:pPr>
        <w:spacing w:after="160" w:line="360" w:lineRule="exact"/>
        <w:ind w:hanging="283" w:left="283"/>
        <w:jc w:val="both"/>
      </w:pPr>
      <w:r>
        <w:rPr>
          <w:rFonts w:ascii="Times New Roman" w:hAnsi="Times New Roman"/>
          <w:b/>
          <w:sz w:val="24"/>
        </w:rPr>
        <w:t xml:space="preserve">25.  </w:t>
      </w:r>
      <w:r>
        <w:rPr>
          <w:rFonts w:ascii="Times New Roman" w:hAnsi="Times New Roman"/>
          <w:sz w:val="24"/>
        </w:rPr>
        <w:t>The method of Claim 21, wherein the thresholding defines intracranial soft-tissue sub-ranges comprising brain parenchyma (20 to 40 HU), cerebrospinal fluid (0 to 15 HU), and acute haematoma (50 to 85 HU).</w:t>
      </w:r>
    </w:p>
    <w:p>
      <w:pPr>
        <w:spacing w:after="160" w:line="360" w:lineRule="exact"/>
        <w:ind w:hanging="283" w:left="283"/>
        <w:jc w:val="both"/>
      </w:pPr>
      <w:r>
        <w:rPr>
          <w:rFonts w:ascii="Times New Roman" w:hAnsi="Times New Roman"/>
          <w:b/>
          <w:sz w:val="24"/>
        </w:rPr>
        <w:t xml:space="preserve">26.  </w:t>
      </w:r>
      <w:r>
        <w:rPr>
          <w:rFonts w:ascii="Times New Roman" w:hAnsi="Times New Roman"/>
          <w:sz w:val="24"/>
        </w:rPr>
        <w:t>A computer-implemented system for safe diagnostic triage, comprising: (a) an adaptive batch normalisation module configured to update running mean and variance of a frozen-feature-extractor on unlabelled target images; (b) a relative Mahalanobis distance module configured to compute an out-of-distribution score over feature representations produced following adaptation in (a); (c) a split conformal risk control module configured to apply a threshold calibrated under exchangeability to bound conditional false-negative rate among positive studies; (d) an anatomically masked HiResCAM module configured to generate bone-artifact-suppressed attribution maps; and (e) a clinical routing module configured to combine outputs of (b),(c),(d) with database-enforced authorisation to gate dispatch of prioritised alerts, wherein the modules are co-arranged such that adaptation (a) conditions the representations used by (b),(c) and masked attribution (d) conditions inputs to metacognitive verification. parenchyma (20 to 40 HU), cerebrospinal fluid (0 to 15 HU), and acute haematoma (50 to 85 HU).</w:t>
      </w:r>
    </w:p>
    <w:p>
      <w:pPr>
        <w:spacing w:after="160" w:line="360" w:lineRule="exact"/>
        <w:ind w:hanging="283" w:left="283"/>
        <w:jc w:val="both"/>
      </w:pPr>
      <w:r>
        <w:rPr>
          <w:rFonts w:ascii="Times New Roman" w:hAnsi="Times New Roman"/>
          <w:b/>
          <w:sz w:val="24"/>
        </w:rPr>
        <w:t xml:space="preserve">26.  </w:t>
      </w:r>
      <w:r>
        <w:rPr>
          <w:rFonts w:ascii="Times New Roman" w:hAnsi="Times New Roman"/>
          <w:sz w:val="24"/>
        </w:rPr>
        <w:t>A clinical artificial intelligence computing system for distribution-free risk-controlled radiological triage, comprising: at least one hardware processor coupled to a physical medical imaging interface and to a PACS/worklist server; a medical imaging interface configured to receive non-contrast computed tomography imaging studies; a deep convolutional neural network feature extractor stored in memory and executable by the at least one processor; a zero-label adaptive batch normalisation module configured to update running mean and variance statistics of batch normalisation layers within the feature extractor using unannotated imaging studies from a target clinical scanner while convolutional filter weights remain frozen; an out-of-distribution detector configured to compute a Relative Mahalanobis Distance over penultimate feature representations extracted following batch normalisation adaptation by contrasting class-conditional centroids against an unconditioned background distribution; a split conformal prediction gate configured to evaluate acute triage risk using an empirical probability threshold calibrated to enforce a bounded conditional false-negative rate on feature representations standardized by said batch normalisation adaptation; a spatial attribution engine configured to compute element-wise gradient-activation product maps over final convolutional feature maps masked by an anatomical soft-tissue segmentation mask (0 to +85 Hounsfield Units) that excludes calvarial bone (+500 to +2000 Hounsfield Units); a multi-layer safety engine configured to verify attribution coherence between the masked spatial attribution map and segmented intracranial soft tissue; and a clinical dispatch controller configured to route imaging studies to emergency or routine clinical review based on joint evaluation of the out-of-distribution detector, the split conformal prediction gate, and the multi-layer safety engine.</w:t>
      </w:r>
    </w:p>
    <w:p>
      <w:r>
        <w:br w:type="page"/>
      </w:r>
    </w:p>
    <w:p>
      <w:pPr>
        <w:spacing w:line="240" w:lineRule="auto" w:before="0" w:after="120"/>
        <w:jc w:val="center"/>
      </w:pPr>
      <w:r>
        <w:rPr>
          <w:rFonts w:ascii="Times New Roman" w:hAnsi="Times New Roman"/>
          <w:b/>
          <w:sz w:val="22"/>
        </w:rPr>
        <w:t>PATENT DRAWINGS SHEET 1/8</w:t>
        <w:br/>
        <w:t>FIG. 1: HIGH-LEVEL SYSTEM ARCHITECTURE &amp; 7-LAYER SAFETY PIPELINE</w:t>
      </w:r>
    </w:p>
    <w:p>
      <w:pPr>
        <w:spacing w:line="240" w:lineRule="auto" w:before="0" w:after="0"/>
        <w:jc w:val="center"/>
      </w:pPr>
      <w:r>
        <w:drawing>
          <wp:inline xmlns:a="http://schemas.openxmlformats.org/drawingml/2006/main" xmlns:pic="http://schemas.openxmlformats.org/drawingml/2006/picture">
            <wp:extent cx="4937760" cy="6308013"/>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2/8</w:t>
        <w:br/>
        <w:t>FIG. 2: SPLIT CONFORMAL RISK CONTROL CALIBRATION &amp; INFERENCE</w:t>
      </w:r>
    </w:p>
    <w:p>
      <w:pPr>
        <w:spacing w:line="240" w:lineRule="auto" w:before="0" w:after="0"/>
        <w:jc w:val="center"/>
      </w:pPr>
      <w:r>
        <w:drawing>
          <wp:inline xmlns:a="http://schemas.openxmlformats.org/drawingml/2006/main" xmlns:pic="http://schemas.openxmlformats.org/drawingml/2006/picture">
            <wp:extent cx="4937760" cy="6308013"/>
            <wp:docPr id="2" name="Picture 2"/>
            <wp:cNvGraphicFramePr>
              <a:graphicFrameLocks noChangeAspect="1"/>
            </wp:cNvGraphicFramePr>
            <a:graphic>
              <a:graphicData uri="http://schemas.openxmlformats.org/drawingml/2006/picture">
                <pic:pic>
                  <pic:nvPicPr>
                    <pic:cNvPr id="0" name="fig2_conformal_calibration.png"/>
                    <pic:cNvPicPr/>
                  </pic:nvPicPr>
                  <pic:blipFill>
                    <a:blip r:embed="rId10"/>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3/8</w:t>
        <w:br/>
        <w:t>FIG. 3: ZERO-LABEL ADAPTIVE BATCH NORMALISATION (AdaBN)</w:t>
      </w:r>
    </w:p>
    <w:p>
      <w:pPr>
        <w:spacing w:line="240" w:lineRule="auto" w:before="0" w:after="0"/>
        <w:jc w:val="center"/>
      </w:pPr>
      <w:r>
        <w:drawing>
          <wp:inline xmlns:a="http://schemas.openxmlformats.org/drawingml/2006/main" xmlns:pic="http://schemas.openxmlformats.org/drawingml/2006/picture">
            <wp:extent cx="4937760" cy="6308013"/>
            <wp:docPr id="3" name="Picture 3"/>
            <wp:cNvGraphicFramePr>
              <a:graphicFrameLocks noChangeAspect="1"/>
            </wp:cNvGraphicFramePr>
            <a:graphic>
              <a:graphicData uri="http://schemas.openxmlformats.org/drawingml/2006/picture">
                <pic:pic>
                  <pic:nvPicPr>
                    <pic:cNvPr id="0" name="fig3_adabn_mechanism.png"/>
                    <pic:cNvPicPr/>
                  </pic:nvPicPr>
                  <pic:blipFill>
                    <a:blip r:embed="rId11"/>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4/8</w:t>
        <w:br/>
        <w:t>FIG. 4: ANATOMICALLY MASKED HiResCAM ATTRIBUTION</w:t>
      </w:r>
    </w:p>
    <w:p>
      <w:pPr>
        <w:spacing w:line="240" w:lineRule="auto" w:before="0" w:after="0"/>
        <w:jc w:val="center"/>
      </w:pPr>
      <w:r>
        <w:drawing>
          <wp:inline xmlns:a="http://schemas.openxmlformats.org/drawingml/2006/main" xmlns:pic="http://schemas.openxmlformats.org/drawingml/2006/picture">
            <wp:extent cx="4937760" cy="6308013"/>
            <wp:docPr id="4" name="Picture 4"/>
            <wp:cNvGraphicFramePr>
              <a:graphicFrameLocks noChangeAspect="1"/>
            </wp:cNvGraphicFramePr>
            <a:graphic>
              <a:graphicData uri="http://schemas.openxmlformats.org/drawingml/2006/picture">
                <pic:pic>
                  <pic:nvPicPr>
                    <pic:cNvPr id="0" name="fig4_masked_hirescam.png"/>
                    <pic:cNvPicPr/>
                  </pic:nvPicPr>
                  <pic:blipFill>
                    <a:blip r:embed="rId12"/>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5/8</w:t>
        <w:br/>
        <w:t>FIG. 5: EPISTEMIC UNCERTAINTY VARIANCE MONOTONICITY</w:t>
      </w:r>
    </w:p>
    <w:p>
      <w:pPr>
        <w:spacing w:line="240" w:lineRule="auto" w:before="0" w:after="0"/>
        <w:jc w:val="center"/>
      </w:pPr>
      <w:r>
        <w:drawing>
          <wp:inline xmlns:a="http://schemas.openxmlformats.org/drawingml/2006/main" xmlns:pic="http://schemas.openxmlformats.org/drawingml/2006/picture">
            <wp:extent cx="4937760" cy="6308013"/>
            <wp:docPr id="5" name="Picture 5"/>
            <wp:cNvGraphicFramePr>
              <a:graphicFrameLocks noChangeAspect="1"/>
            </wp:cNvGraphicFramePr>
            <a:graphic>
              <a:graphicData uri="http://schemas.openxmlformats.org/drawingml/2006/picture">
                <pic:pic>
                  <pic:nvPicPr>
                    <pic:cNvPr id="0" name="fig5_uncertainty_monotonicity.png"/>
                    <pic:cNvPicPr/>
                  </pic:nvPicPr>
                  <pic:blipFill>
                    <a:blip r:embed="rId13"/>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6/8</w:t>
        <w:br/>
        <w:t>FIG. 6: STROKE CODE AUTOMATED MULTI-CHANNEL DISPATCH</w:t>
      </w:r>
    </w:p>
    <w:p>
      <w:pPr>
        <w:spacing w:line="240" w:lineRule="auto" w:before="0" w:after="0"/>
        <w:jc w:val="center"/>
      </w:pPr>
      <w:r>
        <w:drawing>
          <wp:inline xmlns:a="http://schemas.openxmlformats.org/drawingml/2006/main" xmlns:pic="http://schemas.openxmlformats.org/drawingml/2006/picture">
            <wp:extent cx="4937760" cy="6308013"/>
            <wp:docPr id="6" name="Picture 6"/>
            <wp:cNvGraphicFramePr>
              <a:graphicFrameLocks noChangeAspect="1"/>
            </wp:cNvGraphicFramePr>
            <a:graphic>
              <a:graphicData uri="http://schemas.openxmlformats.org/drawingml/2006/picture">
                <pic:pic>
                  <pic:nvPicPr>
                    <pic:cNvPr id="0" name="fig6_stroke_code_dispatch.png"/>
                    <pic:cNvPicPr/>
                  </pic:nvPicPr>
                  <pic:blipFill>
                    <a:blip r:embed="rId14"/>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7/8</w:t>
        <w:br/>
        <w:t>FIG. 7: SOVEREIGN DUAL-PATH DEPLOYMENT ARCHITECTURE</w:t>
      </w:r>
    </w:p>
    <w:p>
      <w:pPr>
        <w:spacing w:line="240" w:lineRule="auto" w:before="0" w:after="0"/>
        <w:jc w:val="center"/>
      </w:pPr>
      <w:r>
        <w:drawing>
          <wp:inline xmlns:a="http://schemas.openxmlformats.org/drawingml/2006/main" xmlns:pic="http://schemas.openxmlformats.org/drawingml/2006/picture">
            <wp:extent cx="4937760" cy="6308013"/>
            <wp:docPr id="7" name="Picture 7"/>
            <wp:cNvGraphicFramePr>
              <a:graphicFrameLocks noChangeAspect="1"/>
            </wp:cNvGraphicFramePr>
            <a:graphic>
              <a:graphicData uri="http://schemas.openxmlformats.org/drawingml/2006/picture">
                <pic:pic>
                  <pic:nvPicPr>
                    <pic:cNvPr id="0" name="fig7_sovereign_deployment.png"/>
                    <pic:cNvPicPr/>
                  </pic:nvPicPr>
                  <pic:blipFill>
                    <a:blip r:embed="rId15"/>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8/8</w:t>
        <w:br/>
        <w:t>FIG. 8: MULTI-MODAL EMERGENCY RADIOLOGY TRIAGE PIPELINE</w:t>
      </w:r>
    </w:p>
    <w:p>
      <w:pPr>
        <w:spacing w:line="240" w:lineRule="auto" w:before="0" w:after="0"/>
        <w:jc w:val="center"/>
      </w:pPr>
      <w:r>
        <w:drawing>
          <wp:inline xmlns:a="http://schemas.openxmlformats.org/drawingml/2006/main" xmlns:pic="http://schemas.openxmlformats.org/drawingml/2006/picture">
            <wp:extent cx="4937760" cy="6240580"/>
            <wp:docPr id="8" name="Picture 8"/>
            <wp:cNvGraphicFramePr>
              <a:graphicFrameLocks noChangeAspect="1"/>
            </wp:cNvGraphicFramePr>
            <a:graphic>
              <a:graphicData uri="http://schemas.openxmlformats.org/drawingml/2006/picture">
                <pic:pic>
                  <pic:nvPicPr>
                    <pic:cNvPr id="0" name="fig8_multimodal_expansion.png"/>
                    <pic:cNvPicPr/>
                  </pic:nvPicPr>
                  <pic:blipFill>
                    <a:blip r:embed="rId16"/>
                    <a:stretch>
                      <a:fillRect/>
                    </a:stretch>
                  </pic:blipFill>
                  <pic:spPr>
                    <a:xfrm>
                      <a:off x="0" y="0"/>
                      <a:ext cx="4937760" cy="6240580"/>
                    </a:xfrm>
                    <a:prstGeom prst="rect"/>
                  </pic:spPr>
                </pic:pic>
              </a:graphicData>
            </a:graphic>
          </wp:inline>
        </w:drawing>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