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5607F" w14:textId="77777777" w:rsidR="00B50727" w:rsidRDefault="00B50727">
      <w:r>
        <w:t>**REVIEW OF REVISED DRAFT (v2) — DELTA ASSESSMENT**</w:t>
      </w:r>
    </w:p>
    <w:p w14:paraId="57B3971E" w14:textId="77777777" w:rsidR="00B50727" w:rsidRDefault="00B50727">
      <w:r>
        <w:t>*(Simulated attorney analysis; not legal advice. I have compared v2 against both v1 and my earlier opinion, and verified the DOCX/PDF package consistency.)*</w:t>
      </w:r>
    </w:p>
    <w:p w14:paraId="1FB92F79" w14:textId="77777777" w:rsidR="00B50727" w:rsidRDefault="00B50727">
      <w:pPr>
        <w:pBdr>
          <w:bottom w:val="single" w:sz="6" w:space="1" w:color="auto"/>
        </w:pBdr>
      </w:pPr>
    </w:p>
    <w:p w14:paraId="3A3899CC" w14:textId="77777777" w:rsidR="00B50727" w:rsidRDefault="00B50727"/>
    <w:p w14:paraId="2871072B" w14:textId="77777777" w:rsidR="00B50727" w:rsidRDefault="00B50727">
      <w:r>
        <w:t>### 0. Package integrity</w:t>
      </w:r>
    </w:p>
    <w:p w14:paraId="132CD138" w14:textId="77777777" w:rsidR="00B50727" w:rsidRDefault="00B50727"/>
    <w:p w14:paraId="39630798" w14:textId="73CB65CB" w:rsidR="00B50727" w:rsidRDefault="00B50727">
      <w:r>
        <w:t>Checked: the 8 drawing sheets in `With_Drawings-2.docx` and the -2 PDF are **pixel-identical** (same sizes as before; 7× 2036×2601, sheet 8 at 2058×2601, zero differing pixels). The -2 PDF now carries the full specification plus drawings (28 pages). One stylistic flag: the PDF footers say “STOREGRILL INC LTD — CONFIDENTIAL”; a document you intend to file at the UKIPO will publish at 18 months. “Confidential” markings are pointless and slightly incongruous.</w:t>
      </w:r>
    </w:p>
    <w:p w14:paraId="2727192D" w14:textId="77777777" w:rsidR="00B50727" w:rsidRDefault="00B50727"/>
    <w:p w14:paraId="21FDADB7" w14:textId="77777777" w:rsidR="00B50727" w:rsidRDefault="00B50727">
      <w:r>
        <w:t>### 1. What v2 changes — and whether it lands</w:t>
      </w:r>
    </w:p>
    <w:p w14:paraId="1BFDFB35" w14:textId="77777777" w:rsidR="00B50727" w:rsidRDefault="00B50727"/>
    <w:p w14:paraId="799ADCCB" w14:textId="77777777" w:rsidR="00B50727" w:rsidRDefault="00B50727">
      <w:r>
        <w:t>| Change from v1 | Verdict |</w:t>
      </w:r>
    </w:p>
    <w:tbl>
      <w:tblPr>
        <w:tblStyle w:val="TableGrid"/>
        <w:tblW w:w="0" w:type="auto"/>
        <w:tblInd w:w="27" w:type="dxa"/>
        <w:tblLook w:val="0000" w:firstRow="0" w:lastRow="0" w:firstColumn="0" w:lastColumn="0" w:noHBand="0" w:noVBand="0"/>
      </w:tblPr>
      <w:tblGrid>
        <w:gridCol w:w="410"/>
        <w:gridCol w:w="409"/>
      </w:tblGrid>
      <w:tr w:rsidR="00B50727" w14:paraId="1A706CE8" w14:textId="77777777">
        <w:tc>
          <w:tcPr>
            <w:tcW w:w="410" w:type="dxa"/>
          </w:tcPr>
          <w:p w14:paraId="0FA1F11D" w14:textId="77777777" w:rsidR="00B50727" w:rsidRDefault="00B50727"/>
        </w:tc>
        <w:tc>
          <w:tcPr>
            <w:tcW w:w="409" w:type="dxa"/>
          </w:tcPr>
          <w:p w14:paraId="52AB8DEC" w14:textId="77777777" w:rsidR="00B50727" w:rsidRDefault="00B50727"/>
        </w:tc>
      </w:tr>
    </w:tbl>
    <w:p w14:paraId="5D82E68B" w14:textId="77777777" w:rsidR="00B50727" w:rsidRDefault="00B50727">
      <w:r>
        <w:t>| Worked example de-duplicated; cross-reference to §7.4 | ✅ Fixed |</w:t>
      </w:r>
    </w:p>
    <w:p w14:paraId="01D33EA9" w14:textId="34109CC8" w:rsidR="00B50727" w:rsidRDefault="00B50727">
      <w:r>
        <w:t>| “Engineering Hypothesis” → “Technical Mechanism” (§7.2) | ✅ Fixed rhetorically |</w:t>
      </w:r>
    </w:p>
    <w:p w14:paraId="20179CE8" w14:textId="2A6727FD" w:rsidR="00B50727" w:rsidRDefault="00B50727">
      <w:r>
        <w:t>| §7.4 “Threshold reconciliation” paragraph (λ=0.0753 theoretical supremum vs λ=0.0298 deployed) | ✅ Mostly fixed — but creates a new claim/spec tension, see §3.2 |</w:t>
      </w:r>
    </w:p>
    <w:p w14:paraId="44EB3D03" w14:textId="77777777" w:rsidR="00B50727" w:rsidRDefault="00B50727">
      <w:r>
        <w:t xml:space="preserve">| New §5(7) + §7.7 synergy sections (exchangeability maintenance; RMD preconditioning; </w:t>
      </w:r>
      <w:proofErr w:type="spellStart"/>
      <w:r>
        <w:t>attribution→metacognition</w:t>
      </w:r>
      <w:proofErr w:type="spellEnd"/>
      <w:r>
        <w:t xml:space="preserve"> coupling; orthogonal failure-mode partitioning)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The right strategy, wrong execution — see §2 |</w:t>
      </w:r>
    </w:p>
    <w:p w14:paraId="0F906692" w14:textId="77777777" w:rsidR="00B50727" w:rsidRDefault="00B50727">
      <w:r>
        <w:t xml:space="preserve">| Claim 9 rewritten as a *mechanism* (sensor-integrity escalation on monotonicity failure)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Improved, but two residual defects — see §3.1 |</w:t>
      </w:r>
    </w:p>
    <w:p w14:paraId="31BBB7A5" w14:textId="77777777" w:rsidR="00B50727" w:rsidRDefault="00B50727">
      <w:r>
        <w:t>| New Claim 21: independent masked-</w:t>
      </w:r>
      <w:proofErr w:type="spellStart"/>
      <w:r>
        <w:t>HiResCAM</w:t>
      </w:r>
      <w:proofErr w:type="spellEnd"/>
      <w:r>
        <w:t xml:space="preserve"> method claim | ✅ Right strategic move, needs tightening — see §3.3 |</w:t>
      </w:r>
    </w:p>
    <w:p w14:paraId="09810F29" w14:textId="77777777" w:rsidR="00B50727" w:rsidRDefault="00B50727">
      <w:r>
        <w:t xml:space="preserve">| New Claim 22: synergy/coupling claim |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t>️ Dependent on Claim 1; see §3.4 |</w:t>
      </w:r>
    </w:p>
    <w:p w14:paraId="372F3FAF" w14:textId="77777777" w:rsidR="00B50727" w:rsidRDefault="00B50727"/>
    <w:p w14:paraId="2AAAE15C" w14:textId="77777777" w:rsidR="00B50727" w:rsidRDefault="00B50727">
      <w:r>
        <w:t>### 2. The synergy sections: helpful, but currently an assertion, not an argument</w:t>
      </w:r>
    </w:p>
    <w:p w14:paraId="78945684" w14:textId="77777777" w:rsidR="00B50727" w:rsidRDefault="00B50727"/>
    <w:p w14:paraId="6DC80CD2" w14:textId="77777777" w:rsidR="00B50727" w:rsidRDefault="00B50727">
      <w:r>
        <w:t>2.1 §7.7 correctly identifies the only viable inventive-step narrative under *</w:t>
      </w:r>
      <w:proofErr w:type="spellStart"/>
      <w:r>
        <w:t>Pozzoli</w:t>
      </w:r>
      <w:proofErr w:type="spellEnd"/>
      <w:r>
        <w:t>*: not the integers, but the **functional interdependence**. This is exactly where the case must be fought. However:</w:t>
      </w:r>
    </w:p>
    <w:p w14:paraId="2EA0D2B2" w14:textId="77777777" w:rsidR="00B50727" w:rsidRDefault="00B50727"/>
    <w:p w14:paraId="6ABFBA9F" w14:textId="39B4A2A9" w:rsidR="00B50727" w:rsidRDefault="00B50727">
      <w:r>
        <w:t xml:space="preserve">2.2 **There is no synergy data.** §7.7 asserts that </w:t>
      </w:r>
      <w:proofErr w:type="spellStart"/>
      <w:r>
        <w:t>AdaBN</w:t>
      </w:r>
      <w:proofErr w:type="spellEnd"/>
      <w:r>
        <w:t xml:space="preserve"> “technically preserves the exchangeability assumption” for the conformal gate, that </w:t>
      </w:r>
      <w:proofErr w:type="spellStart"/>
      <w:r>
        <w:t>AdaBN</w:t>
      </w:r>
      <w:proofErr w:type="spellEnd"/>
      <w:r>
        <w:t xml:space="preserve"> prevents scanner shift from “distorting” RMD, and that masked attribution “directly enables” Layer-4 metacognitive verification. The specification contains no measurement for any of these couplings. What would move the needle:</w:t>
      </w:r>
    </w:p>
    <w:p w14:paraId="58675C4C" w14:textId="77777777" w:rsidR="00B50727" w:rsidRDefault="00B50727">
      <w:r>
        <w:t xml:space="preserve">- conformal threshold validity / coverage across the 3 CQ500 centres **with vs without** </w:t>
      </w:r>
      <w:proofErr w:type="spellStart"/>
      <w:r>
        <w:t>AdaBN</w:t>
      </w:r>
      <w:proofErr w:type="spellEnd"/>
      <w:r>
        <w:t>;</w:t>
      </w:r>
    </w:p>
    <w:p w14:paraId="104CB717" w14:textId="77777777" w:rsidR="00B50727" w:rsidRDefault="00B50727">
      <w:r>
        <w:t xml:space="preserve">- RMD false-escalation rate on adapted vs </w:t>
      </w:r>
      <w:proofErr w:type="spellStart"/>
      <w:r>
        <w:t>unadapted</w:t>
      </w:r>
      <w:proofErr w:type="spellEnd"/>
      <w:r>
        <w:t xml:space="preserve"> features;</w:t>
      </w:r>
    </w:p>
    <w:p w14:paraId="6A189AE9" w14:textId="77777777" w:rsidR="00B50727" w:rsidRDefault="00B50727">
      <w:r>
        <w:t>- Layer-4 attribution-coherence accuracy with masked vs unmasked saliency maps.</w:t>
      </w:r>
    </w:p>
    <w:p w14:paraId="4CFBC744" w14:textId="77777777" w:rsidR="00B50727" w:rsidRDefault="00B50727"/>
    <w:p w14:paraId="721867BF" w14:textId="3D127EED" w:rsidR="00B50727" w:rsidRDefault="00B50727">
      <w:r>
        <w:t xml:space="preserve">Without this, §7.7 is rhetoric, and — worse — **it hands the examiner the obviousness case on a plate**: it documents that conformal risk control has a known exchangeability precondition (Bates et al.), that covariate shift breaks it, and that </w:t>
      </w:r>
      <w:proofErr w:type="spellStart"/>
      <w:r>
        <w:t>AdaBN</w:t>
      </w:r>
      <w:proofErr w:type="spellEnd"/>
      <w:r>
        <w:t xml:space="preserve"> is the known fix. “Apply known solution B to known problem of known method A” is textbook obviousness absent an unexpected interaction. Either generate the coupling data or soften §7.7 from claimed fact to motivation with the data located elsewhere.</w:t>
      </w:r>
    </w:p>
    <w:p w14:paraId="2D5107BE" w14:textId="77777777" w:rsidR="00B50727" w:rsidRDefault="00B50727"/>
    <w:p w14:paraId="18A2D985" w14:textId="1B65DBCA" w:rsidR="00B50727" w:rsidRDefault="00B50727">
      <w:r>
        <w:t>2.3 The reframing of the 2/6 interception audit as “orthogonal failure-mode partitioning rather than an impenetrable catch-all” is legally the best available use of a bad fact — keep it.</w:t>
      </w:r>
    </w:p>
    <w:p w14:paraId="3A7F8075" w14:textId="77777777" w:rsidR="00B50727" w:rsidRDefault="00B50727"/>
    <w:p w14:paraId="486FEABC" w14:textId="77777777" w:rsidR="00B50727" w:rsidRDefault="00B50727">
      <w:r>
        <w:t>### 3. Claim-level defects in the new drafting</w:t>
      </w:r>
    </w:p>
    <w:p w14:paraId="088D0D29" w14:textId="77777777" w:rsidR="00B50727" w:rsidRDefault="00B50727"/>
    <w:p w14:paraId="263E8FB9" w14:textId="77777777" w:rsidR="00B50727" w:rsidRDefault="00B50727">
      <w:r>
        <w:t>**3.1 Claim 9.** Two problems:</w:t>
      </w:r>
    </w:p>
    <w:p w14:paraId="491C7E07" w14:textId="37227DD2" w:rsidR="00B50727" w:rsidRDefault="00B50727">
      <w:r>
        <w:t>- (a) It recites “measured image acquisition noise level,” but the description discloses only *simulated* Gaussian noise on RSNA slices. No in-deployment noise estimator is described. This is a direct **s.14(5) support objection** waiting to happen. Either add a noise-estimation mechanism (e.g., phantom-based, projection-data, or high-frequency power metric) or recite “known/simulated acquisition noise level.”</w:t>
      </w:r>
    </w:p>
    <w:p w14:paraId="651BB9DE" w14:textId="6AFB2DB2" w:rsidR="00B50727" w:rsidRDefault="00B50727">
      <w:r>
        <w:t>- (b) It still embeds “rho = 0.9000 (p = 0.0374)” in the claim. Remove all experimental results from claims; they belong in the description only. They narrow scope for zero benefit.</w:t>
      </w:r>
    </w:p>
    <w:p w14:paraId="73B665FE" w14:textId="77777777" w:rsidR="00B50727" w:rsidRDefault="00B50727"/>
    <w:p w14:paraId="3773B424" w14:textId="5393D05D" w:rsidR="00B50727" w:rsidRDefault="00B50727">
      <w:r>
        <w:t>**3.2 Claims 1(d)/2 vs §7.4.** Claims recite selection of the **supremum**; §7.4 now says the claimed method “operates at the deployed threshold λ = 0.0298,” which is below the supremum (0.0753) via an unexplained “safety margin.” As drafted, your preferred embodiment arguably falls *outside* claim 2. Fix by either (</w:t>
      </w:r>
      <w:proofErr w:type="spellStart"/>
      <w:r>
        <w:t>i</w:t>
      </w:r>
      <w:proofErr w:type="spellEnd"/>
      <w:r>
        <w:t>) presenting λ=0.0298 explicitly as one non-limiting operating point of the claimed λ, or (ii) amending claim 2 to cover “said supremum or a threshold strictly less than said supremum.” Otherwise expect a clarity/support objection.</w:t>
      </w:r>
    </w:p>
    <w:p w14:paraId="6CD28E16" w14:textId="77777777" w:rsidR="00B50727" w:rsidRDefault="00B50727"/>
    <w:p w14:paraId="64A1C6FE" w14:textId="77777777" w:rsidR="00B50727" w:rsidRDefault="00B50727">
      <w:r>
        <w:t>**3.3 Claim 21.** Right claim, wrong finishing:</w:t>
      </w:r>
    </w:p>
    <w:p w14:paraId="2D5BF8C8" w14:textId="626E8E65" w:rsidR="00B50727" w:rsidRDefault="00B50727">
      <w:r>
        <w:t>- Delete the “wherein… demonstrated by improvement in pointing-game hit rate from 11.20% to 43.83%…” tail — test results in claims are scope-limiting and attract clarity objections.</w:t>
      </w:r>
    </w:p>
    <w:p w14:paraId="3C63E9D2" w14:textId="45483107" w:rsidR="00B50727" w:rsidRDefault="00B50727">
      <w:r>
        <w:t xml:space="preserve">- **Internal inconsistency:** claim recites </w:t>
      </w:r>
      <w:proofErr w:type="spellStart"/>
      <w:r>
        <w:t>calvarial</w:t>
      </w:r>
      <w:proofErr w:type="spellEnd"/>
      <w:r>
        <w:t xml:space="preserve"> bone as “+800 to +2000 HU”; §7.5 says “+500 to +1500 HU.” Harmonise.</w:t>
      </w:r>
    </w:p>
    <w:p w14:paraId="600DFCF9" w14:textId="28D0CB00" w:rsidR="00B50727" w:rsidRDefault="00B50727">
      <w:r>
        <w:t xml:space="preserve">- “Final activation layer” is loose — </w:t>
      </w:r>
      <w:proofErr w:type="spellStart"/>
      <w:r>
        <w:t>HiResCAM</w:t>
      </w:r>
      <w:proofErr w:type="spellEnd"/>
      <w:r>
        <w:t xml:space="preserve"> operates on the final **convolutional** feature maps. As written it could be construed (or </w:t>
      </w:r>
      <w:proofErr w:type="spellStart"/>
      <w:r>
        <w:t>mis</w:t>
      </w:r>
      <w:proofErr w:type="spellEnd"/>
      <w:r>
        <w:t>-construed) onto layers where CAMs don’t exist. Precision here is cheap.</w:t>
      </w:r>
    </w:p>
    <w:p w14:paraId="13AEB493" w14:textId="77777777" w:rsidR="00B50727" w:rsidRDefault="00B50727">
      <w:r>
        <w:t xml:space="preserve">- Consider dependent claims for: morphological hole-filling + largest-connected-component isolation; </w:t>
      </w:r>
      <w:proofErr w:type="spellStart"/>
      <w:r>
        <w:t>ReLU</w:t>
      </w:r>
      <w:proofErr w:type="spellEnd"/>
      <w:r>
        <w:t>-then-multiply ordering; the sub-ranges (parenchyma 20–40, CSF 0–15, acute haemorrhage 50–85); and coupling to the metacognition engine.</w:t>
      </w:r>
    </w:p>
    <w:p w14:paraId="30523642" w14:textId="77777777" w:rsidR="00B50727" w:rsidRDefault="00B50727"/>
    <w:p w14:paraId="5CF8470F" w14:textId="263B7882" w:rsidR="00B50727" w:rsidRDefault="00B50727">
      <w:r>
        <w:t xml:space="preserve">**3.4 Claim 22.** Dependent on Claim 1 — it only survives if Claim 1 does. If the </w:t>
      </w:r>
      <w:proofErr w:type="spellStart"/>
      <w:r>
        <w:t>fallback</w:t>
      </w:r>
      <w:proofErr w:type="spellEnd"/>
      <w:r>
        <w:t xml:space="preserve"> strategy is “narrow but allowable,” consider an independent claim reciting couplings (a)–(c). Also, “pre-aligns … to maintain exchangeability” is a functional assertion with no defined measurable criterion — support and clarity exposure.</w:t>
      </w:r>
    </w:p>
    <w:p w14:paraId="3BCAF66C" w14:textId="77777777" w:rsidR="00B50727" w:rsidRDefault="00B50727"/>
    <w:p w14:paraId="745C5D41" w14:textId="77777777" w:rsidR="00B50727" w:rsidRDefault="00B50727">
      <w:r>
        <w:t>### 4. What v2 does not touch (and remains decisive)</w:t>
      </w:r>
    </w:p>
    <w:p w14:paraId="16728685" w14:textId="77777777" w:rsidR="00B50727" w:rsidRDefault="00B50727"/>
    <w:p w14:paraId="429F5231" w14:textId="359BC386" w:rsidR="00B50727" w:rsidRDefault="00B50727">
      <w:r>
        <w:t>1. **Priority / self-disclosure.** Still the largest risk. Nothing in this revision addresses whether any conformal/</w:t>
      </w:r>
      <w:proofErr w:type="spellStart"/>
      <w:r>
        <w:t>AdaBN</w:t>
      </w:r>
      <w:proofErr w:type="spellEnd"/>
      <w:r>
        <w:t>/RMD/masked-attribution material was published between 25 April and the October filing. UK has no general grace period. **Audit the inventor’s publications, repositories, preprints and demos in that window before filing.** And confirm v2 is a *pre-filing* iteration: if the application was already submitted as v1, then §7.7, the §7.4 reconciliation, claims 21 and 22 are added matter.</w:t>
      </w:r>
    </w:p>
    <w:p w14:paraId="7520EC47" w14:textId="69E5710F" w:rsidR="00B50727" w:rsidRDefault="00B50727">
      <w:r>
        <w:t xml:space="preserve">2. **The conformal maths.** The substitution of </w:t>
      </w:r>
      <w:proofErr w:type="spellStart"/>
      <w:r>
        <w:t>n_pos</w:t>
      </w:r>
      <w:proofErr w:type="spellEnd"/>
      <w:r>
        <w:t xml:space="preserve"> into the Bates et al. Correction still needs independent statistical verification that the stated guarantee survives being conditioned on the positive subset.</w:t>
      </w:r>
    </w:p>
    <w:p w14:paraId="0B154EC4" w14:textId="77777777" w:rsidR="00B50727" w:rsidRDefault="00B50727">
      <w:r>
        <w:t>3. **s.1(2)/</w:t>
      </w:r>
      <w:proofErr w:type="spellStart"/>
      <w:r>
        <w:t>Aerotel</w:t>
      </w:r>
      <w:proofErr w:type="spellEnd"/>
      <w:r>
        <w:t>** position unchanged; Claim 9 and the CRC maths remain the most exposed integers.</w:t>
      </w:r>
    </w:p>
    <w:p w14:paraId="4B7B6921" w14:textId="77777777" w:rsidR="00B50727" w:rsidRDefault="00B50727">
      <w:r>
        <w:t>4. Component art (</w:t>
      </w:r>
      <w:proofErr w:type="spellStart"/>
      <w:r>
        <w:t>AdaBN</w:t>
      </w:r>
      <w:proofErr w:type="spellEnd"/>
      <w:r>
        <w:t>, RMD, conformal risk control, MC dropout) is unchanged — the revision was never going to change that; it was always going to be won or lost on coupling evidence and claim architecture.</w:t>
      </w:r>
    </w:p>
    <w:p w14:paraId="587CEC1B" w14:textId="77777777" w:rsidR="00B50727" w:rsidRDefault="00B50727"/>
    <w:p w14:paraId="4B7AAED6" w14:textId="77777777" w:rsidR="00B50727" w:rsidRDefault="00B50727">
      <w:r>
        <w:t>### 5. Recommended actions before filing</w:t>
      </w:r>
    </w:p>
    <w:p w14:paraId="3C921837" w14:textId="77777777" w:rsidR="00B50727" w:rsidRDefault="00B50727"/>
    <w:p w14:paraId="4BB7D2F7" w14:textId="77777777" w:rsidR="00B50727" w:rsidRDefault="00B50727">
      <w:r>
        <w:t>1. Add coupling experiments to §7.7 (even modest, clearly-labelled ones) or dilute the synergy assertions.</w:t>
      </w:r>
    </w:p>
    <w:p w14:paraId="66253787" w14:textId="03FDAC57" w:rsidR="00B50727" w:rsidRDefault="00B50727">
      <w:r>
        <w:t>2. Rewrite claim 9: remove results; add or delete the “measured noise” limitation.</w:t>
      </w:r>
    </w:p>
    <w:p w14:paraId="3CD0222A" w14:textId="77777777" w:rsidR="00B50727" w:rsidRDefault="00B50727">
      <w:r>
        <w:t>3. Amend claim 2 for the below-supremum deployed threshold; align terminology and HU ranges between claim 21 and §7.5.</w:t>
      </w:r>
    </w:p>
    <w:p w14:paraId="17BB8338" w14:textId="77777777" w:rsidR="00B50727" w:rsidRDefault="00B50727">
      <w:r>
        <w:t>4. Add an independent coupling claim (currently only Claim 22, which hangs off Claim 1).</w:t>
      </w:r>
    </w:p>
    <w:p w14:paraId="0FA5CCA5" w14:textId="77777777" w:rsidR="00B50727" w:rsidRDefault="00B50727">
      <w:r>
        <w:t>5. Run the disclosure audit at (4.1) — this is the one that can kill the application outright, regardless of drafting quality.</w:t>
      </w:r>
    </w:p>
    <w:p w14:paraId="66A88C7D" w14:textId="77777777" w:rsidR="00B50727" w:rsidRDefault="00B50727"/>
    <w:p w14:paraId="6B227A3D" w14:textId="77777777" w:rsidR="00B50727" w:rsidRDefault="00B50727">
      <w:r>
        <w:t>Net assessment: **v2 is a materially better draft** — the drafting defects I flagged are fixed and the claim architecture now matches the only defensible theory of the case. But the inventive-step position is currently *argued* rather than *evidenced*, and claims 9, 21 and 22 carry avoidable defects that an experienced UKIPO examiner will find on first examination.</w:t>
      </w:r>
    </w:p>
    <w:p w14:paraId="0A591CD3" w14:textId="77777777" w:rsidR="00B50727" w:rsidRDefault="00B50727"/>
    <w:sectPr w:rsidR="00B507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8"/>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727"/>
    <w:rsid w:val="00193DB4"/>
    <w:rsid w:val="001F471A"/>
    <w:rsid w:val="00B507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CA8AD30"/>
  <w15:chartTrackingRefBased/>
  <w15:docId w15:val="{24C782C3-81B1-DE44-9644-F2F95AFA4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07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07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7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7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07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7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7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7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727"/>
    <w:rPr>
      <w:rFonts w:eastAsiaTheme="majorEastAsia" w:cstheme="majorBidi"/>
      <w:color w:val="272727" w:themeColor="text1" w:themeTint="D8"/>
    </w:rPr>
  </w:style>
  <w:style w:type="paragraph" w:styleId="Title">
    <w:name w:val="Title"/>
    <w:basedOn w:val="Normal"/>
    <w:next w:val="Normal"/>
    <w:link w:val="TitleChar"/>
    <w:uiPriority w:val="10"/>
    <w:qFormat/>
    <w:rsid w:val="00B50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727"/>
    <w:pPr>
      <w:spacing w:before="160"/>
      <w:jc w:val="center"/>
    </w:pPr>
    <w:rPr>
      <w:i/>
      <w:iCs/>
      <w:color w:val="404040" w:themeColor="text1" w:themeTint="BF"/>
    </w:rPr>
  </w:style>
  <w:style w:type="character" w:customStyle="1" w:styleId="QuoteChar">
    <w:name w:val="Quote Char"/>
    <w:basedOn w:val="DefaultParagraphFont"/>
    <w:link w:val="Quote"/>
    <w:uiPriority w:val="29"/>
    <w:rsid w:val="00B50727"/>
    <w:rPr>
      <w:i/>
      <w:iCs/>
      <w:color w:val="404040" w:themeColor="text1" w:themeTint="BF"/>
    </w:rPr>
  </w:style>
  <w:style w:type="paragraph" w:styleId="ListParagraph">
    <w:name w:val="List Paragraph"/>
    <w:basedOn w:val="Normal"/>
    <w:uiPriority w:val="34"/>
    <w:qFormat/>
    <w:rsid w:val="00B50727"/>
    <w:pPr>
      <w:ind w:left="720"/>
      <w:contextualSpacing/>
    </w:pPr>
  </w:style>
  <w:style w:type="character" w:styleId="IntenseEmphasis">
    <w:name w:val="Intense Emphasis"/>
    <w:basedOn w:val="DefaultParagraphFont"/>
    <w:uiPriority w:val="21"/>
    <w:qFormat/>
    <w:rsid w:val="00B50727"/>
    <w:rPr>
      <w:i/>
      <w:iCs/>
      <w:color w:val="0F4761" w:themeColor="accent1" w:themeShade="BF"/>
    </w:rPr>
  </w:style>
  <w:style w:type="paragraph" w:styleId="IntenseQuote">
    <w:name w:val="Intense Quote"/>
    <w:basedOn w:val="Normal"/>
    <w:next w:val="Normal"/>
    <w:link w:val="IntenseQuoteChar"/>
    <w:uiPriority w:val="30"/>
    <w:qFormat/>
    <w:rsid w:val="00B50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727"/>
    <w:rPr>
      <w:i/>
      <w:iCs/>
      <w:color w:val="0F4761" w:themeColor="accent1" w:themeShade="BF"/>
    </w:rPr>
  </w:style>
  <w:style w:type="character" w:styleId="IntenseReference">
    <w:name w:val="Intense Reference"/>
    <w:basedOn w:val="DefaultParagraphFont"/>
    <w:uiPriority w:val="32"/>
    <w:qFormat/>
    <w:rsid w:val="00B50727"/>
    <w:rPr>
      <w:b/>
      <w:bCs/>
      <w:smallCaps/>
      <w:color w:val="0F4761" w:themeColor="accent1" w:themeShade="BF"/>
      <w:spacing w:val="5"/>
    </w:rPr>
  </w:style>
  <w:style w:type="table" w:styleId="TableGrid">
    <w:name w:val="Table Grid"/>
    <w:basedOn w:val="TableNormal"/>
    <w:uiPriority w:val="39"/>
    <w:rsid w:val="00B50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1137</Words>
  <Characters>6485</Characters>
  <Application>Microsoft Office Word</Application>
  <DocSecurity>0</DocSecurity>
  <Lines>54</Lines>
  <Paragraphs>15</Paragraphs>
  <ScaleCrop>false</ScaleCrop>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Dolapo Ariyo</dc:creator>
  <cp:keywords/>
  <dc:description/>
  <cp:lastModifiedBy>Dolapo Ariyo</cp:lastModifiedBy>
  <cp:revision>2</cp:revision>
  <dcterms:created xsi:type="dcterms:W3CDTF">2026-10-29T16:10:00Z</dcterms:created>
  <dcterms:modified xsi:type="dcterms:W3CDTF">2026-10-29T16:10:00Z</dcterms:modified>
</cp:coreProperties>
</file>