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485F" w14:textId="77777777" w:rsidR="00A60B17" w:rsidRDefault="00A60B17" w:rsidP="00A60B17">
      <w:r>
        <w:t>Short answer: I'd expect serious problems on **inventive step**, and the individual components are mostly **known methods**. Whether the *combination* is novel is arguable — but that's the wrong battle to fight, because even if novel, obviousness (s.3 Patents Act 1977) looks like the real vulnerability. This isn't legal advice, but here's my read.</w:t>
      </w:r>
    </w:p>
    <w:p w14:paraId="4D793296" w14:textId="77777777" w:rsidR="00A60B17" w:rsidRDefault="00A60B17" w:rsidP="00A60B17"/>
    <w:p w14:paraId="3D9688AC" w14:textId="77777777" w:rsidR="00A60B17" w:rsidRDefault="00A60B17" w:rsidP="00A60B17">
      <w:r>
        <w:t>**Component-by-component**</w:t>
      </w:r>
    </w:p>
    <w:p w14:paraId="530602B4" w14:textId="77777777" w:rsidR="00A60B17" w:rsidRDefault="00A60B17" w:rsidP="00A60B17"/>
    <w:p w14:paraId="28A29386" w14:textId="77777777" w:rsidR="00A60B17" w:rsidRDefault="00A60B17" w:rsidP="00A60B17">
      <w:r>
        <w:t>| Claimed feature | Prior art position |</w:t>
      </w:r>
    </w:p>
    <w:p w14:paraId="0002573F" w14:textId="77777777" w:rsidR="00A60B17" w:rsidRDefault="00A60B17" w:rsidP="00A60B17">
      <w:r>
        <w:t>| --- | --- |</w:t>
      </w:r>
    </w:p>
    <w:p w14:paraId="74D9BE03" w14:textId="77777777" w:rsidR="00A60B17" w:rsidRDefault="00A60B17" w:rsidP="00A60B17">
      <w:r>
        <w:t xml:space="preserve">| </w:t>
      </w:r>
      <w:proofErr w:type="spellStart"/>
      <w:r>
        <w:t>AdaBN</w:t>
      </w:r>
      <w:proofErr w:type="spellEnd"/>
      <w:r>
        <w:t xml:space="preserve"> (frozen weights, update BN running stats on </w:t>
      </w:r>
      <w:proofErr w:type="spellStart"/>
      <w:r>
        <w:t>unlabeled</w:t>
      </w:r>
      <w:proofErr w:type="spellEnd"/>
      <w:r>
        <w:t xml:space="preserve"> target stream, momentum η) | </w:t>
      </w:r>
      <w:proofErr w:type="spellStart"/>
      <w:r>
        <w:t>AdaBN</w:t>
      </w:r>
      <w:proofErr w:type="spellEnd"/>
      <w:r>
        <w:t xml:space="preserve"> is published (Li et al., ~2018) and widely used for exactly this scanner/shift scenario. Claim 7 essentially restates the published algorithm. |</w:t>
      </w:r>
    </w:p>
    <w:p w14:paraId="605B66C9" w14:textId="77777777" w:rsidR="00A60B17" w:rsidRDefault="00A60B17" w:rsidP="00A60B17">
      <w:r>
        <w:t xml:space="preserve">| Relative </w:t>
      </w:r>
      <w:proofErr w:type="spellStart"/>
      <w:r>
        <w:t>Mahalanobis</w:t>
      </w:r>
      <w:proofErr w:type="spellEnd"/>
      <w:r>
        <w:t xml:space="preserve"> Distance OOD | RMD is published (Ren et al., </w:t>
      </w:r>
      <w:proofErr w:type="spellStart"/>
      <w:r>
        <w:t>NeurIPS</w:t>
      </w:r>
      <w:proofErr w:type="spellEnd"/>
      <w:r>
        <w:t xml:space="preserve"> 2021), including the class-conditional vs. background centroid contrast. </w:t>
      </w:r>
      <w:proofErr w:type="spellStart"/>
      <w:r>
        <w:t>Ledoit</w:t>
      </w:r>
      <w:proofErr w:type="spellEnd"/>
      <w:r>
        <w:t>-Wolf shrinkage + pseudoinverse is standard practice. The spec's own caveat that RMD AUROC is only 0.58 weakens any unexpected-results argument. |</w:t>
      </w:r>
    </w:p>
    <w:p w14:paraId="2D8311A6" w14:textId="77777777" w:rsidR="00A60B17" w:rsidRDefault="00A60B17" w:rsidP="00A60B17">
      <w:r>
        <w:t>| Split conformal risk control | The application itself cites Bates et al. (2021); the broader framework is Angelopoulos &amp; Bates conformal risk control (2022). Applying it to bound conditional FNR is a reasonable use case, but the threshold-selection maths is the published bound. Note the spec's formulation (`</w:t>
      </w:r>
      <w:proofErr w:type="spellStart"/>
      <w:r>
        <w:t>n_pos</w:t>
      </w:r>
      <w:proofErr w:type="spellEnd"/>
      <w:r>
        <w:t>/(n_pos+1)·</w:t>
      </w:r>
      <w:proofErr w:type="spellStart"/>
      <w:r>
        <w:t>R_n</w:t>
      </w:r>
      <w:proofErr w:type="spellEnd"/>
      <w:r>
        <w:t xml:space="preserve"> + 1/(n_pos+1) ≤ α`) is a slightly awkward hybrid — worth checking it actually reproduces the published guarantee. |</w:t>
      </w:r>
    </w:p>
    <w:p w14:paraId="1848E4F9" w14:textId="77777777" w:rsidR="00A60B17" w:rsidRDefault="00A60B17" w:rsidP="00A60B17">
      <w:r>
        <w:t xml:space="preserve">| Masked </w:t>
      </w:r>
      <w:proofErr w:type="spellStart"/>
      <w:r>
        <w:t>HiResCAM</w:t>
      </w:r>
      <w:proofErr w:type="spellEnd"/>
      <w:r>
        <w:t xml:space="preserve"> | </w:t>
      </w:r>
      <w:proofErr w:type="spellStart"/>
      <w:r>
        <w:t>HiResCAM</w:t>
      </w:r>
      <w:proofErr w:type="spellEnd"/>
      <w:r>
        <w:t xml:space="preserve"> is published (</w:t>
      </w:r>
      <w:proofErr w:type="spellStart"/>
      <w:r>
        <w:t>Draelos</w:t>
      </w:r>
      <w:proofErr w:type="spellEnd"/>
      <w:r>
        <w:t xml:space="preserve"> &amp; </w:t>
      </w:r>
      <w:proofErr w:type="spellStart"/>
      <w:r>
        <w:t>Carin</w:t>
      </w:r>
      <w:proofErr w:type="spellEnd"/>
      <w:r>
        <w:t xml:space="preserve">, 2020). Constraining CAMs with an anatomical/segmentation mask is a known trick in medical imaging. The specific HU band (0 to +85 HU) suppressing </w:t>
      </w:r>
      <w:proofErr w:type="spellStart"/>
      <w:r>
        <w:t>calvarial</w:t>
      </w:r>
      <w:proofErr w:type="spellEnd"/>
      <w:r>
        <w:t xml:space="preserve"> bone is a plausible point of distinction, but it's arguably a routine application of known windowing to a known masking idea. |</w:t>
      </w:r>
    </w:p>
    <w:p w14:paraId="3F84EBDD" w14:textId="77777777" w:rsidR="00A60B17" w:rsidRDefault="00A60B17" w:rsidP="00A60B17">
      <w:r>
        <w:t xml:space="preserve">| MC dropout epistemic uncertainty / monotonicity under noise | Gal &amp; </w:t>
      </w:r>
      <w:proofErr w:type="spellStart"/>
      <w:r>
        <w:t>Ghahramani</w:t>
      </w:r>
      <w:proofErr w:type="spellEnd"/>
      <w:r>
        <w:t xml:space="preserve"> (2016). Monotonicity under noise is an *empirical observation*, not a mechanism — Claim 9 essentially claims a measured correlation, which is a fragile basis. |</w:t>
      </w:r>
    </w:p>
    <w:p w14:paraId="69595B18" w14:textId="77777777" w:rsidR="00A60B17" w:rsidRDefault="00A60B17" w:rsidP="00A60B17">
      <w:r>
        <w:t>| DB-level sign-off constraint, SHA-256/</w:t>
      </w:r>
      <w:proofErr w:type="spellStart"/>
      <w:r>
        <w:t>Merkle</w:t>
      </w:r>
      <w:proofErr w:type="spellEnd"/>
      <w:r>
        <w:t xml:space="preserve"> audit, HL7 stroke-code dispatch | Conventional engineering. Standard compliance plumbing. |</w:t>
      </w:r>
    </w:p>
    <w:p w14:paraId="24089172" w14:textId="77777777" w:rsidR="00A60B17" w:rsidRDefault="00A60B17" w:rsidP="00A60B17"/>
    <w:p w14:paraId="77C08133" w14:textId="77777777" w:rsidR="00A60B17" w:rsidRDefault="00A60B17" w:rsidP="00A60B17">
      <w:r>
        <w:t>**Where the application might have genuine novelty**</w:t>
      </w:r>
    </w:p>
    <w:p w14:paraId="2F2989F9" w14:textId="77777777" w:rsidR="00A60B17" w:rsidRDefault="00A60B17" w:rsidP="00A60B17"/>
    <w:p w14:paraId="679EE674" w14:textId="77777777" w:rsidR="00A60B17" w:rsidRDefault="00A60B17" w:rsidP="00A60B17">
      <w:r>
        <w:t xml:space="preserve">- The *integrated combination* — </w:t>
      </w:r>
      <w:proofErr w:type="spellStart"/>
      <w:r>
        <w:t>AdaBN</w:t>
      </w:r>
      <w:proofErr w:type="spellEnd"/>
      <w:r>
        <w:t xml:space="preserve"> + RMD + conformal FNR gate + bone-suppressed attribution + DB-enforced sign-off in one pipeline — may not be disclosed in a single document. Under s.2, novelty is assessed against the invention as claimed, so the combination in Claim 1 could survive novelty over any one reference. But UKIPO/EPO examiners will readily combine these: each solves a well-known problem by a well-known means, and the spec offers little evidence of synergistic interaction beyond "</w:t>
      </w:r>
      <w:proofErr w:type="spellStart"/>
      <w:r>
        <w:t>defense</w:t>
      </w:r>
      <w:proofErr w:type="spellEnd"/>
      <w:r>
        <w:t>-in-depth" — which its own audit partially undercuts (4 of 6 false negatives passed every gate).</w:t>
      </w:r>
    </w:p>
    <w:p w14:paraId="55FBD78A" w14:textId="77777777" w:rsidR="00A60B17" w:rsidRDefault="00A60B17" w:rsidP="00A60B17"/>
    <w:p w14:paraId="3988BC73" w14:textId="77777777" w:rsidR="00A60B17" w:rsidRDefault="00A60B17" w:rsidP="00A60B17">
      <w:r>
        <w:t>**Other concerns**</w:t>
      </w:r>
    </w:p>
    <w:p w14:paraId="4DB25028" w14:textId="77777777" w:rsidR="00A60B17" w:rsidRDefault="00A60B17" w:rsidP="00A60B17"/>
    <w:p w14:paraId="4CB9FA34" w14:textId="77777777" w:rsidR="00A60B17" w:rsidRDefault="00A60B17" w:rsidP="00A60B17">
      <w:r>
        <w:t xml:space="preserve">1. **Excluded subject matter / technical contribution.** Claim 1 is framed as a "computer-implemented method." Under the </w:t>
      </w:r>
      <w:proofErr w:type="spellStart"/>
      <w:r>
        <w:t>Aerotel</w:t>
      </w:r>
      <w:proofErr w:type="spellEnd"/>
      <w:r>
        <w:t xml:space="preserve"> approach, the contribution needs a technical effect beyond running known algorithms on known data. The spec gestures at technical effects (bone-</w:t>
      </w:r>
      <w:proofErr w:type="spellStart"/>
      <w:r>
        <w:t>artifact</w:t>
      </w:r>
      <w:proofErr w:type="spellEnd"/>
      <w:r>
        <w:t xml:space="preserve"> suppression, variance collapse avoidance), but much of the claim set is mathematics plus workflow routing.</w:t>
      </w:r>
    </w:p>
    <w:p w14:paraId="15C07768" w14:textId="77777777" w:rsidR="00A60B17" w:rsidRDefault="00A60B17" w:rsidP="00A60B17">
      <w:r>
        <w:t>2. **Priority.** The senior application (April 2026) apparently did *not* disclose conformal/</w:t>
      </w:r>
      <w:proofErr w:type="spellStart"/>
      <w:r>
        <w:t>AdaBN</w:t>
      </w:r>
      <w:proofErr w:type="spellEnd"/>
      <w:r>
        <w:t>/RMD/masked-</w:t>
      </w:r>
      <w:proofErr w:type="spellStart"/>
      <w:r>
        <w:t>HiResCAM</w:t>
      </w:r>
      <w:proofErr w:type="spellEnd"/>
      <w:r>
        <w:t xml:space="preserve"> — those get only the October 2026 filing date. If any results, preprint, repo, or public demo covering those techniques existed between April and October 2026, that *self-disclosure* would be novelty-destroying for the new matter, and the UK has essentially no grace period.</w:t>
      </w:r>
    </w:p>
    <w:p w14:paraId="13B19472" w14:textId="77777777" w:rsidR="00A60B17" w:rsidRDefault="00A60B17" w:rsidP="00A60B17">
      <w:r>
        <w:t>3. **Drafting quality.** The worked example is duplicated verbatim in §§7.3–7.4; the disclaimers ("FEASIBILITY ON PUBLIC DATA… NOT CLINICAL EVIDENCE") are honest but sit awkwardly against claims asserting "guaranteed FNR ≤ 5%"; and "Engineering Hypothesis" language is not a great look in a specification.</w:t>
      </w:r>
    </w:p>
    <w:p w14:paraId="1E988DB7" w14:textId="77777777" w:rsidR="00A60B17" w:rsidRDefault="00A60B17" w:rsidP="00A60B17"/>
    <w:p w14:paraId="5D817713" w14:textId="77777777" w:rsidR="00A60B17" w:rsidRDefault="00A60B17" w:rsidP="00A60B17">
      <w:r>
        <w:t>**Bottom line**</w:t>
      </w:r>
    </w:p>
    <w:p w14:paraId="4AC20CB0" w14:textId="77777777" w:rsidR="00A60B17" w:rsidRDefault="00A60B17" w:rsidP="00A60B17"/>
    <w:p w14:paraId="116D8E49" w14:textId="77777777" w:rsidR="00A60B17" w:rsidRDefault="00A60B17" w:rsidP="00A60B17">
      <w:r>
        <w:t xml:space="preserve">Novelty of the combination: arguable, might survive s.2 over individual references. Inventive step: weak — this reads like a competent integration of four published 2018–2022 techniques plus standard governance plumbing, with the only arguably distinguishing feature (the HU-masked attribution) being the thinnest part. I'd want a professional prior-art search before filing anything relying on this, and I'd consider narrowing toward the one place with real distinguishing detail: the anatomically masked </w:t>
      </w:r>
      <w:proofErr w:type="spellStart"/>
      <w:r>
        <w:t>HiResCAM</w:t>
      </w:r>
      <w:proofErr w:type="spellEnd"/>
      <w:r>
        <w:t xml:space="preserve"> with the specific HU-windowed vault extraction — while being prepared for an examiner to say masking CAMs with anatomy was routine.</w:t>
      </w:r>
    </w:p>
    <w:p w14:paraId="32F851E6" w14:textId="77777777" w:rsidR="00A60B17" w:rsidRDefault="00A60B17" w:rsidP="00A60B17"/>
    <w:p w14:paraId="3393ADD6" w14:textId="7B6AB40D" w:rsidR="00A60B17" w:rsidRDefault="00A60B17">
      <w:r>
        <w:t>If this matters commercially, get a UK patent attorney's opinion — and separately check whether the inventor's own publications or repos predate the October filing.</w:t>
      </w:r>
    </w:p>
    <w:p w14:paraId="0F027A71" w14:textId="77777777" w:rsidR="00DA74E3" w:rsidRDefault="00DA74E3"/>
    <w:p w14:paraId="0457FFE9" w14:textId="77777777" w:rsidR="00DA74E3" w:rsidRDefault="00DA74E3">
      <w:r>
        <w:t>**ATTORNEY-STYLE OPINION — simulated professional analysis, not legal advice**</w:t>
      </w:r>
    </w:p>
    <w:p w14:paraId="3F013F8C" w14:textId="77777777" w:rsidR="00DA74E3" w:rsidRDefault="00DA74E3">
      <w:r>
        <w:t>*(I am not a registered UK patent attorney; this is how I would expect one to frame the assessment. The formal opinion you rely on must come from a qualified practitioner.)*</w:t>
      </w:r>
    </w:p>
    <w:p w14:paraId="2DEFB6A7" w14:textId="77777777" w:rsidR="00DA74E3" w:rsidRDefault="00DA74E3">
      <w:pPr>
        <w:pBdr>
          <w:bottom w:val="single" w:sz="6" w:space="1" w:color="auto"/>
        </w:pBdr>
      </w:pPr>
    </w:p>
    <w:p w14:paraId="675E24F2" w14:textId="77777777" w:rsidR="00DA74E3" w:rsidRDefault="00DA74E3"/>
    <w:p w14:paraId="21BC4742" w14:textId="77777777" w:rsidR="00DA74E3" w:rsidRDefault="00DA74E3">
      <w:r>
        <w:t>## OPINION ON GB APPLICATION (SECOND FILING) — CLINICAL AI TRIAGE PLATFORM</w:t>
      </w:r>
    </w:p>
    <w:p w14:paraId="4F0685AB" w14:textId="77777777" w:rsidR="00DA74E3" w:rsidRDefault="00DA74E3"/>
    <w:p w14:paraId="4842D107" w14:textId="1EE5E0D9" w:rsidR="00DA74E3" w:rsidRDefault="00DA74E3">
      <w:r>
        <w:t>**In re:** “Clinical Artificial Intelligence Platform and Method for Distribution-Free Statistical Risk-Controlled Radiological Triage, Zero-Label Domain Adaptation, and Anatomically-Bounded Attribution” — Applicant: STOREGRILL INC LTD — 20 claims, 8 drawing sheets.</w:t>
      </w:r>
    </w:p>
    <w:p w14:paraId="4659E690" w14:textId="77777777" w:rsidR="00DA74E3" w:rsidRDefault="00DA74E3">
      <w:pPr>
        <w:pBdr>
          <w:bottom w:val="single" w:sz="6" w:space="1" w:color="auto"/>
        </w:pBdr>
      </w:pPr>
    </w:p>
    <w:p w14:paraId="49F2C2D4" w14:textId="77777777" w:rsidR="00DA74E3" w:rsidRDefault="00DA74E3"/>
    <w:p w14:paraId="0129206E" w14:textId="77777777" w:rsidR="00DA74E3" w:rsidRDefault="00DA74E3">
      <w:r>
        <w:t>### 1. Executive summary</w:t>
      </w:r>
    </w:p>
    <w:p w14:paraId="21CDC52C" w14:textId="77777777" w:rsidR="00DA74E3" w:rsidRDefault="00DA74E3"/>
    <w:p w14:paraId="6E11FF13" w14:textId="75B3CBF1" w:rsidR="00DA74E3" w:rsidRDefault="00DA74E3" w:rsidP="00DA74E3">
      <w:pPr>
        <w:pStyle w:val="ListParagraph"/>
        <w:numPr>
          <w:ilvl w:val="1"/>
          <w:numId w:val="1"/>
        </w:numPr>
      </w:pPr>
      <w:r>
        <w:t>The application as drafted faces material objections under **s.3 Patents Act 1977 (inventive step)** and, to a lesser extent, **s.1(2) (excluded subject matter)**. Novelty under **s.2** may survive against any single reference, but that is cold comfort: the claim 1 combination consists of integers each of which is, in my assessment, part of the common general knowledge in this field as at the relevant date.</w:t>
      </w:r>
    </w:p>
    <w:p w14:paraId="43737C4B" w14:textId="77777777" w:rsidR="00DA74E3" w:rsidRDefault="00DA74E3" w:rsidP="00DA74E3">
      <w:pPr>
        <w:pStyle w:val="ListParagraph"/>
        <w:numPr>
          <w:ilvl w:val="1"/>
          <w:numId w:val="1"/>
        </w:numPr>
      </w:pPr>
    </w:p>
    <w:p w14:paraId="40741932" w14:textId="7A834790" w:rsidR="00DA74E3" w:rsidRDefault="00DA74E3" w:rsidP="00DA74E3">
      <w:pPr>
        <w:pStyle w:val="ListParagraph"/>
        <w:numPr>
          <w:ilvl w:val="1"/>
          <w:numId w:val="1"/>
        </w:numPr>
      </w:pPr>
      <w:r>
        <w:t xml:space="preserve">The strongest potentially distinguishing feature is the HU-windowed anatomical masking of </w:t>
      </w:r>
      <w:proofErr w:type="spellStart"/>
      <w:r>
        <w:t>HiResCAM</w:t>
      </w:r>
      <w:proofErr w:type="spellEnd"/>
      <w:r>
        <w:t xml:space="preserve"> (claims 1(f), 6), but I assess it as vulnerable to an obviousness attack on the basis that masking saliency maps with anatomical segmentation is routine in medical imaging.</w:t>
      </w:r>
    </w:p>
    <w:p w14:paraId="40F765BC" w14:textId="77777777" w:rsidR="00DA74E3" w:rsidRDefault="00DA74E3" w:rsidP="00DA74E3">
      <w:pPr>
        <w:pStyle w:val="ListParagraph"/>
        <w:numPr>
          <w:ilvl w:val="1"/>
          <w:numId w:val="1"/>
        </w:numPr>
      </w:pPr>
    </w:p>
    <w:p w14:paraId="6E06BD94" w14:textId="77777777" w:rsidR="00DA74E3" w:rsidRDefault="00DA74E3">
      <w:r>
        <w:t>1.3 There are significant **priority and self-disclosure risks** arising from the partial priority strategy and the absence of any grace period in UK law.</w:t>
      </w:r>
    </w:p>
    <w:p w14:paraId="13A3C045" w14:textId="77777777" w:rsidR="00DA74E3" w:rsidRDefault="00DA74E3"/>
    <w:p w14:paraId="0C13C0F4" w14:textId="565CF22D" w:rsidR="00DA74E3" w:rsidRDefault="00DA74E3" w:rsidP="00DA74E3">
      <w:pPr>
        <w:pStyle w:val="ListParagraph"/>
        <w:numPr>
          <w:ilvl w:val="1"/>
          <w:numId w:val="1"/>
        </w:numPr>
      </w:pPr>
      <w:r>
        <w:t>Recommendation in §8 below, including a prior art search **before** further spend.</w:t>
      </w:r>
    </w:p>
    <w:p w14:paraId="6CDE18B8" w14:textId="77777777" w:rsidR="00DA74E3" w:rsidRDefault="00DA74E3" w:rsidP="00DA74E3">
      <w:pPr>
        <w:pStyle w:val="ListParagraph"/>
        <w:numPr>
          <w:ilvl w:val="1"/>
          <w:numId w:val="1"/>
        </w:numPr>
        <w:pBdr>
          <w:bottom w:val="single" w:sz="6" w:space="1" w:color="auto"/>
        </w:pBdr>
      </w:pPr>
    </w:p>
    <w:p w14:paraId="5735AE6F" w14:textId="77777777" w:rsidR="00DA74E3" w:rsidRDefault="00DA74E3"/>
    <w:p w14:paraId="4171C7D1" w14:textId="77777777" w:rsidR="00DA74E3" w:rsidRDefault="00DA74E3">
      <w:r>
        <w:t>### 2. Statutory framework</w:t>
      </w:r>
    </w:p>
    <w:p w14:paraId="450B818E" w14:textId="77777777" w:rsidR="00DA74E3" w:rsidRDefault="00DA74E3"/>
    <w:p w14:paraId="6575FC40" w14:textId="77777777" w:rsidR="00DA74E3" w:rsidRDefault="00DA74E3">
      <w:r>
        <w:t xml:space="preserve">- **s.2(1)**: novelty — the invention must not form part of the state of the art. </w:t>
      </w:r>
      <w:proofErr w:type="spellStart"/>
      <w:r>
        <w:t>Mosaicing</w:t>
      </w:r>
      <w:proofErr w:type="spellEnd"/>
      <w:r>
        <w:t xml:space="preserve"> is *not* permitted for novelty.</w:t>
      </w:r>
    </w:p>
    <w:p w14:paraId="7A5B1104" w14:textId="77777777" w:rsidR="00DA74E3" w:rsidRDefault="00DA74E3">
      <w:r>
        <w:t>- **s.3**: inventive step — assessed through the *</w:t>
      </w:r>
      <w:proofErr w:type="spellStart"/>
      <w:r>
        <w:t>Pozzoli</w:t>
      </w:r>
      <w:proofErr w:type="spellEnd"/>
      <w:r>
        <w:t>* test: (</w:t>
      </w:r>
      <w:proofErr w:type="spellStart"/>
      <w:r>
        <w:t>i</w:t>
      </w:r>
      <w:proofErr w:type="spellEnd"/>
      <w:r>
        <w:t>) identify the inventive concept; (ii) set it against the common general knowledge (CGK) and prior art; (iii) ask whether the claimed advance is obvious to the skilled person.</w:t>
      </w:r>
    </w:p>
    <w:p w14:paraId="12A8CAA1" w14:textId="165158E2" w:rsidR="00DA74E3" w:rsidRDefault="00DA74E3">
      <w:r>
        <w:t>- **s.1(2)**: excluded subject matter — assessed via the *</w:t>
      </w:r>
      <w:proofErr w:type="spellStart"/>
      <w:r>
        <w:t>Aerotel</w:t>
      </w:r>
      <w:proofErr w:type="spellEnd"/>
      <w:r>
        <w:t>/MacKinnon* four-step test. Since *Emotional Perception AI Ltd v Comptroller-General* [2024] EWCA Civ 825, the UKIPO accepts that ANN-based systems are not *per se* excluded; the question is whether the actual contribution lies solely within excluded matter (mathematical method / business method “as such”).</w:t>
      </w:r>
    </w:p>
    <w:p w14:paraId="707245D9" w14:textId="77777777" w:rsidR="00DA74E3" w:rsidRDefault="00DA74E3">
      <w:r>
        <w:t>- **s.14(3)/(5)**: sufficiency and support; **s.5**: priority.</w:t>
      </w:r>
    </w:p>
    <w:p w14:paraId="6AEE7AFC" w14:textId="77777777" w:rsidR="00DA74E3" w:rsidRDefault="00DA74E3">
      <w:pPr>
        <w:pBdr>
          <w:bottom w:val="single" w:sz="6" w:space="1" w:color="auto"/>
        </w:pBdr>
      </w:pPr>
    </w:p>
    <w:p w14:paraId="0C58AC7D" w14:textId="77777777" w:rsidR="00DA74E3" w:rsidRDefault="00DA74E3"/>
    <w:p w14:paraId="40DDF873" w14:textId="77777777" w:rsidR="00DA74E3" w:rsidRDefault="00DA74E3">
      <w:r>
        <w:t>### 3. The claimed integer-by-integer position</w:t>
      </w:r>
    </w:p>
    <w:p w14:paraId="1E9120BB" w14:textId="77777777" w:rsidR="00DA74E3" w:rsidRDefault="00DA74E3"/>
    <w:p w14:paraId="40A16E51" w14:textId="77777777" w:rsidR="00DA74E3" w:rsidRDefault="00DA74E3">
      <w:r>
        <w:t>| Claim 1 integer | Assessment | Key art (to verify)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410"/>
        <w:gridCol w:w="409"/>
        <w:gridCol w:w="407"/>
      </w:tblGrid>
      <w:tr w:rsidR="00DA74E3" w14:paraId="66B05926" w14:textId="77777777">
        <w:tblPrEx>
          <w:tblCellMar>
            <w:top w:w="0" w:type="dxa"/>
            <w:bottom w:w="0" w:type="dxa"/>
          </w:tblCellMar>
        </w:tblPrEx>
        <w:tc>
          <w:tcPr>
            <w:tcW w:w="410" w:type="dxa"/>
          </w:tcPr>
          <w:p w14:paraId="64BDBF30" w14:textId="77777777" w:rsidR="00DA74E3" w:rsidRDefault="00DA74E3"/>
        </w:tc>
        <w:tc>
          <w:tcPr>
            <w:tcW w:w="409" w:type="dxa"/>
          </w:tcPr>
          <w:p w14:paraId="5E5C8E1F" w14:textId="77777777" w:rsidR="00DA74E3" w:rsidRDefault="00DA74E3"/>
        </w:tc>
        <w:tc>
          <w:tcPr>
            <w:tcW w:w="407" w:type="dxa"/>
          </w:tcPr>
          <w:p w14:paraId="1FC51481" w14:textId="77777777" w:rsidR="00DA74E3" w:rsidRDefault="00DA74E3"/>
        </w:tc>
      </w:tr>
    </w:tbl>
    <w:p w14:paraId="249AACD0" w14:textId="77777777" w:rsidR="00DA74E3" w:rsidRDefault="00DA74E3">
      <w:r>
        <w:t xml:space="preserve">| (b) </w:t>
      </w:r>
      <w:proofErr w:type="spellStart"/>
      <w:r>
        <w:t>AdaBN</w:t>
      </w:r>
      <w:proofErr w:type="spellEnd"/>
      <w:r>
        <w:t xml:space="preserve"> with frozen weights, EMA update of running stats from unlabelled target stream | This is the published </w:t>
      </w:r>
      <w:proofErr w:type="spellStart"/>
      <w:r>
        <w:t>AdaBN</w:t>
      </w:r>
      <w:proofErr w:type="spellEnd"/>
      <w:r>
        <w:t xml:space="preserve"> method (Li et al., c. 2018), stated nearly verbatim, including momentum η. Claim 7 adds nothing. | Li et al. 2018; numerous TTA/UDA follow-ups |</w:t>
      </w:r>
    </w:p>
    <w:p w14:paraId="5CE46B39" w14:textId="1366F10C" w:rsidR="00DA74E3" w:rsidRDefault="00DA74E3">
      <w:r>
        <w:t xml:space="preserve">| (c) RMD vs. Background centroid | Published as the “simple fix” to </w:t>
      </w:r>
      <w:proofErr w:type="spellStart"/>
      <w:r>
        <w:t>Mahalanobis</w:t>
      </w:r>
      <w:proofErr w:type="spellEnd"/>
      <w:r>
        <w:t xml:space="preserve"> OOD (Ren et al., </w:t>
      </w:r>
      <w:proofErr w:type="spellStart"/>
      <w:r>
        <w:t>NeurIPS</w:t>
      </w:r>
      <w:proofErr w:type="spellEnd"/>
      <w:r>
        <w:t xml:space="preserve"> 2021). </w:t>
      </w:r>
      <w:proofErr w:type="spellStart"/>
      <w:r>
        <w:t>Ledoit</w:t>
      </w:r>
      <w:proofErr w:type="spellEnd"/>
      <w:r>
        <w:t>-Wolf shrinkage and Moore-Penrose pseudoinverse are standard. | Ren et al. 2021 |</w:t>
      </w:r>
    </w:p>
    <w:p w14:paraId="41F2445F" w14:textId="77777777" w:rsidR="00DA74E3" w:rsidRDefault="00DA74E3">
      <w:r>
        <w:t>| (d) Split conformal risk control on conditional FNR with quantile threshold | The bound is Bates et al. (2021)/Angelopoulos &amp; Bates conformal risk control, which the specification itself cites. Applying a published risk-control framework to FNR is a use-case selection. | Bates et al. 2021; Angelopoulos &amp; Bates 2022 |</w:t>
      </w:r>
    </w:p>
    <w:p w14:paraId="0635C21D" w14:textId="77777777" w:rsidR="00DA74E3" w:rsidRDefault="00DA74E3">
      <w:r>
        <w:t xml:space="preserve">| (e) MC-dropout epistemic uncertainty | Gal &amp; </w:t>
      </w:r>
      <w:proofErr w:type="spellStart"/>
      <w:r>
        <w:t>Ghahramani</w:t>
      </w:r>
      <w:proofErr w:type="spellEnd"/>
      <w:r>
        <w:t xml:space="preserve"> (2016). Claim 9 effectively claims a *measured Spearman correlation*, which is an observation, not a mechanism. | Gal &amp; </w:t>
      </w:r>
      <w:proofErr w:type="spellStart"/>
      <w:r>
        <w:t>Ghahramani</w:t>
      </w:r>
      <w:proofErr w:type="spellEnd"/>
      <w:r>
        <w:t xml:space="preserve"> 2016 |</w:t>
      </w:r>
    </w:p>
    <w:p w14:paraId="57647E98" w14:textId="77777777" w:rsidR="00DA74E3" w:rsidRDefault="00DA74E3">
      <w:r>
        <w:t xml:space="preserve">| (f) Masked </w:t>
      </w:r>
      <w:proofErr w:type="spellStart"/>
      <w:r>
        <w:t>HiResCAM</w:t>
      </w:r>
      <w:proofErr w:type="spellEnd"/>
      <w:r>
        <w:t xml:space="preserve"> with HU-band (0 to +85) mask suppressing </w:t>
      </w:r>
      <w:proofErr w:type="spellStart"/>
      <w:r>
        <w:t>calvarial</w:t>
      </w:r>
      <w:proofErr w:type="spellEnd"/>
      <w:r>
        <w:t xml:space="preserve"> bone | </w:t>
      </w:r>
      <w:proofErr w:type="spellStart"/>
      <w:r>
        <w:t>HiResCAM</w:t>
      </w:r>
      <w:proofErr w:type="spellEnd"/>
      <w:r>
        <w:t xml:space="preserve"> is </w:t>
      </w:r>
      <w:proofErr w:type="spellStart"/>
      <w:r>
        <w:t>Draelos</w:t>
      </w:r>
      <w:proofErr w:type="spellEnd"/>
      <w:r>
        <w:t xml:space="preserve"> &amp; </w:t>
      </w:r>
      <w:proofErr w:type="spellStart"/>
      <w:r>
        <w:t>Carin</w:t>
      </w:r>
      <w:proofErr w:type="spellEnd"/>
      <w:r>
        <w:t xml:space="preserve"> (2020). The masking idea is known; the specific HU band is a routine radiological window. **This is the only integer with a colourable distinguishing argument.** | </w:t>
      </w:r>
      <w:proofErr w:type="spellStart"/>
      <w:r>
        <w:t>Draelos</w:t>
      </w:r>
      <w:proofErr w:type="spellEnd"/>
      <w:r>
        <w:t xml:space="preserve"> &amp; </w:t>
      </w:r>
      <w:proofErr w:type="spellStart"/>
      <w:r>
        <w:t>Carin</w:t>
      </w:r>
      <w:proofErr w:type="spellEnd"/>
      <w:r>
        <w:t xml:space="preserve"> 2020; Grad-CAM (</w:t>
      </w:r>
      <w:proofErr w:type="spellStart"/>
      <w:r>
        <w:t>Selvaraju</w:t>
      </w:r>
      <w:proofErr w:type="spellEnd"/>
      <w:r>
        <w:t xml:space="preserve"> 2017); CAM-masking literature |</w:t>
      </w:r>
    </w:p>
    <w:p w14:paraId="45595F91" w14:textId="234185F0" w:rsidR="00DA74E3" w:rsidRDefault="00DA74E3">
      <w:r>
        <w:t>| (g) deterministic routing from combined gates | Standard decision fusion; the specification’s own audit (4 of 6 false negatives passed *all* gates) undermines any synergy argument. | — |</w:t>
      </w:r>
    </w:p>
    <w:p w14:paraId="10B4090F" w14:textId="02754399" w:rsidR="00DA74E3" w:rsidRDefault="00DA74E3">
      <w:r>
        <w:t>| (h) DB-enforced cryptographic sign-off, SHA-256/</w:t>
      </w:r>
      <w:proofErr w:type="spellStart"/>
      <w:r>
        <w:t>Merkle</w:t>
      </w:r>
      <w:proofErr w:type="spellEnd"/>
      <w:r>
        <w:t xml:space="preserve"> audit, HL7 dispatch | Conventional governance engineering; also squarely within the state of the art of certified </w:t>
      </w:r>
      <w:proofErr w:type="spellStart"/>
      <w:r>
        <w:t>SaMD</w:t>
      </w:r>
      <w:proofErr w:type="spellEnd"/>
      <w:r>
        <w:t xml:space="preserve"> and EHR integration (see FDA-cleared triage devices’ public documentation). | </w:t>
      </w:r>
      <w:proofErr w:type="spellStart"/>
      <w:r>
        <w:t>Aidoc</w:t>
      </w:r>
      <w:proofErr w:type="spellEnd"/>
      <w:r>
        <w:t>/</w:t>
      </w:r>
      <w:proofErr w:type="spellStart"/>
      <w:r>
        <w:t>Viz.ai</w:t>
      </w:r>
      <w:proofErr w:type="spellEnd"/>
      <w:r>
        <w:t>/</w:t>
      </w:r>
      <w:proofErr w:type="spellStart"/>
      <w:r>
        <w:t>Qure</w:t>
      </w:r>
      <w:proofErr w:type="spellEnd"/>
      <w:r>
        <w:t xml:space="preserve"> 510(k) materials |</w:t>
      </w:r>
    </w:p>
    <w:p w14:paraId="65CC2D95" w14:textId="77777777" w:rsidR="00DA74E3" w:rsidRDefault="00DA74E3">
      <w:pPr>
        <w:pBdr>
          <w:bottom w:val="single" w:sz="6" w:space="1" w:color="auto"/>
        </w:pBdr>
      </w:pPr>
    </w:p>
    <w:p w14:paraId="71545A0B" w14:textId="77777777" w:rsidR="00DA74E3" w:rsidRDefault="00DA74E3"/>
    <w:p w14:paraId="4C0F3F3F" w14:textId="77777777" w:rsidR="00DA74E3" w:rsidRDefault="00DA74E3">
      <w:r>
        <w:t>### 4. Novelty (s.2)</w:t>
      </w:r>
    </w:p>
    <w:p w14:paraId="7FFA3943" w14:textId="77777777" w:rsidR="00DA74E3" w:rsidRDefault="00DA74E3"/>
    <w:p w14:paraId="3D73B654" w14:textId="207FDE00" w:rsidR="00DA74E3" w:rsidRDefault="00DA74E3">
      <w:r>
        <w:t>4.1 No single document I am aware of discloses the whole of claim 1. Novelty is therefore *arguable*, provided the search confirms no integrated “safe triage” paper combining conformal gating + OOD + uncertainty + masked attribution (such combinations exist in the trustworthy-ML literature and must be cleared).</w:t>
      </w:r>
    </w:p>
    <w:p w14:paraId="1B267914" w14:textId="77777777" w:rsidR="00DA74E3" w:rsidRDefault="00DA74E3"/>
    <w:p w14:paraId="2DFFAF76" w14:textId="77777777" w:rsidR="00DA74E3" w:rsidRDefault="00DA74E3">
      <w:r>
        <w:t>4.2 However, novelty is not the operative risk. **Inventive step is.**</w:t>
      </w:r>
    </w:p>
    <w:p w14:paraId="44FB0860" w14:textId="77777777" w:rsidR="00DA74E3" w:rsidRDefault="00DA74E3"/>
    <w:p w14:paraId="6D7D21CA" w14:textId="77777777" w:rsidR="00DA74E3" w:rsidRDefault="00DA74E3">
      <w:r>
        <w:t xml:space="preserve">### 5. Inventive step (s.3, </w:t>
      </w:r>
      <w:proofErr w:type="spellStart"/>
      <w:r>
        <w:t>Pozzoli</w:t>
      </w:r>
      <w:proofErr w:type="spellEnd"/>
      <w:r>
        <w:t>)</w:t>
      </w:r>
    </w:p>
    <w:p w14:paraId="74863731" w14:textId="77777777" w:rsidR="00DA74E3" w:rsidRDefault="00DA74E3"/>
    <w:p w14:paraId="5C0059E5" w14:textId="77777777" w:rsidR="00DA74E3" w:rsidRDefault="00DA74E3">
      <w:r>
        <w:t>5.1 The inventive concept of claim 1 is, realistically, *the integration* — five published techniques plus governance plumbing operating in series. UK examiners and opponents will readily assemble this from 3–4 documents combined with CGK.</w:t>
      </w:r>
    </w:p>
    <w:p w14:paraId="14859337" w14:textId="77777777" w:rsidR="00DA74E3" w:rsidRDefault="00DA74E3"/>
    <w:p w14:paraId="636D6378" w14:textId="5ED00C89" w:rsidR="00DA74E3" w:rsidRDefault="00DA74E3">
      <w:r>
        <w:t>5.2 The counter-argument must be **synergy**: that the combination produces an effect greater than the sum of the parts. The specification’s evidence cuts *against* this — the multi-gate audit admits the secondary gates intercepted only 2 of 6 false negatives. The careful honesty is admirable scientifically; it is costly legally.</w:t>
      </w:r>
    </w:p>
    <w:p w14:paraId="768DDF29" w14:textId="77777777" w:rsidR="00DA74E3" w:rsidRDefault="00DA74E3"/>
    <w:p w14:paraId="3BB72FAA" w14:textId="77777777" w:rsidR="00DA74E3" w:rsidRDefault="00DA74E3">
      <w:r>
        <w:t>5.3 The masked-</w:t>
      </w:r>
      <w:proofErr w:type="spellStart"/>
      <w:r>
        <w:t>HiResCAM</w:t>
      </w:r>
      <w:proofErr w:type="spellEnd"/>
      <w:r>
        <w:t xml:space="preserve"> integer is the best platform for a stepped-forward argument (pointing-game hit rate 11.20% → 43.83%), but expect the objection that applying an anatomical mask — particularly one defined by standard HU windows — to suppress a known failure mode (bone gradient hijacking) is an obvious measure with a predictable result.</w:t>
      </w:r>
    </w:p>
    <w:p w14:paraId="7DAC6BB0" w14:textId="77777777" w:rsidR="00DA74E3" w:rsidRDefault="00DA74E3"/>
    <w:p w14:paraId="5AAC4475" w14:textId="77777777" w:rsidR="00DA74E3" w:rsidRDefault="00DA74E3">
      <w:r>
        <w:t xml:space="preserve">### 6. Excluded subject matter (s.1(2), </w:t>
      </w:r>
      <w:proofErr w:type="spellStart"/>
      <w:r>
        <w:t>Aerotel</w:t>
      </w:r>
      <w:proofErr w:type="spellEnd"/>
      <w:r>
        <w:t>)</w:t>
      </w:r>
    </w:p>
    <w:p w14:paraId="1DCB3092" w14:textId="77777777" w:rsidR="00DA74E3" w:rsidRDefault="00DA74E3"/>
    <w:p w14:paraId="17131261" w14:textId="794E3A0A" w:rsidR="00DA74E3" w:rsidRDefault="00DA74E3">
      <w:r>
        <w:t xml:space="preserve">6.1 Claim 1 as a “computer-implemented method” must clear </w:t>
      </w:r>
      <w:proofErr w:type="spellStart"/>
      <w:r>
        <w:t>Aerotel</w:t>
      </w:r>
      <w:proofErr w:type="spellEnd"/>
      <w:r>
        <w:t xml:space="preserve"> step 3–4. The technical effects asserted (bone-</w:t>
      </w:r>
      <w:proofErr w:type="spellStart"/>
      <w:r>
        <w:t>artifact</w:t>
      </w:r>
      <w:proofErr w:type="spellEnd"/>
      <w:r>
        <w:t xml:space="preserve"> suppression; avoiding activation variance collapse) are the strongest candidates. Framing the contribution as *control of a technical imaging pipeline producing a physically meaningful attenuation effect* is more defensible than framing it as statistics.</w:t>
      </w:r>
    </w:p>
    <w:p w14:paraId="51B4D5B3" w14:textId="77777777" w:rsidR="00DA74E3" w:rsidRDefault="00DA74E3"/>
    <w:p w14:paraId="2177124A" w14:textId="77777777" w:rsidR="00DA74E3" w:rsidRDefault="00DA74E3">
      <w:r>
        <w:t>6.2 Claim 9 (monotonicity correlation) is the weakest: it claims a statistical observation and is the most exposed to an excluded-matter objection.</w:t>
      </w:r>
    </w:p>
    <w:p w14:paraId="700567B0" w14:textId="77777777" w:rsidR="00DA74E3" w:rsidRDefault="00DA74E3"/>
    <w:p w14:paraId="1A67BDBB" w14:textId="77777777" w:rsidR="00DA74E3" w:rsidRDefault="00DA74E3">
      <w:r>
        <w:t>### 7. Priority, sufficiency and drafting</w:t>
      </w:r>
    </w:p>
    <w:p w14:paraId="18E66CE7" w14:textId="77777777" w:rsidR="00DA74E3" w:rsidRDefault="00DA74E3"/>
    <w:p w14:paraId="5AEC95B6" w14:textId="77777777" w:rsidR="00DA74E3" w:rsidRDefault="00DA74E3">
      <w:r>
        <w:t xml:space="preserve">7.1 **Priority/s.5.** The senior application (GB2609706.3, filed 25 April 2026) apparently did not disclose </w:t>
      </w:r>
      <w:proofErr w:type="spellStart"/>
      <w:r>
        <w:t>AdaBN</w:t>
      </w:r>
      <w:proofErr w:type="spellEnd"/>
      <w:r>
        <w:t xml:space="preserve">, RMD, conformal gating or masked </w:t>
      </w:r>
      <w:proofErr w:type="spellStart"/>
      <w:r>
        <w:t>HiResCAM</w:t>
      </w:r>
      <w:proofErr w:type="spellEnd"/>
      <w:r>
        <w:t xml:space="preserve">; per G 1/15 partial priority, those integers (and claim 1 as a whole) take the second filing date. **If the inventor published, </w:t>
      </w:r>
      <w:proofErr w:type="spellStart"/>
      <w:r>
        <w:t>preprinted</w:t>
      </w:r>
      <w:proofErr w:type="spellEnd"/>
      <w:r>
        <w:t>, posted code or demonstrated any of this subject matter in the intervening period, UK law provides essentially no grace period (s.60), and that self-disclosure is novelty-destroying for the new matter.** This must be audited as a matter of urgency.</w:t>
      </w:r>
    </w:p>
    <w:p w14:paraId="41383F02" w14:textId="77777777" w:rsidR="00DA74E3" w:rsidRDefault="00DA74E3"/>
    <w:p w14:paraId="25D60C0A" w14:textId="4DC94F13" w:rsidR="00DA74E3" w:rsidRDefault="00DA74E3">
      <w:r>
        <w:t>7.2 **The conformal formulation requires verification.** The published guarantee applies to the empirical risk over the calibration set; the specification substitutes the *positive-only* count (</w:t>
      </w:r>
      <w:proofErr w:type="spellStart"/>
      <w:r>
        <w:t>n_pos</w:t>
      </w:r>
      <w:proofErr w:type="spellEnd"/>
      <w:r>
        <w:t>) in the finite-sample correction while asserting a guarantee on the *conditional* FNR. Whether the bound survives that substitution for future positives is a genuine statistical question, not a drafting nicety. If the maths does not deliver the claimed guarantee, both sufficiency and the “guaranteed FNR ≤ 5%” language are exposed.</w:t>
      </w:r>
    </w:p>
    <w:p w14:paraId="1F98AD15" w14:textId="77777777" w:rsidR="00DA74E3" w:rsidRDefault="00DA74E3"/>
    <w:p w14:paraId="3F34C31D" w14:textId="271891D9" w:rsidR="00DA74E3" w:rsidRDefault="00DA74E3">
      <w:r>
        <w:t>7.3 **Internal inconsistency.** The “calibrated” threshold λ = 0.0753 produced an observed test FNR of 6.79% (above the 5% ceiling), so the specification retreats to a “conservative deployed” λ = 0.0298. A skilled person reading this would ask which threshold the claimed method actually selects — a clarity/support issue under s.14(5).</w:t>
      </w:r>
    </w:p>
    <w:p w14:paraId="662E0A1F" w14:textId="77777777" w:rsidR="00DA74E3" w:rsidRDefault="00DA74E3"/>
    <w:p w14:paraId="0F473842" w14:textId="50807DE3" w:rsidR="00DA74E3" w:rsidRDefault="00DA74E3">
      <w:r>
        <w:t>7.4 **Drafting defects.** The worked example appears twice, verbatim. “Engineering Hypothesis” and “FEASIBILITY ON PUBLIC DATA. NOT CLINICAL EVIDENCE” disclaimers, while honest, sit poorly in a specification whose claims assert enforcement of a risk bound.</w:t>
      </w:r>
    </w:p>
    <w:p w14:paraId="3A45EC28" w14:textId="77777777" w:rsidR="00DA74E3" w:rsidRDefault="00DA74E3"/>
    <w:p w14:paraId="27818C81" w14:textId="77777777" w:rsidR="00DA74E3" w:rsidRDefault="00DA74E3">
      <w:r>
        <w:t>### 8. Recommendations</w:t>
      </w:r>
    </w:p>
    <w:p w14:paraId="2FF7FFC4" w14:textId="77777777" w:rsidR="00DA74E3" w:rsidRDefault="00DA74E3"/>
    <w:p w14:paraId="581BBFF1" w14:textId="77777777" w:rsidR="00DA74E3" w:rsidRDefault="00DA74E3">
      <w:r>
        <w:t xml:space="preserve">1. **Prior art search now** (WPI, MEDLINE/IEEE, </w:t>
      </w:r>
      <w:proofErr w:type="spellStart"/>
      <w:r>
        <w:t>arXiv</w:t>
      </w:r>
      <w:proofErr w:type="spellEnd"/>
      <w:r>
        <w:t>, GitHub, FDA 510(k) summaries and cleared-device publications) before any further investment.</w:t>
      </w:r>
    </w:p>
    <w:p w14:paraId="3B9F742A" w14:textId="77777777" w:rsidR="00DA74E3" w:rsidRDefault="00DA74E3">
      <w:r>
        <w:t>2. **Audit all inventor disclosures April–October 2026** against the priority split.</w:t>
      </w:r>
    </w:p>
    <w:p w14:paraId="6F385382" w14:textId="77777777" w:rsidR="00DA74E3" w:rsidRDefault="00DA74E3">
      <w:r>
        <w:t>3. **Narrow strategically**: the defensible core is the anatomically-masked attribution with quantified effect; consider a claim set built there rather than the full pipeline. Claim 9 should be withdrawn or re-drafted as a mechanism.</w:t>
      </w:r>
    </w:p>
    <w:p w14:paraId="5EE8A3C7" w14:textId="77777777" w:rsidR="00DA74E3" w:rsidRDefault="00DA74E3">
      <w:r>
        <w:t>4. **Repair the specification**: de-duplicate §§7.3–7.4; reconcile the two thresholds; have the conformal guarantee independently verified by a statistician and corrected if necessary; align abstract and claim language.</w:t>
      </w:r>
    </w:p>
    <w:p w14:paraId="1DDFE562" w14:textId="77777777" w:rsidR="00DA74E3" w:rsidRDefault="00DA74E3">
      <w:r>
        <w:t xml:space="preserve">5. **Do not assume foreign filings improve the position**: under the EPO problem-solution approach, </w:t>
      </w:r>
      <w:proofErr w:type="spellStart"/>
      <w:r>
        <w:t>mosaicing</w:t>
      </w:r>
      <w:proofErr w:type="spellEnd"/>
      <w:r>
        <w:t xml:space="preserve"> the same four references is if anything easier.</w:t>
      </w:r>
    </w:p>
    <w:p w14:paraId="316F9D25" w14:textId="77777777" w:rsidR="00DA74E3" w:rsidRDefault="00DA74E3"/>
    <w:p w14:paraId="21EC654B" w14:textId="77777777" w:rsidR="00DA74E3" w:rsidRDefault="00DA74E3">
      <w:r>
        <w:t>**Overall opinion:** The application is *arguably novel as a combination but, on present drafting, unlikely to be found inventive*. Its realistic value lies in the narrow attribution feature and in any synergy evidence that does not yet appear in the specification.</w:t>
      </w:r>
    </w:p>
    <w:p w14:paraId="04F6A15A" w14:textId="77777777" w:rsidR="00DA74E3" w:rsidRDefault="00DA74E3"/>
    <w:p w14:paraId="0498A888" w14:textId="77777777" w:rsidR="00DA74E3" w:rsidRDefault="00DA74E3">
      <w:r>
        <w:t>*(Simulated attorney analysis only; obtain a formal opinion from a chartered patent attorney before acting.)*</w:t>
      </w:r>
    </w:p>
    <w:p w14:paraId="7CE0BD20" w14:textId="77777777" w:rsidR="00DA74E3" w:rsidRDefault="00DA74E3"/>
    <w:sectPr w:rsidR="00DA74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EBD"/>
    <w:multiLevelType w:val="multilevel"/>
    <w:tmpl w:val="FFFFFFFF"/>
    <w:lvl w:ilvl="0">
      <w:start w:val="1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4237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17"/>
    <w:rsid w:val="007651EB"/>
    <w:rsid w:val="00A60B17"/>
    <w:rsid w:val="00DA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F1945"/>
  <w15:chartTrackingRefBased/>
  <w15:docId w15:val="{C92F2C81-00AB-1646-94B4-1D9B020D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7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2084</Words>
  <Characters>11880</Characters>
  <Application>Microsoft Office Word</Application>
  <DocSecurity>0</DocSecurity>
  <Lines>99</Lines>
  <Paragraphs>27</Paragraphs>
  <ScaleCrop>false</ScaleCrop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Dolapo Ariyo</dc:creator>
  <cp:keywords/>
  <dc:description/>
  <cp:lastModifiedBy>Dolapo Ariyo</cp:lastModifiedBy>
  <cp:revision>2</cp:revision>
  <dcterms:created xsi:type="dcterms:W3CDTF">2026-10-29T15:06:00Z</dcterms:created>
  <dcterms:modified xsi:type="dcterms:W3CDTF">2026-10-29T15:06:00Z</dcterms:modified>
</cp:coreProperties>
</file>