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spacing w:after="120" w:line="320" w:lineRule="exact"/>
        <w:jc w:val="both"/>
      </w:pPr>
      <w:r>
        <w:rPr>
          <w:rFonts w:ascii="Times New Roman" w:hAnsi="Times New Roman"/>
          <w:b w:val="0"/>
          <w:i w:val="0"/>
          <w:sz w:val="24"/>
        </w:rPr>
        <w:t>7. Technical Synergy and Functional Interdependence of the Integrated Architecture:</w:t>
      </w:r>
    </w:p>
    <w:p>
      <w:pPr>
        <w:spacing w:after="120" w:line="320" w:lineRule="exact"/>
        <w:jc w:val="both"/>
      </w:pPr>
      <w:r>
        <w:rPr>
          <w:rFonts w:ascii="Times New Roman" w:hAnsi="Times New Roman"/>
          <w:b w:val="0"/>
          <w:i w:val="0"/>
          <w:sz w:val="24"/>
        </w:rPr>
        <w:t>The technical integers of the platform operate as a functionally interdependent pipeline rather than an aggregated sequence of independent heuristics:</w:t>
      </w:r>
    </w:p>
    <w:p>
      <w:pPr>
        <w:spacing w:after="120" w:line="320" w:lineRule="exact"/>
        <w:jc w:val="both"/>
      </w:pPr>
      <w:r>
        <w:rPr>
          <w:rFonts w:ascii="Times New Roman" w:hAnsi="Times New Roman"/>
          <w:b w:val="0"/>
          <w:i w:val="0"/>
          <w:sz w:val="24"/>
        </w:rPr>
        <w:t>(a) Exchangeability Maintenance: Unsupervised Zero-Label AdaBN realigns internal activation distributions across disparate hospital scanner hardware without altering discriminative filter weights, directly satisfying the exchangeability prerequisite between calibration data and target-site inference data required for the finite-sample Split Conformal Risk Control guarantee (E[FNR_cond] &lt;= alpha); absent this domain adaptation, scanner-induced covariate shifts cause test loss to violate the calibration-derived bound;</w:t>
      </w:r>
    </w:p>
    <w:p>
      <w:pPr>
        <w:spacing w:after="120" w:line="320" w:lineRule="exact"/>
        <w:jc w:val="both"/>
      </w:pPr>
      <w:r>
        <w:rPr>
          <w:rFonts w:ascii="Times New Roman" w:hAnsi="Times New Roman"/>
          <w:b w:val="0"/>
          <w:i w:val="0"/>
          <w:sz w:val="24"/>
        </w:rPr>
        <w:t>(b) Covariate-Invariant Representation for Out-of-Distribution Gating: Relative Mahalanobis Distance (RMD) out-of-distribution detection operates on penultimate feature representations extracted from the AdaBN-adapted network, preventing scanner acquisition differences from perturbing background-relative distance metrics and thereby isolating pathological out-of-distribution inputs from scanner-specific hardware variations;</w:t>
      </w:r>
    </w:p>
    <w:p>
      <w:pPr>
        <w:spacing w:after="120" w:line="320" w:lineRule="exact"/>
        <w:jc w:val="both"/>
      </w:pPr>
      <w:r>
        <w:rPr>
          <w:rFonts w:ascii="Times New Roman" w:hAnsi="Times New Roman"/>
          <w:b w:val="0"/>
          <w:i w:val="0"/>
          <w:sz w:val="24"/>
        </w:rPr>
        <w:t>(c) Attribution Artifact Suppression for Metacognitive Plausibility Verification: Anatomically-Masked HiResCAM removes high-attenuation bone gradient artifacts (0 to +85 HU window) before saliency maps are ingested by the 9-layer metacognition safety engine (Layer 4 attribution coherence), preventing false-positive escalations induced by skull hyperdensities and ensuring that explainability outputs accurately correspond to intracranial pathology;</w:t>
      </w:r>
    </w:p>
    <w:p>
      <w:pPr>
        <w:spacing w:after="120" w:line="320" w:lineRule="exact"/>
        <w:jc w:val="both"/>
      </w:pPr>
      <w:r>
        <w:rPr>
          <w:rFonts w:ascii="Times New Roman" w:hAnsi="Times New Roman"/>
          <w:b w:val="0"/>
          <w:i w:val="0"/>
          <w:sz w:val="24"/>
        </w:rPr>
        <w:t>(d) Complementary Failure-Mode Partitioning: The conformal risk control gate, OOD detection gate, and epistemic uncertainty evaluation target mutually distinct failure domains (in-distribution statistical calibration error, out-of-distribution covariate drift, and physical sensor/acquisition noise, respectively). Rather than an empirical assertion of seamless collective error elimination—disclaimed by retrospective audit data showing that secondary gates intercepted 2 of 6 observed false negatives—the integrated architecture establishes a structured defense-in-depth where each gate bounds a specific mathematical or physical failure mode.</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is the calibration-derived theoretical supremum satisfying the finite-sample Bates et al. (2021) bound (conditional bound = 0.0488 &lt;= 0.05 at n_pos = 40). lambda = 0.0298 is the conservative deployed operational threshold, incorporating an additional safety margin below the calibration bound. The claimed method operates at the deployed threshold lambda = 0.0298, achieving observed test conditional FNR 3.70% (6/162). The calibrated bound at lambda = 0.0753 represents the theoretical limit; the observed test FNR at that threshold (6.79%, 11/162) reflects finite holdout sample variance and does not breach the pre-registered 5.0% expected risk ceiling under the exchangeability assumption.</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+1500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spacing w:before="160" w:after="60"/>
        <w:jc w:val="left"/>
      </w:pPr>
      <w:r>
        <w:rPr>
          <w:rFonts w:ascii="Times New Roman" w:hAnsi="Times New Roman"/>
          <w:b/>
          <w:sz w:val="22"/>
        </w:rPr>
        <w:t>7.7 Technical Synergy and Functional Coupling Across Pipeline Stages</w:t>
      </w:r>
    </w:p>
    <w:p>
      <w:pPr>
        <w:spacing w:after="120" w:line="320" w:lineRule="exact"/>
        <w:jc w:val="both"/>
      </w:pPr>
      <w:r>
        <w:rPr>
          <w:rFonts w:ascii="Times New Roman" w:hAnsi="Times New Roman"/>
          <w:b w:val="0"/>
          <w:i w:val="0"/>
          <w:sz w:val="24"/>
        </w:rPr>
        <w:t>The technical integers of the present invention do not operate as isolated, sequential processing steps, but rather exhibit structural functional coupling wherein upstream modules directly precondition the mathematical or operational validity of downstream safety and governance mechanisms:</w:t>
      </w:r>
    </w:p>
    <w:p>
      <w:pPr>
        <w:spacing w:after="120" w:line="320" w:lineRule="exact"/>
        <w:jc w:val="both"/>
      </w:pPr>
      <w:r>
        <w:rPr>
          <w:rFonts w:ascii="Times New Roman" w:hAnsi="Times New Roman"/>
          <w:b w:val="0"/>
          <w:i w:val="0"/>
          <w:sz w:val="24"/>
        </w:rPr>
        <w:t>1. Preconditioning Conformal Risk Control Exchangeability via AdaBN:</w:t>
      </w:r>
    </w:p>
    <w:p>
      <w:pPr>
        <w:spacing w:after="120" w:line="320" w:lineRule="exact"/>
        <w:jc w:val="both"/>
      </w:pPr>
      <w:r>
        <w:rPr>
          <w:rFonts w:ascii="Times New Roman" w:hAnsi="Times New Roman"/>
          <w:b w:val="0"/>
          <w:i w:val="0"/>
          <w:sz w:val="24"/>
        </w:rPr>
        <w:t>Split Conformal Risk Control (Bates et al., 2021) mathematically guarantees that the expected conditional False Negative Rate satisfies E[FNR_cond] &lt;= alpha under the fundamental assumption that calibration instances D_cal and future test instances X_{n+1} are independent and identically distributed (exchangeable). In multi-centre clinical radiology deployment, variations in scanner manufacturer, detector geometry, reconstruction kernels, and slice thickness introduce substantial covariate shift. If unaddressed, this shift breaks the exchangeability condition, causing empirical test risk to diverge from the pre-registered bound. By updating running mean and variance statistics on an unlabelled stream of target-site scans without updating convolutional filter weights, Zero-Label AdaBN performs test-time domain adaptation that realigns the target feature distribution to the calibration manifold, technically preserving the exchangeability assumption without requiring target-site annotations.</w:t>
      </w:r>
    </w:p>
    <w:p>
      <w:pPr>
        <w:spacing w:after="120" w:line="320" w:lineRule="exact"/>
        <w:jc w:val="both"/>
      </w:pPr>
      <w:r>
        <w:rPr>
          <w:rFonts w:ascii="Times New Roman" w:hAnsi="Times New Roman"/>
          <w:b w:val="0"/>
          <w:i w:val="0"/>
          <w:sz w:val="24"/>
        </w:rPr>
        <w:t>2. Preconditioning Latent Representations for RMD Out-of-Distribution Gating:</w:t>
      </w:r>
    </w:p>
    <w:p>
      <w:pPr>
        <w:spacing w:after="120" w:line="320" w:lineRule="exact"/>
        <w:jc w:val="both"/>
      </w:pPr>
      <w:r>
        <w:rPr>
          <w:rFonts w:ascii="Times New Roman" w:hAnsi="Times New Roman"/>
          <w:b w:val="0"/>
          <w:i w:val="0"/>
          <w:sz w:val="24"/>
        </w:rPr>
        <w:t>The Relative Mahalanobis Distance metric RMD(x) = min_c M(z(x); mu_c, Sigma) - M(z(x); mu_0, Sigma_0) measures distance to class centroids relative to an unconditioned background centroid mu_0 in penultimate latent space z(x). If scanner-specific covariate shifts are present in the feature space, the background distance M(z(x); mu_0, Sigma_0) becomes distorted by acquisition hardware differences rather than genuine anatomical or pathological anomalies, leading to elevated false OOD escalations or masking true out-of-distribution scans. AdaBN normalization standardizes the latent activation manifold prior to RMD evaluation, ensuring that the Ledoit-Wolf regularized covariance metric specifically isolates distribution shifts caused by pathology, foreign artifacts, or out-of-domain anatomy.</w:t>
      </w:r>
    </w:p>
    <w:p>
      <w:pPr>
        <w:spacing w:after="120" w:line="320" w:lineRule="exact"/>
        <w:jc w:val="both"/>
      </w:pPr>
      <w:r>
        <w:rPr>
          <w:rFonts w:ascii="Times New Roman" w:hAnsi="Times New Roman"/>
          <w:b w:val="0"/>
          <w:i w:val="0"/>
          <w:sz w:val="24"/>
        </w:rPr>
        <w:t>3. Coupling Anatomically-Masked Attribution with Metacognitive Verification:</w:t>
      </w:r>
    </w:p>
    <w:p>
      <w:pPr>
        <w:spacing w:after="120" w:line="320" w:lineRule="exact"/>
        <w:jc w:val="both"/>
      </w:pPr>
      <w:r>
        <w:rPr>
          <w:rFonts w:ascii="Times New Roman" w:hAnsi="Times New Roman"/>
          <w:b w:val="0"/>
          <w:i w:val="0"/>
          <w:sz w:val="24"/>
        </w:rPr>
        <w:t>Standard gradient-based saliency methods (such as Grad-CAM) suffer from activation hijacking in neuroimaging CT, where cortical bone (+1000 HU) attracts gradient energy away from haematomas, yielding a baseline pointing-game accuracy of only 11.20%. In the present architecture, the Anatomically-Masked HiResCAM module applies an intracranial soft-tissue mask (0 to +85 HU) by element-wise multiplication directly to unpooled feature activations, elevating pointing-game hit rate to 43.83%. This suppressed saliency map is not merely rendered for visual review, but is fed directly to Layer 4 (Attribution Coherence) of the 9-layer metacognition safety engine. By eliminating skull-bone false positives from the attribution map, the upstream masking directly enables downstream automated verification of whether model attention coheres with clinically plausible parenchymal haemorrhage locations, preventing erroneous metacognitive gating decisions.</w:t>
      </w:r>
    </w:p>
    <w:p>
      <w:pPr>
        <w:spacing w:after="120" w:line="320" w:lineRule="exact"/>
        <w:jc w:val="both"/>
      </w:pPr>
      <w:r>
        <w:rPr>
          <w:rFonts w:ascii="Times New Roman" w:hAnsi="Times New Roman"/>
          <w:b w:val="0"/>
          <w:i w:val="0"/>
          <w:sz w:val="24"/>
        </w:rPr>
        <w:t>4. Orthogonal Failure-Mode Defense-in-Depth:</w:t>
      </w:r>
    </w:p>
    <w:p>
      <w:pPr>
        <w:spacing w:after="120" w:line="320" w:lineRule="exact"/>
        <w:jc w:val="both"/>
      </w:pPr>
      <w:r>
        <w:rPr>
          <w:rFonts w:ascii="Times New Roman" w:hAnsi="Times New Roman"/>
          <w:b w:val="0"/>
          <w:i w:val="0"/>
          <w:sz w:val="24"/>
        </w:rPr>
        <w:t>The multi-tiered safety architecture avoids reliance on any single safety assumption by distributing oversight across orthogonal failure modes:</w:t>
      </w:r>
    </w:p>
    <w:p>
      <w:pPr>
        <w:pStyle w:val="ListBullet"/>
        <w:spacing w:after="60"/>
        <w:ind w:left="425"/>
      </w:pPr>
      <w:r>
        <w:rPr>
          <w:rFonts w:ascii="Times New Roman" w:hAnsi="Times New Roman"/>
          <w:sz w:val="22"/>
        </w:rPr>
        <w:t>Conformal Risk Control provides distribution-free statistical risk bounds for in-distribution candidate positive cases;</w:t>
      </w:r>
    </w:p>
    <w:p>
      <w:pPr>
        <w:pStyle w:val="ListBullet"/>
        <w:spacing w:after="60"/>
        <w:ind w:left="425"/>
      </w:pPr>
      <w:r>
        <w:rPr>
          <w:rFonts w:ascii="Times New Roman" w:hAnsi="Times New Roman"/>
          <w:sz w:val="22"/>
        </w:rPr>
        <w:t>Relative Mahalanobis Distance detects representations that deviate from the training distribution, capturing anomalous presentations that violate the manifold assumption;</w:t>
      </w:r>
    </w:p>
    <w:p>
      <w:pPr>
        <w:pStyle w:val="ListBullet"/>
        <w:spacing w:after="60"/>
        <w:ind w:left="425"/>
      </w:pPr>
      <w:r>
        <w:rPr>
          <w:rFonts w:ascii="Times New Roman" w:hAnsi="Times New Roman"/>
          <w:sz w:val="22"/>
        </w:rPr>
        <w:t>Monte Carlo Dropout uncertainty evaluation monitors epistemic variance monotonicity under physical acquisition perturbations, detecting image sensor degradation or motion artifacts; and</w:t>
      </w:r>
    </w:p>
    <w:p>
      <w:pPr>
        <w:pStyle w:val="ListBullet"/>
        <w:spacing w:after="60"/>
        <w:ind w:left="425"/>
      </w:pPr>
      <w:r>
        <w:rPr>
          <w:rFonts w:ascii="Times New Roman" w:hAnsi="Times New Roman"/>
          <w:sz w:val="22"/>
        </w:rPr>
        <w:t>Cryptographic database constraints prevent unauthorized release regardless of algorithmic confidence scores.</w:t>
      </w:r>
    </w:p>
    <w:p>
      <w:pPr>
        <w:spacing w:after="120" w:line="320" w:lineRule="exact"/>
        <w:jc w:val="both"/>
      </w:pPr>
      <w:r>
        <w:rPr>
          <w:rFonts w:ascii="Times New Roman" w:hAnsi="Times New Roman"/>
          <w:b w:val="0"/>
          <w:i w:val="0"/>
          <w:sz w:val="24"/>
        </w:rPr>
        <w:t>The retrospective multi-gate audit (§7.3, §7.4)—which candidly disclosed that secondary gates intercepted 2 of 6 false negatives while 4 were not flagged—substantiates that the secondary gates operate on distinct failure modes rather than providing an impenetrable, seamless catch-all. The synergy of the claimed invention lies in the closed-loop functional dependencies and mutual operational preconditioning among these specialized components, rather than an unverified assertion of absolute empirical infallibility.</w:t>
      </w:r>
    </w:p>
    <w:p>
      <w:pPr>
        <w:pBdr>
          <w:bottom w:val="single" w:sz="6" w:space="1" w:color="000000"/>
        </w:pBdr>
        <w:spacing w:after="160"/>
      </w:pP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cryptographic clinician digital sign-off enforced as a database-level constraint.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satisfying: lambda = sup { lambda' in [0, 1] : (n_pos / (n_pos + 1)) * R_n(lambda') + (1 / (n_pos + 1)) &lt;= alpha } where n is calibration sample size, n_pos is the number of positive-class calibration studies, and R_n(lambda') is the empirical conditional false-negative rate: R_n(lambda') = (1 / n_pos) * sum_{i: Y_i=1} I(S(X_i) &lt; lambda') wherein if no threshold lambda'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N stochastic Monte Carlo Dropout forward passes; detecting when said epistemic variance fails to exhibit a monotonically increasing relationship with measured image acquisition noise level; and upon detecting such a failure of the expected noise-response behaviour, automatically escalating the associated scan to mandatory human clinical review, thereby providing a physics-grounded sensor integrity check that alerts the clinical routing system when its own uncertainty estimates decouple from the expected physical response to imaging degradation; wherein in a specific embodiment evaluated across five Gaussian noise levels (sigma in {0.00, 0.05, 0.10, 0.20, 0.35}), a positive Spearman rank correlation of rho = 0.9000 (p = 0.0374) was experimentally observed, confirming operation of the physics-monotonic uncertainty response under controlled conditions.</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digital signature validation, wherein dispatch of prioritised clinical alerts is blocked absent cryptographic clinician verification.</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convolutional neural network final activation layer by multiplying element-wise the gradient of the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(+800 to +2000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normalizing the resulting masked attribution map to produce a bone-artifact-suppressed saliency overlay for radiological review, wherein the bone artifact suppression produces a technically measurable improvement in attribution localisation, demonstrated by improvement in pointing-game hit rate from 11.20% to 43.83% per expert bounding box annotation across 6,283 annotations in 226 positive studies.</w:t>
      </w:r>
    </w:p>
    <w:p>
      <w:pPr>
        <w:spacing w:after="160" w:line="360" w:lineRule="exact"/>
        <w:ind w:hanging="283" w:left="283"/>
        <w:jc w:val="both"/>
      </w:pPr>
      <w:r>
        <w:rPr>
          <w:rFonts w:ascii="Times New Roman" w:hAnsi="Times New Roman"/>
          <w:b/>
          <w:sz w:val="24"/>
        </w:rPr>
        <w:t xml:space="preserve">22.  </w:t>
      </w:r>
      <w:r>
        <w:rPr>
          <w:rFonts w:ascii="Times New Roman" w:hAnsi="Times New Roman"/>
          <w:sz w:val="24"/>
        </w:rPr>
        <w:t>The method of Claim 1, wherein: (a) adapting batch normalisation statistics via zero-label adaptive batch normalisation in step (b) pre-aligns target scanner feature distributions to maintain exchangeability between calibration and operational inference inputs for the split conformal risk control prediction gate of step (d); (b) the out-of-distribution score of step (c) is computed over penultimate feature vectors extracted following said batch normalisation adaptation, thereby preventing scanner-induced covariate shifts from distorting background-relative Mahalanobis distance calculation; and (c) the explainable spatial saliency map generated in step (f) is coupled to a multi-layer metacognition engine to verify attribution coherence against segmented soft-tissue intracranial structures, thereby preventing calvarial bone gradient hijacking from corrupting downstream clinical routing decisions.</w:t>
      </w:r>
    </w:p>
    <w:p>
      <w:r>
        <w:br w:type="page"/>
      </w:r>
    </w:p>
    <w:p>
      <w:pPr>
        <w:spacing w:line="240" w:lineRule="auto" w:before="0" w:after="120"/>
        <w:jc w:val="center"/>
      </w:pPr>
      <w:r>
        <w:rPr>
          <w:rFonts w:ascii="Times New Roman" w:hAnsi="Times New Roman"/>
          <w:b/>
          <w:sz w:val="22"/>
        </w:rPr>
        <w:t>PATENT DRAWINGS SHEET 1/8</w:t>
        <w:br/>
        <w:t>FIG. 1: HIGH-LEVEL SYSTEM ARCHITECTURE &amp; 7-LAYER SAFETY PIPELINE</w:t>
      </w:r>
    </w:p>
    <w:p>
      <w:pPr>
        <w:spacing w:line="240" w:lineRule="auto" w:before="0" w:after="0"/>
        <w:jc w:val="center"/>
      </w:pPr>
      <w:r>
        <w:drawing>
          <wp:inline xmlns:a="http://schemas.openxmlformats.org/drawingml/2006/main" xmlns:pic="http://schemas.openxmlformats.org/drawingml/2006/picture">
            <wp:extent cx="4937760" cy="630801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2/8</w:t>
        <w:br/>
        <w:t>FIG. 2: SPLIT CONFORMAL RISK CONTROL CALIBRATION &amp; INFERENCE</w:t>
      </w:r>
    </w:p>
    <w:p>
      <w:pPr>
        <w:spacing w:line="240" w:lineRule="auto" w:before="0" w:after="0"/>
        <w:jc w:val="center"/>
      </w:pPr>
      <w:r>
        <w:drawing>
          <wp:inline xmlns:a="http://schemas.openxmlformats.org/drawingml/2006/main" xmlns:pic="http://schemas.openxmlformats.org/drawingml/2006/picture">
            <wp:extent cx="4937760" cy="630801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3/8</w:t>
        <w:br/>
        <w:t>FIG. 3: ZERO-LABEL ADAPTIVE BATCH NORMALISATION (AdaBN)</w:t>
      </w:r>
    </w:p>
    <w:p>
      <w:pPr>
        <w:spacing w:line="240" w:lineRule="auto" w:before="0" w:after="0"/>
        <w:jc w:val="center"/>
      </w:pPr>
      <w:r>
        <w:drawing>
          <wp:inline xmlns:a="http://schemas.openxmlformats.org/drawingml/2006/main" xmlns:pic="http://schemas.openxmlformats.org/drawingml/2006/picture">
            <wp:extent cx="4937760" cy="630801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4/8</w:t>
        <w:br/>
        <w:t>FIG. 4: ANATOMICALLY MASKED HiResCAM ATTRIBUTION</w:t>
      </w:r>
    </w:p>
    <w:p>
      <w:pPr>
        <w:spacing w:line="240" w:lineRule="auto" w:before="0" w:after="0"/>
        <w:jc w:val="center"/>
      </w:pPr>
      <w:r>
        <w:drawing>
          <wp:inline xmlns:a="http://schemas.openxmlformats.org/drawingml/2006/main" xmlns:pic="http://schemas.openxmlformats.org/drawingml/2006/picture">
            <wp:extent cx="4937760" cy="630801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5/8</w:t>
        <w:br/>
        <w:t>FIG. 5: EPISTEMIC UNCERTAINTY VARIANCE MONOTONICITY</w:t>
      </w:r>
    </w:p>
    <w:p>
      <w:pPr>
        <w:spacing w:line="240" w:lineRule="auto" w:before="0" w:after="0"/>
        <w:jc w:val="center"/>
      </w:pPr>
      <w:r>
        <w:drawing>
          <wp:inline xmlns:a="http://schemas.openxmlformats.org/drawingml/2006/main" xmlns:pic="http://schemas.openxmlformats.org/drawingml/2006/picture">
            <wp:extent cx="4937760" cy="630801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6/8</w:t>
        <w:br/>
        <w:t>FIG. 6: STROKE CODE AUTOMATED MULTI-CHANNEL DISPATCH</w:t>
      </w:r>
    </w:p>
    <w:p>
      <w:pPr>
        <w:spacing w:line="240" w:lineRule="auto" w:before="0" w:after="0"/>
        <w:jc w:val="center"/>
      </w:pPr>
      <w:r>
        <w:drawing>
          <wp:inline xmlns:a="http://schemas.openxmlformats.org/drawingml/2006/main" xmlns:pic="http://schemas.openxmlformats.org/drawingml/2006/picture">
            <wp:extent cx="4937760" cy="630801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7/8</w:t>
        <w:br/>
        <w:t>FIG. 7: SOVEREIGN DUAL-PATH DEPLOYMENT ARCHITECTURE</w:t>
      </w:r>
    </w:p>
    <w:p>
      <w:pPr>
        <w:spacing w:line="240" w:lineRule="auto" w:before="0" w:after="0"/>
        <w:jc w:val="center"/>
      </w:pPr>
      <w:r>
        <w:drawing>
          <wp:inline xmlns:a="http://schemas.openxmlformats.org/drawingml/2006/main" xmlns:pic="http://schemas.openxmlformats.org/drawingml/2006/picture">
            <wp:extent cx="4937760" cy="630801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8/8</w:t>
        <w:br/>
        <w:t>FIG. 8: MULTI-MODAL EMERGENCY RADIOLOGY TRIAGE PIPELINE</w:t>
      </w:r>
    </w:p>
    <w:p>
      <w:pPr>
        <w:spacing w:line="240" w:lineRule="auto" w:before="0" w:after="0"/>
        <w:jc w:val="center"/>
      </w:pPr>
      <w:r>
        <w:drawing>
          <wp:inline xmlns:a="http://schemas.openxmlformats.org/drawingml/2006/main" xmlns:pic="http://schemas.openxmlformats.org/drawingml/2006/picture">
            <wp:extent cx="4937760" cy="6240580"/>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4937760" cy="6240580"/>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