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UK PATENT APPLICATION — SPECIFICATION AND CLAIMS</w:t>
      </w:r>
    </w:p>
    <w:p/>
    <w:p>
      <w:pPr>
        <w:spacing w:after="60"/>
        <w:jc w:val="left"/>
      </w:pPr>
      <w:r>
        <w:rPr>
          <w:rFonts w:ascii="Times New Roman" w:hAnsi="Times New Roman"/>
          <w:b/>
          <w:sz w:val="22"/>
        </w:rPr>
        <w:t xml:space="preserve">Filing Body: </w:t>
      </w:r>
      <w:r>
        <w:rPr>
          <w:rFonts w:ascii="Times New Roman" w:hAnsi="Times New Roman"/>
          <w:sz w:val="22"/>
        </w:rPr>
        <w:t>United Kingdom Intellectual Property Office (UKIPO)</w:t>
      </w:r>
    </w:p>
    <w:p>
      <w:pPr>
        <w:spacing w:after="60"/>
        <w:jc w:val="left"/>
      </w:pPr>
      <w:r>
        <w:rPr>
          <w:rFonts w:ascii="Times New Roman" w:hAnsi="Times New Roman"/>
          <w:b/>
          <w:sz w:val="22"/>
        </w:rPr>
        <w:t xml:space="preserve">Application Type: </w:t>
      </w:r>
      <w:r>
        <w:rPr>
          <w:rFonts w:ascii="Times New Roman" w:hAnsi="Times New Roman"/>
          <w:sz w:val="22"/>
        </w:rPr>
        <w:t>Second UK National Patent Application (Patents Act 1977 s.14)</w:t>
      </w:r>
    </w:p>
    <w:p>
      <w:pPr>
        <w:spacing w:after="60"/>
        <w:jc w:val="left"/>
      </w:pPr>
      <w:r>
        <w:rPr>
          <w:rFonts w:ascii="Times New Roman" w:hAnsi="Times New Roman"/>
          <w:b/>
          <w:sz w:val="22"/>
        </w:rPr>
        <w:t xml:space="preserve">Priority Claim: </w:t>
      </w:r>
      <w:r>
        <w:rPr>
          <w:rFonts w:ascii="Times New Roman" w:hAnsi="Times New Roman"/>
          <w:sz w:val="22"/>
        </w:rPr>
        <w:t>UK Patent Application No. GB2609706.3, filed 25 April 2026, pursuant to s.5(2) Patents Act 1977 / Article 4 Paris Convention</w:t>
      </w:r>
    </w:p>
    <w:p>
      <w:pPr>
        <w:spacing w:after="60"/>
        <w:jc w:val="left"/>
      </w:pPr>
      <w:r>
        <w:rPr>
          <w:rFonts w:ascii="Times New Roman" w:hAnsi="Times New Roman"/>
          <w:b/>
          <w:sz w:val="22"/>
        </w:rPr>
        <w:t xml:space="preserve">Applicant: </w:t>
      </w:r>
      <w:r>
        <w:rPr>
          <w:rFonts w:ascii="Times New Roman" w:hAnsi="Times New Roman"/>
          <w:sz w:val="22"/>
        </w:rPr>
        <w:t>STOREGRILL INC LTD (Company No. 14581073)</w:t>
      </w:r>
    </w:p>
    <w:p>
      <w:pPr>
        <w:spacing w:after="60"/>
        <w:jc w:val="left"/>
      </w:pPr>
      <w:r>
        <w:rPr>
          <w:rFonts w:ascii="Times New Roman" w:hAnsi="Times New Roman"/>
          <w:b/>
          <w:sz w:val="22"/>
        </w:rPr>
        <w:t xml:space="preserve">Inventor: </w:t>
      </w:r>
      <w:r>
        <w:rPr>
          <w:rFonts w:ascii="Times New Roman" w:hAnsi="Times New Roman"/>
          <w:sz w:val="22"/>
        </w:rPr>
        <w:t>Dolapo Ariyo</w:t>
      </w:r>
    </w:p>
    <w:p>
      <w:pPr>
        <w:spacing w:after="60"/>
        <w:jc w:val="left"/>
      </w:pPr>
      <w:r>
        <w:rPr>
          <w:rFonts w:ascii="Times New Roman" w:hAnsi="Times New Roman"/>
          <w:b/>
          <w:sz w:val="22"/>
        </w:rPr>
        <w:t xml:space="preserve">Address: </w:t>
      </w:r>
      <w:r>
        <w:rPr>
          <w:rFonts w:ascii="Times New Roman" w:hAnsi="Times New Roman"/>
          <w:sz w:val="22"/>
        </w:rPr>
        <w:t>18 Hampshire Close, Binley, Coventry, CV3 2FP, United Kingdom</w:t>
      </w:r>
    </w:p>
    <w:p>
      <w:pPr>
        <w:spacing w:after="60"/>
        <w:jc w:val="left"/>
      </w:pPr>
      <w:r>
        <w:rPr>
          <w:rFonts w:ascii="Times New Roman" w:hAnsi="Times New Roman"/>
          <w:b/>
          <w:sz w:val="22"/>
        </w:rPr>
        <w:t xml:space="preserve">Statutory Marking: </w:t>
      </w:r>
      <w:r>
        <w:rPr>
          <w:rFonts w:ascii="Times New Roman" w:hAnsi="Times New Roman"/>
          <w:sz w:val="22"/>
        </w:rPr>
        <w:t>FEASIBILITY ON PUBLIC DATA. NOT CLINICAL EVIDENCE. PRE-CLINICAL SPECIFICATION (TRL 5 → TRL 6 PLANNED).</w:t>
      </w:r>
    </w:p>
    <w:p>
      <w:pPr>
        <w:pBdr>
          <w:bottom w:val="single" w:sz="6" w:space="1" w:color="000000"/>
        </w:pBdr>
        <w:spacing w:after="160"/>
      </w:pPr>
    </w:p>
    <w:p>
      <w:pPr>
        <w:pBdr>
          <w:bottom w:val="single" w:sz="6" w:space="1" w:color="000000"/>
        </w:pBdr>
        <w:spacing w:after="160"/>
      </w:pPr>
    </w:p>
    <w:p>
      <w:pPr>
        <w:spacing w:before="240" w:after="80"/>
        <w:jc w:val="left"/>
      </w:pPr>
      <w:r>
        <w:rPr>
          <w:rFonts w:ascii="Times New Roman" w:hAnsi="Times New Roman"/>
          <w:b/>
          <w:sz w:val="24"/>
        </w:rPr>
        <w:t>TITLE OF THE INVENTION</w:t>
      </w:r>
    </w:p>
    <w:p>
      <w:pPr>
        <w:spacing w:after="120" w:line="320" w:lineRule="exact"/>
        <w:jc w:val="both"/>
      </w:pPr>
      <w:r>
        <w:rPr>
          <w:rFonts w:ascii="Times New Roman" w:hAnsi="Times New Roman"/>
          <w:b w:val="0"/>
          <w:i w:val="0"/>
          <w:sz w:val="24"/>
        </w:rPr>
        <w:t>CLINICAL ARTIFICIAL INTELLIGENCE PLATFORM AND METHOD FOR DISTRIBUTION-FREE STATISTICAL RISK-CONTROLLED RADIOLOGICAL TRIAGE, ZERO-LABEL DOMAIN ADAPTATION, AND ANATOMICALLY-BOUNDED ATTRIBUTION</w:t>
      </w:r>
    </w:p>
    <w:p>
      <w:pPr>
        <w:pBdr>
          <w:bottom w:val="single" w:sz="6" w:space="1" w:color="000000"/>
        </w:pBdr>
        <w:spacing w:after="160"/>
      </w:pPr>
    </w:p>
    <w:p>
      <w:pPr>
        <w:spacing w:before="240" w:after="80"/>
        <w:jc w:val="left"/>
      </w:pPr>
      <w:r>
        <w:rPr>
          <w:rFonts w:ascii="Times New Roman" w:hAnsi="Times New Roman"/>
          <w:b/>
          <w:sz w:val="24"/>
        </w:rPr>
        <w:t>1. ABSTRACT</w:t>
      </w:r>
    </w:p>
    <w:p>
      <w:pPr>
        <w:spacing w:after="120" w:line="320" w:lineRule="exact"/>
        <w:jc w:val="both"/>
      </w:pPr>
      <w:r>
        <w:rPr>
          <w:rFonts w:ascii="Times New Roman" w:hAnsi="Times New Roman"/>
          <w:b w:val="0"/>
          <w:i w:val="0"/>
          <w:sz w:val="24"/>
        </w:rPr>
        <w:t>A computer-implemented clinical artificial intelligence platform and method for safe, time-critical diagnostic triage of digital medical imaging studies. The platform integrates a multi-engine convolutional and transformer pipeline with: (i) an unsupervised Zero-Label Adaptive Batch Normalisation (AdaBN) module that updates running mean and variance feature statistics on target scanner distributions with frozen convolutional weights; (ii) an Out-Of-Distribution (OOD) filter employing Relative Mahalanobis Distance (RMD) contrasting class-conditional latent representations against an unconditioned background distribution using shrinkage covariance regularization; (iii) a Split Conformal Risk Control safety gate that establishes finite-sample expected risk bounds on the conditional False Negative Rate among positive-class imaging studies (E[FNR_cond] &lt;= alpha) under exchangeability, using an empirical calibration quantile threshold (lambda) selected as the supremum of safe thresholds satisfying the finite-sample Bates et al. (2021) bound; (iv) an explainability engine providing High-Resolution Class Activation Mapping (HiResCAM) constrained by automated soft-tissue anatomical segmentations to substantially attenuate skull-bone hyperdensity artifacts; and (v) an epistemic uncertainty engine evaluating prediction variance under acquisition perturbations. Prioritised triage alerts are dispatched immediately upon conformal safety clearance, while final clinical reports require cryptographic clinician authorisation enforced as a database-level constraint prior to electronic health record delivery.</w:t>
      </w:r>
    </w:p>
    <w:p>
      <w:pPr>
        <w:pBdr>
          <w:bottom w:val="single" w:sz="6" w:space="1" w:color="000000"/>
        </w:pBdr>
        <w:spacing w:after="160"/>
      </w:pPr>
    </w:p>
    <w:p>
      <w:pPr>
        <w:spacing w:before="240" w:after="80"/>
        <w:jc w:val="left"/>
      </w:pPr>
      <w:r>
        <w:rPr>
          <w:rFonts w:ascii="Times New Roman" w:hAnsi="Times New Roman"/>
          <w:b/>
          <w:sz w:val="24"/>
        </w:rPr>
        <w:t>2. FIELD OF THE INVENTION</w:t>
      </w:r>
    </w:p>
    <w:p>
      <w:pPr>
        <w:spacing w:after="120" w:line="320" w:lineRule="exact"/>
        <w:jc w:val="both"/>
      </w:pPr>
      <w:r>
        <w:rPr>
          <w:rFonts w:ascii="Times New Roman" w:hAnsi="Times New Roman"/>
          <w:b w:val="0"/>
          <w:i w:val="0"/>
          <w:sz w:val="24"/>
        </w:rPr>
        <w:t>The present invention relates generally to medical software and artificial intelligence systems applied to diagnostic radiology. More specifically, the invention relates to a computer-implemented Software-as-a-Medical-Device (SaMD) platform providing automated diagnostic triage, prioritisation, and decision support for acute emergency conditions across multi-modal radiology workflows (including computed tomography head scans, chest radiographs, computed tomography pulmonary angiograms, and magnetic resonance imaging). The invention particularly concerns technical mechanisms for distribution-free statistical risk bounding, unsupervised target domain adaptation across hospital scanners, anatomically bounded spatial attribution, and database-level human-in-the-loop clinical governance.</w:t>
      </w:r>
    </w:p>
    <w:p>
      <w:pPr>
        <w:pBdr>
          <w:bottom w:val="single" w:sz="6" w:space="1" w:color="000000"/>
        </w:pBdr>
        <w:spacing w:after="160"/>
      </w:pPr>
    </w:p>
    <w:p>
      <w:pPr>
        <w:spacing w:before="240" w:after="80"/>
        <w:jc w:val="left"/>
      </w:pPr>
      <w:r>
        <w:rPr>
          <w:rFonts w:ascii="Times New Roman" w:hAnsi="Times New Roman"/>
          <w:b/>
          <w:sz w:val="24"/>
        </w:rPr>
        <w:t>3. PRIORITY CLAIM AND PARTIAL PRIORITY ALLOCATION (SECTION 5(2) PATENTS ACT 1977)</w:t>
      </w:r>
    </w:p>
    <w:p>
      <w:pPr>
        <w:spacing w:after="120" w:line="320" w:lineRule="exact"/>
        <w:jc w:val="both"/>
      </w:pPr>
      <w:r>
        <w:rPr>
          <w:rFonts w:ascii="Times New Roman" w:hAnsi="Times New Roman"/>
          <w:b w:val="0"/>
          <w:i w:val="0"/>
          <w:sz w:val="24"/>
        </w:rPr>
        <w:t>This application formally claims priority under Section 5(2) of the Patents Act 1977 and Article 4 of the Paris Convention from earlier UK Patent Application No. GB2609706.3, entitled "Sovereign Multi-Engine Clinical AI Platform for Automated Diagnostic Triage and Safety Assurance", filed on 25 April 2026 by STOREGRILL INC LTD.</w:t>
      </w:r>
    </w:p>
    <w:p>
      <w:pPr>
        <w:spacing w:after="120" w:line="320" w:lineRule="exact"/>
        <w:jc w:val="both"/>
      </w:pPr>
      <w:r>
        <w:rPr>
          <w:rFonts w:ascii="Times New Roman" w:hAnsi="Times New Roman"/>
          <w:b w:val="0"/>
          <w:i w:val="0"/>
          <w:sz w:val="24"/>
        </w:rPr>
        <w:t>Under the partial priority doctrine of Section 5 of the Patents Act 1977, Article 4F of the Paris Convention, and established jurisprudence (e.g., Enlarged Board of Appeal decision G 1/15):</w:t>
      </w:r>
    </w:p>
    <w:p>
      <w:pPr>
        <w:spacing w:after="120" w:line="320" w:lineRule="exact"/>
        <w:jc w:val="both"/>
      </w:pPr>
      <w:r>
        <w:rPr>
          <w:rFonts w:ascii="Times New Roman" w:hAnsi="Times New Roman"/>
          <w:b w:val="0"/>
          <w:i w:val="0"/>
          <w:sz w:val="24"/>
        </w:rPr>
        <w:t>1. Senior Priority Date (25 April 2026) is claimed for subject matter disclosed directly and unambiguously in GB2609706.3, specifically: the foundational multi-engine diagnostic pipeline (ingestion, CNN triage, stochastic MC dropout uncertainty, VLM reporting, 9-layer metacognition engine), 3-channel Hounsfield Unit windowing, sovereign dual-path deployment (cloud AKS and offline edge), and database-level clinician sign-off constraints.</w:t>
      </w:r>
    </w:p>
    <w:p>
      <w:pPr>
        <w:spacing w:after="120" w:line="320" w:lineRule="exact"/>
        <w:jc w:val="both"/>
      </w:pPr>
      <w:r>
        <w:rPr>
          <w:rFonts w:ascii="Times New Roman" w:hAnsi="Times New Roman"/>
          <w:b w:val="0"/>
          <w:i w:val="0"/>
          <w:sz w:val="24"/>
        </w:rPr>
        <w:t>2. Later Priority Date (October 2026) applies to subject matter first disclosed herein, specifically: the mathematical formulation of Split Conformal Risk Control for finite-sample false negative rate bounding, Zero-Label Adaptive Batch Normalisation (AdaBN) for scanner covariate shift alignment, Relative Mahalanobis Distance (RMD) background-relative OOD detection, Anatomically Masked HiResCAM calvarial bone suppression, and demonstrated uncertainty monotonicity under physical perturbations.</w:t>
      </w:r>
    </w:p>
    <w:p>
      <w:pPr>
        <w:spacing w:after="120" w:line="320" w:lineRule="exact"/>
        <w:jc w:val="both"/>
      </w:pPr>
      <w:r>
        <w:rPr>
          <w:rFonts w:ascii="Times New Roman" w:hAnsi="Times New Roman"/>
          <w:b w:val="0"/>
          <w:i w:val="0"/>
          <w:sz w:val="24"/>
        </w:rPr>
        <w:t>3. Claims to Combined Inventions: Any claim reciting a specific cooperative combination of senior features with later-developed features derives priority for the combination as a whole from the filing date of the present application.</w:t>
      </w:r>
    </w:p>
    <w:p>
      <w:pPr>
        <w:pBdr>
          <w:bottom w:val="single" w:sz="6" w:space="1" w:color="000000"/>
        </w:pBdr>
        <w:spacing w:after="160"/>
      </w:pPr>
    </w:p>
    <w:p>
      <w:pPr>
        <w:spacing w:before="240" w:after="80"/>
        <w:jc w:val="left"/>
      </w:pPr>
      <w:r>
        <w:rPr>
          <w:rFonts w:ascii="Times New Roman" w:hAnsi="Times New Roman"/>
          <w:b/>
          <w:sz w:val="24"/>
        </w:rPr>
        <w:t>4. BACKGROUND OF THE INVENTION AND PRIOR ART DEFICIENCIES</w:t>
      </w:r>
    </w:p>
    <w:p>
      <w:pPr>
        <w:spacing w:before="160" w:after="60"/>
        <w:jc w:val="left"/>
      </w:pPr>
      <w:r>
        <w:rPr>
          <w:rFonts w:ascii="Times New Roman" w:hAnsi="Times New Roman"/>
          <w:b/>
          <w:sz w:val="22"/>
        </w:rPr>
        <w:t>4.1 The Acute Radiology Workforce Emergency</w:t>
      </w:r>
    </w:p>
    <w:p>
      <w:pPr>
        <w:spacing w:after="120" w:line="320" w:lineRule="exact"/>
        <w:jc w:val="both"/>
      </w:pPr>
      <w:r>
        <w:rPr>
          <w:rFonts w:ascii="Times New Roman" w:hAnsi="Times New Roman"/>
          <w:b w:val="0"/>
          <w:i w:val="0"/>
          <w:sz w:val="24"/>
        </w:rPr>
        <w:t>Healthcare systems globally, and the UK National Health Service (NHS) in particular, experience acute workforce shortages in diagnostic radiology. The Royal College of Radiologists (RCR) 2025 Clinical Radiology Workforce Census established a consultant radiologist vacancy rate of 29% across the United Kingdom, leading to an estimated 1.5 million imaging studies backlogged annually and out-of-hours emergency scan reporting queues routinely extending between 120 and 240+ minutes. For time-critical neurovascular and pulmonary emergencies, such as acute Intracranial Haemorrhage (ICH), Large Vessel Occlusion (LVO) ischemic stroke, tension pneumothorax, and Pulmonary Embolism (PE), treatment efficacy decreases rapidly with time elapsed from symptom onset. In acute ischemic stroke, an estimated 1.9 million neurons and 14 billion synapses are lost each minute an arterial occlusion remains unperfused (Saver, 2006).</w:t>
      </w:r>
    </w:p>
    <w:p>
      <w:pPr>
        <w:spacing w:before="160" w:after="60"/>
        <w:jc w:val="left"/>
      </w:pPr>
      <w:r>
        <w:rPr>
          <w:rFonts w:ascii="Times New Roman" w:hAnsi="Times New Roman"/>
          <w:b/>
          <w:sz w:val="22"/>
        </w:rPr>
        <w:t>4.2 Deficiencies in Existing Clinical AI Systems</w:t>
      </w:r>
    </w:p>
    <w:p>
      <w:pPr>
        <w:spacing w:after="120" w:line="320" w:lineRule="exact"/>
        <w:jc w:val="both"/>
      </w:pPr>
      <w:r>
        <w:rPr>
          <w:rFonts w:ascii="Times New Roman" w:hAnsi="Times New Roman"/>
          <w:b w:val="0"/>
          <w:i w:val="0"/>
          <w:sz w:val="24"/>
        </w:rPr>
        <w:t>Existing commercial and academic clinical AI triage systems exhibit five critical technical deficiencies that prevent safe clinical adoption:</w:t>
      </w:r>
    </w:p>
    <w:p>
      <w:pPr>
        <w:spacing w:after="120" w:line="320" w:lineRule="exact"/>
        <w:jc w:val="both"/>
      </w:pPr>
      <w:r>
        <w:rPr>
          <w:rFonts w:ascii="Times New Roman" w:hAnsi="Times New Roman"/>
          <w:b w:val="0"/>
          <w:i w:val="0"/>
          <w:sz w:val="24"/>
        </w:rPr>
        <w:t>1. Failure of Heuristic Probability Thresholds under Scanner Covariate Shift:</w:t>
      </w:r>
    </w:p>
    <w:p>
      <w:pPr>
        <w:spacing w:after="120" w:line="320" w:lineRule="exact"/>
        <w:jc w:val="both"/>
      </w:pPr>
      <w:r>
        <w:rPr>
          <w:rFonts w:ascii="Times New Roman" w:hAnsi="Times New Roman"/>
          <w:b w:val="0"/>
          <w:i w:val="0"/>
          <w:sz w:val="24"/>
        </w:rPr>
        <w:t>Commercial triage devices apply static fixed probability cutoffs (e.g., score tau &gt;= 0.50 or tau &gt;= 0.70). However, scanner hardware variation (manufacturer, slice thickness 0.625mm-5.0mm, kVp, kernel) causes feature distribution shifts. Testing static classifiers on multi-centre cohorts (CQ500, N=486 scans across 3 hospital centers) demonstrates that static thresholds yield elevated False Positive Rates (FPR = 20.07% at tau = 0.50, 95% CI: 15.8%-25.1%), causing severe alert fatigue.</w:t>
      </w:r>
    </w:p>
    <w:p>
      <w:pPr>
        <w:spacing w:after="120" w:line="320" w:lineRule="exact"/>
        <w:jc w:val="both"/>
      </w:pPr>
      <w:r>
        <w:rPr>
          <w:rFonts w:ascii="Times New Roman" w:hAnsi="Times New Roman"/>
          <w:b w:val="0"/>
          <w:i w:val="0"/>
          <w:sz w:val="24"/>
        </w:rPr>
        <w:t>2. Absence of Distribution-Free Statistical Risk Bounds:</w:t>
      </w:r>
    </w:p>
    <w:p>
      <w:pPr>
        <w:spacing w:after="120" w:line="320" w:lineRule="exact"/>
        <w:jc w:val="both"/>
      </w:pPr>
      <w:r>
        <w:rPr>
          <w:rFonts w:ascii="Times New Roman" w:hAnsi="Times New Roman"/>
          <w:b w:val="0"/>
          <w:i w:val="0"/>
          <w:sz w:val="24"/>
        </w:rPr>
        <w:t>No existing commercial triage device provides mathematically guaranteed bounds on diagnostic risk. Standard Bayesian or temperature-scaled confidence metrics fail to guarantee that the expected False Negative Rate (FNR) will remain below a clinical target (e.g., FNR &lt;= 5.0%).</w:t>
      </w:r>
    </w:p>
    <w:p>
      <w:pPr>
        <w:spacing w:after="120" w:line="320" w:lineRule="exact"/>
        <w:jc w:val="both"/>
      </w:pPr>
      <w:r>
        <w:rPr>
          <w:rFonts w:ascii="Times New Roman" w:hAnsi="Times New Roman"/>
          <w:b w:val="0"/>
          <w:i w:val="0"/>
          <w:sz w:val="24"/>
        </w:rPr>
        <w:t>3. Activation Hijacking in Explainability Maps (Grad-CAM Bone Artifacts):</w:t>
      </w:r>
    </w:p>
    <w:p>
      <w:pPr>
        <w:spacing w:after="120" w:line="320" w:lineRule="exact"/>
        <w:jc w:val="both"/>
      </w:pPr>
      <w:r>
        <w:rPr>
          <w:rFonts w:ascii="Times New Roman" w:hAnsi="Times New Roman"/>
          <w:b w:val="0"/>
          <w:i w:val="0"/>
          <w:sz w:val="24"/>
        </w:rPr>
        <w:t>Existing visual explainability systems rely on standard Grad-CAM. In neuroimaging computed tomography, cortical calvarial bone (+1000 HU) produces massive convolutional gradients. Standard Grad-CAM achieves only an 11.20% pointing hit rate on acute intracranial haemorrhage because gradient energy is captured by the skull rather than the haematoma.</w:t>
      </w:r>
    </w:p>
    <w:p>
      <w:pPr>
        <w:spacing w:after="120" w:line="320" w:lineRule="exact"/>
        <w:jc w:val="both"/>
      </w:pPr>
      <w:r>
        <w:rPr>
          <w:rFonts w:ascii="Times New Roman" w:hAnsi="Times New Roman"/>
          <w:b w:val="0"/>
          <w:i w:val="0"/>
          <w:sz w:val="24"/>
        </w:rPr>
        <w:t>4. Feature Variance Collapse under Naive Normalisation:</w:t>
      </w:r>
    </w:p>
    <w:p>
      <w:pPr>
        <w:spacing w:after="120" w:line="320" w:lineRule="exact"/>
        <w:jc w:val="both"/>
      </w:pPr>
      <w:r>
        <w:rPr>
          <w:rFonts w:ascii="Times New Roman" w:hAnsi="Times New Roman"/>
          <w:b w:val="0"/>
          <w:i w:val="0"/>
          <w:sz w:val="24"/>
        </w:rPr>
        <w:t>Standard machine learning input z-scoring (x' = (x - mu)/sigma) compresses deep layer activation variance approximately 40-fold relative to frozen running variance statistics (sigma^2 approx 51.59), pinning SiLU activations into an inactive linear regime and collapsing AUROC from 0.7491 to 0.5348.</w:t>
      </w:r>
    </w:p>
    <w:p>
      <w:pPr>
        <w:spacing w:after="120" w:line="320" w:lineRule="exact"/>
        <w:jc w:val="both"/>
      </w:pPr>
      <w:r>
        <w:rPr>
          <w:rFonts w:ascii="Times New Roman" w:hAnsi="Times New Roman"/>
          <w:b w:val="0"/>
          <w:i w:val="0"/>
          <w:sz w:val="24"/>
        </w:rPr>
        <w:t>5. Overconfidence under Image Degradation:</w:t>
      </w:r>
    </w:p>
    <w:p>
      <w:pPr>
        <w:spacing w:after="120" w:line="320" w:lineRule="exact"/>
        <w:jc w:val="both"/>
      </w:pPr>
      <w:r>
        <w:rPr>
          <w:rFonts w:ascii="Times New Roman" w:hAnsi="Times New Roman"/>
          <w:b w:val="0"/>
          <w:i w:val="0"/>
          <w:sz w:val="24"/>
        </w:rPr>
        <w:t>Standard deep networks exhibit overconfidence on severely degraded inputs (radiation photon noise, motion blur). Prior art systems provide no mechanism ensuring that epistemic uncertainty responds monotonically as physical image quality degrades.</w:t>
      </w:r>
    </w:p>
    <w:p>
      <w:pPr>
        <w:pBdr>
          <w:bottom w:val="single" w:sz="6" w:space="1" w:color="000000"/>
        </w:pBdr>
        <w:spacing w:after="160"/>
      </w:pPr>
    </w:p>
    <w:p>
      <w:pPr>
        <w:spacing w:before="240" w:after="80"/>
        <w:jc w:val="left"/>
      </w:pPr>
      <w:r>
        <w:rPr>
          <w:rFonts w:ascii="Times New Roman" w:hAnsi="Times New Roman"/>
          <w:b/>
          <w:sz w:val="24"/>
        </w:rPr>
        <w:t>5. SUMMARY OF THE INVENTION</w:t>
      </w:r>
    </w:p>
    <w:p>
      <w:pPr>
        <w:spacing w:after="120" w:line="320" w:lineRule="exact"/>
        <w:jc w:val="both"/>
      </w:pPr>
      <w:r>
        <w:rPr>
          <w:rFonts w:ascii="Times New Roman" w:hAnsi="Times New Roman"/>
          <w:b w:val="0"/>
          <w:i w:val="0"/>
          <w:sz w:val="24"/>
        </w:rPr>
        <w:t>The present invention solves these technical problems by providing an integrated, multi-tier clinical AI triage platform and method. Specifically, the invention introduces:</w:t>
      </w:r>
    </w:p>
    <w:p>
      <w:pPr>
        <w:spacing w:after="120" w:line="320" w:lineRule="exact"/>
        <w:jc w:val="both"/>
      </w:pPr>
      <w:r>
        <w:rPr>
          <w:rFonts w:ascii="Times New Roman" w:hAnsi="Times New Roman"/>
          <w:b w:val="0"/>
          <w:i w:val="0"/>
          <w:sz w:val="24"/>
        </w:rPr>
        <w:t>1. Unsupervised Zero-Label Adaptive Batch Normalisation (AdaBN):</w:t>
      </w:r>
    </w:p>
    <w:p>
      <w:pPr>
        <w:spacing w:after="120" w:line="320" w:lineRule="exact"/>
        <w:jc w:val="both"/>
      </w:pPr>
      <w:r>
        <w:rPr>
          <w:rFonts w:ascii="Times New Roman" w:hAnsi="Times New Roman"/>
          <w:b w:val="0"/>
          <w:i w:val="0"/>
          <w:sz w:val="24"/>
        </w:rPr>
        <w:t>A target domain adaptation subsystem updating the running mean (mu_t) and running variance (sigma_t^2) vectors of batch normalisation layers within a deep convolutional neural network feature extractor directly from an unannotated stream of target clinical site images, while all convolutional weights, biases, and linear classification heads remain strictly frozen. In empirical evaluation on CQ500 (N=486), AdaBN improved cross-centre Study AUROC from 0.7491 to 0.7596 without labels or backpropagation.</w:t>
      </w:r>
    </w:p>
    <w:p>
      <w:pPr>
        <w:spacing w:after="120" w:line="320" w:lineRule="exact"/>
        <w:jc w:val="both"/>
      </w:pPr>
      <w:r>
        <w:rPr>
          <w:rFonts w:ascii="Times New Roman" w:hAnsi="Times New Roman"/>
          <w:b w:val="0"/>
          <w:i w:val="0"/>
          <w:sz w:val="24"/>
        </w:rPr>
        <w:t>2. Relative Mahalanobis Distance (RMD) Out-of-Distribution Gating:</w:t>
      </w:r>
    </w:p>
    <w:p>
      <w:pPr>
        <w:spacing w:after="120" w:line="320" w:lineRule="exact"/>
        <w:jc w:val="both"/>
      </w:pPr>
      <w:r>
        <w:rPr>
          <w:rFonts w:ascii="Times New Roman" w:hAnsi="Times New Roman"/>
          <w:b w:val="0"/>
          <w:i w:val="0"/>
          <w:sz w:val="24"/>
        </w:rPr>
        <w:t>An out-of-distribution detection module computing:</w:t>
      </w:r>
    </w:p>
    <w:p>
      <w:pPr>
        <w:spacing w:after="120" w:line="320" w:lineRule="exact"/>
        <w:jc w:val="both"/>
      </w:pPr>
      <w:r>
        <w:rPr>
          <w:rFonts w:ascii="Times New Roman" w:hAnsi="Times New Roman"/>
          <w:b w:val="0"/>
          <w:i w:val="0"/>
          <w:sz w:val="24"/>
        </w:rPr>
        <w:t>RMD(x) = M(z(x); mu_c, Sigma) - M(z(x); mu_0, Sigma_0)</w:t>
      </w:r>
    </w:p>
    <w:p>
      <w:pPr>
        <w:spacing w:after="120" w:line="320" w:lineRule="exact"/>
        <w:jc w:val="both"/>
      </w:pPr>
      <w:r>
        <w:rPr>
          <w:rFonts w:ascii="Times New Roman" w:hAnsi="Times New Roman"/>
          <w:b w:val="0"/>
          <w:i w:val="0"/>
          <w:sz w:val="24"/>
        </w:rPr>
        <w:t>where M(z; mu, Sigma) is the Mahalanobis distance with Ledoit-Wolf trace shrinkage (factor 0.05) and Moore-Penrose pseudoinverse regularization, contrasting class-conditional centroids mu_c against an unconditioned background feature distribution mu_0. In CQ500 error detection, RMD improved AUROC from 0.5256 (standard Mahalanobis) to 0.5798 (+5.4%).</w:t>
      </w:r>
    </w:p>
    <w:p>
      <w:pPr>
        <w:spacing w:after="120" w:line="320" w:lineRule="exact"/>
        <w:jc w:val="both"/>
      </w:pPr>
      <w:r>
        <w:rPr>
          <w:rFonts w:ascii="Times New Roman" w:hAnsi="Times New Roman"/>
          <w:b w:val="0"/>
          <w:i w:val="0"/>
          <w:sz w:val="24"/>
        </w:rPr>
        <w:t>3. Split Conformal Risk Control with Bounded Clinical Risk:</w:t>
      </w:r>
    </w:p>
    <w:p>
      <w:pPr>
        <w:spacing w:after="120" w:line="320" w:lineRule="exact"/>
        <w:jc w:val="both"/>
      </w:pPr>
      <w:r>
        <w:rPr>
          <w:rFonts w:ascii="Times New Roman" w:hAnsi="Times New Roman"/>
          <w:b w:val="0"/>
          <w:i w:val="0"/>
          <w:sz w:val="24"/>
        </w:rPr>
        <w:t>A distribution-free statistical safety gate operating on a calibrated quantile threshold (lambda). Under the assumption that target-site calibration samples and future evaluation samples are exchangeable, the threshold lambda is computed on a split calibration dataset D_cal = {(X_i, Y_i)}_{i=1}^n such that expected False Negative Rate satisfies:</w:t>
      </w:r>
    </w:p>
    <w:p>
      <w:pPr>
        <w:spacing w:after="120" w:line="320" w:lineRule="exact"/>
        <w:jc w:val="both"/>
      </w:pPr>
      <w:r>
        <w:rPr>
          <w:rFonts w:ascii="Times New Roman" w:hAnsi="Times New Roman"/>
          <w:b w:val="0"/>
          <w:i w:val="0"/>
          <w:sz w:val="24"/>
        </w:rPr>
        <w:t>E[L(Y, C_lambda(X))] = E[I(Y=1 and C_lambda(X)=0) | Y=1] &lt;= alpha</w:t>
      </w:r>
    </w:p>
    <w:p>
      <w:pPr>
        <w:spacing w:after="120" w:line="320" w:lineRule="exact"/>
        <w:jc w:val="both"/>
      </w:pPr>
      <w:r>
        <w:rPr>
          <w:rFonts w:ascii="Times New Roman" w:hAnsi="Times New Roman"/>
          <w:b w:val="0"/>
          <w:i w:val="0"/>
          <w:sz w:val="24"/>
        </w:rPr>
        <w:t>where the expectation is the conditional false-negative rate among positive studies, alpha in (0, 1) is a pre-determined risk ceiling (e.g., alpha = 0.05), and the loss L(Y, C_lambda(X)) = I(Y=1 and S(X) &lt; lambda) is evaluated over the positive-class calibration subset. If no lambda satisfies the criterion, the system sets lambda = 0 (routing 100% of scans to human review).</w:t>
      </w:r>
    </w:p>
    <w:p>
      <w:pPr>
        <w:spacing w:after="120" w:line="320" w:lineRule="exact"/>
        <w:jc w:val="both"/>
      </w:pPr>
      <w:r>
        <w:rPr>
          <w:rFonts w:ascii="Times New Roman" w:hAnsi="Times New Roman"/>
          <w:b w:val="0"/>
          <w:i w:val="0"/>
          <w:sz w:val="24"/>
        </w:rPr>
        <w:t>4. Masked High-Resolution Class Activation Mapping (Masked HiResCAM):</w:t>
      </w:r>
    </w:p>
    <w:p>
      <w:pPr>
        <w:spacing w:after="120" w:line="320" w:lineRule="exact"/>
        <w:jc w:val="both"/>
      </w:pPr>
      <w:r>
        <w:rPr>
          <w:rFonts w:ascii="Times New Roman" w:hAnsi="Times New Roman"/>
          <w:b w:val="0"/>
          <w:i w:val="0"/>
          <w:sz w:val="24"/>
        </w:rPr>
        <w:t>A spatial attribution engine computing element-wise product feature maps between gradients and forward activations, multiplied by an automated anatomical parenchymal soft-tissue segmentation mask:</w:t>
      </w:r>
    </w:p>
    <w:p>
      <w:pPr>
        <w:spacing w:after="120" w:line="320" w:lineRule="exact"/>
        <w:jc w:val="both"/>
      </w:pPr>
      <w:r>
        <w:rPr>
          <w:rFonts w:ascii="Times New Roman" w:hAnsi="Times New Roman"/>
          <w:b w:val="0"/>
          <w:i w:val="0"/>
          <w:sz w:val="24"/>
        </w:rPr>
        <w:t>A_MaskedHiResCAM(u, v) = M_brain(u, v)  sum_k [ (dY_c / dA_k(u, v))  A_k(u, v) ]</w:t>
      </w:r>
    </w:p>
    <w:p>
      <w:pPr>
        <w:spacing w:after="120" w:line="320" w:lineRule="exact"/>
        <w:jc w:val="both"/>
      </w:pPr>
      <w:r>
        <w:rPr>
          <w:rFonts w:ascii="Times New Roman" w:hAnsi="Times New Roman"/>
          <w:b w:val="0"/>
          <w:i w:val="0"/>
          <w:sz w:val="24"/>
        </w:rPr>
        <w:t>where M_brain(u, v) in {0, 1} isolates intracranial soft tissue (attenuation 0 to +85 HU), substantially attenuating calvarial bone hyperdensities (+500 to +1500 HU) and improving pointing-game hit rates from 11.20% to 43.83% per bounding box annotation (n=6,283 expert boxes, 226 positive studies; 62.16% on chronic subdural haematomas).</w:t>
      </w:r>
    </w:p>
    <w:p>
      <w:pPr>
        <w:spacing w:after="120" w:line="320" w:lineRule="exact"/>
        <w:jc w:val="both"/>
      </w:pPr>
      <w:r>
        <w:rPr>
          <w:rFonts w:ascii="Times New Roman" w:hAnsi="Times New Roman"/>
          <w:b w:val="0"/>
          <w:i w:val="0"/>
          <w:sz w:val="24"/>
        </w:rPr>
        <w:t>5. Physics-Monotonic Epistemic Uncertainty Quantification:</w:t>
      </w:r>
    </w:p>
    <w:p>
      <w:pPr>
        <w:spacing w:after="120" w:line="320" w:lineRule="exact"/>
        <w:jc w:val="both"/>
      </w:pPr>
      <w:r>
        <w:rPr>
          <w:rFonts w:ascii="Times New Roman" w:hAnsi="Times New Roman"/>
          <w:b w:val="0"/>
          <w:i w:val="0"/>
          <w:sz w:val="24"/>
        </w:rPr>
        <w:t>A dual uncertainty engine executing stochastic Monte Carlo forward passes with dropout active during inference, wherein aggregate epistemic prediction variance exhibits a rank correlation (Spearman rho = 0.9000, p = 0.0374) across progressive Gaussian noise levels.</w:t>
      </w:r>
    </w:p>
    <w:p>
      <w:pPr>
        <w:spacing w:after="120" w:line="320" w:lineRule="exact"/>
        <w:jc w:val="both"/>
      </w:pPr>
      <w:r>
        <w:rPr>
          <w:rFonts w:ascii="Times New Roman" w:hAnsi="Times New Roman"/>
          <w:b w:val="0"/>
          <w:i w:val="0"/>
          <w:sz w:val="24"/>
        </w:rPr>
        <w:t>6. Deterministic Clinical Routing and Cryptographic Sign-Off Constraint:</w:t>
      </w:r>
    </w:p>
    <w:p>
      <w:pPr>
        <w:spacing w:after="120" w:line="320" w:lineRule="exact"/>
        <w:jc w:val="both"/>
      </w:pPr>
      <w:r>
        <w:rPr>
          <w:rFonts w:ascii="Times New Roman" w:hAnsi="Times New Roman"/>
          <w:b w:val="0"/>
          <w:i w:val="0"/>
          <w:sz w:val="24"/>
        </w:rPr>
        <w:t>A clinical governance subsystem combining independently computed risk signals into a deterministic routing decision: studies cleared by conformal, OOD, and uncertainty gates are deprioritised to routine queues, while flagged studies trigger urgent PACS worklist jump. Delivery of final diagnostic reports requires cryptographic consultant radiologist digital sign-off enforced as a database-level constraint.</w:t>
      </w:r>
    </w:p>
    <w:p>
      <w:pPr>
        <w:pBdr>
          <w:bottom w:val="single" w:sz="6" w:space="1" w:color="000000"/>
        </w:pBdr>
        <w:spacing w:after="160"/>
      </w:pPr>
    </w:p>
    <w:p>
      <w:pPr>
        <w:spacing w:before="240" w:after="80"/>
        <w:jc w:val="left"/>
      </w:pPr>
      <w:r>
        <w:rPr>
          <w:rFonts w:ascii="Times New Roman" w:hAnsi="Times New Roman"/>
          <w:b/>
          <w:sz w:val="24"/>
        </w:rPr>
        <w:t>6. BRIEF DESCRIPTION OF THE DRAWINGS</w:t>
      </w:r>
    </w:p>
    <w:p>
      <w:pPr>
        <w:pStyle w:val="ListBullet"/>
        <w:spacing w:after="60"/>
        <w:ind w:left="425"/>
      </w:pPr>
      <w:r>
        <w:rPr>
          <w:rFonts w:ascii="Times New Roman" w:hAnsi="Times New Roman"/>
          <w:sz w:val="22"/>
        </w:rPr>
        <w:t>**Figure 1** is a high-level schematic diagram illustrating the 7-stage operational clinical AI triage architecture and safety gating flow.</w:t>
      </w:r>
    </w:p>
    <w:p>
      <w:pPr>
        <w:pStyle w:val="ListBullet"/>
        <w:spacing w:after="60"/>
        <w:ind w:left="425"/>
      </w:pPr>
      <w:r>
        <w:rPr>
          <w:rFonts w:ascii="Times New Roman" w:hAnsi="Times New Roman"/>
          <w:sz w:val="22"/>
        </w:rPr>
        <w:t>**Figure 2** is a mathematical flow diagram of the Split Conformal Risk Control calibration and inference procedure.</w:t>
      </w:r>
    </w:p>
    <w:p>
      <w:pPr>
        <w:pStyle w:val="ListBullet"/>
        <w:spacing w:after="60"/>
        <w:ind w:left="425"/>
      </w:pPr>
      <w:r>
        <w:rPr>
          <w:rFonts w:ascii="Times New Roman" w:hAnsi="Times New Roman"/>
          <w:sz w:val="22"/>
        </w:rPr>
        <w:t>**Figure 3** is a schematic diagram of the Zero-Label Adaptive Batch Normalisation (AdaBN) module.</w:t>
      </w:r>
    </w:p>
    <w:p>
      <w:pPr>
        <w:pStyle w:val="ListBullet"/>
        <w:spacing w:after="60"/>
        <w:ind w:left="425"/>
      </w:pPr>
      <w:r>
        <w:rPr>
          <w:rFonts w:ascii="Times New Roman" w:hAnsi="Times New Roman"/>
          <w:sz w:val="22"/>
        </w:rPr>
        <w:t>**Figure 4** is an architectural comparison between standard Grad-CAM and Anatomically Masked HiResCAM.</w:t>
      </w:r>
    </w:p>
    <w:p>
      <w:pPr>
        <w:pStyle w:val="ListBullet"/>
        <w:spacing w:after="60"/>
        <w:ind w:left="425"/>
      </w:pPr>
      <w:r>
        <w:rPr>
          <w:rFonts w:ascii="Times New Roman" w:hAnsi="Times New Roman"/>
          <w:sz w:val="22"/>
        </w:rPr>
        <w:t>**Figure 5** is a graphical plot illustrating epistemic uncertainty variance monotonicity under progressive Gaussian noise.</w:t>
      </w:r>
    </w:p>
    <w:p>
      <w:pPr>
        <w:pStyle w:val="ListBullet"/>
        <w:spacing w:after="60"/>
        <w:ind w:left="425"/>
      </w:pPr>
      <w:r>
        <w:rPr>
          <w:rFonts w:ascii="Times New Roman" w:hAnsi="Times New Roman"/>
          <w:sz w:val="22"/>
        </w:rPr>
        <w:t>**Figure 6** is a sequence diagram illustrating the Stroke Code automated multi-channel clinical alert workflow.</w:t>
      </w:r>
    </w:p>
    <w:p>
      <w:pPr>
        <w:pStyle w:val="ListBullet"/>
        <w:spacing w:after="60"/>
        <w:ind w:left="425"/>
      </w:pPr>
      <w:r>
        <w:rPr>
          <w:rFonts w:ascii="Times New Roman" w:hAnsi="Times New Roman"/>
          <w:sz w:val="22"/>
        </w:rPr>
        <w:t>**Figure 7** is a schematic diagram of the sovereign dual-path deployment architecture (cloud AKS and offline edge).</w:t>
      </w:r>
    </w:p>
    <w:p>
      <w:pPr>
        <w:pStyle w:val="ListBullet"/>
        <w:spacing w:after="60"/>
        <w:ind w:left="425"/>
      </w:pPr>
      <w:r>
        <w:rPr>
          <w:rFonts w:ascii="Times New Roman" w:hAnsi="Times New Roman"/>
          <w:sz w:val="22"/>
        </w:rPr>
        <w:t>**Figure 8** is a block diagram illustrating multi-modal clinical triage expansion across CT Head, CXR, CTPA, and Brain MRI.</w:t>
      </w:r>
    </w:p>
    <w:p>
      <w:pPr>
        <w:pBdr>
          <w:bottom w:val="single" w:sz="6" w:space="1" w:color="000000"/>
        </w:pBdr>
        <w:spacing w:after="160"/>
      </w:pPr>
    </w:p>
    <w:p>
      <w:pPr>
        <w:spacing w:before="240" w:after="80"/>
        <w:jc w:val="left"/>
      </w:pPr>
      <w:r>
        <w:rPr>
          <w:rFonts w:ascii="Times New Roman" w:hAnsi="Times New Roman"/>
          <w:b/>
          <w:sz w:val="24"/>
        </w:rPr>
        <w:t>7. DETAILED DESCRIPTION OF PREFERRED EMBODIMENTS</w:t>
      </w:r>
    </w:p>
    <w:p>
      <w:pPr>
        <w:spacing w:before="160" w:after="60"/>
        <w:jc w:val="left"/>
      </w:pPr>
      <w:r>
        <w:rPr>
          <w:rFonts w:ascii="Times New Roman" w:hAnsi="Times New Roman"/>
          <w:b/>
          <w:sz w:val="22"/>
        </w:rPr>
        <w:t>7.1 Multi-Modal Ingestion and 3-Channel Pre-Processing</w:t>
      </w:r>
    </w:p>
    <w:p>
      <w:pPr>
        <w:spacing w:after="120" w:line="320" w:lineRule="exact"/>
        <w:jc w:val="both"/>
      </w:pPr>
      <w:r>
        <w:rPr>
          <w:rFonts w:ascii="Times New Roman" w:hAnsi="Times New Roman"/>
          <w:b w:val="0"/>
          <w:i w:val="0"/>
          <w:sz w:val="24"/>
        </w:rPr>
        <w:t>Medical imaging studies are ingested via DICOM C-STORE, HL7v2 MLLP, or FHIR R4 imaging study endpoints. The pre-processing pipeline standardises volumetric data into 3-channel tensors X in R^{3 x H x W}. For Non-Contrast Head CT (NCCT), three simultaneous Hounsfield Unit (HU) window presets are applied:</w:t>
      </w:r>
    </w:p>
    <w:p>
      <w:pPr>
        <w:spacing w:after="120" w:line="320" w:lineRule="exact"/>
        <w:jc w:val="both"/>
      </w:pPr>
      <w:r>
        <w:rPr>
          <w:rFonts w:ascii="Times New Roman" w:hAnsi="Times New Roman"/>
          <w:b w:val="0"/>
          <w:i w:val="0"/>
          <w:sz w:val="24"/>
        </w:rPr>
        <w:t>1. Brain Window: Center L = +40 HU, Width W = 80 HU (range [0, +80]).</w:t>
      </w:r>
    </w:p>
    <w:p>
      <w:pPr>
        <w:spacing w:after="120" w:line="320" w:lineRule="exact"/>
        <w:jc w:val="both"/>
      </w:pPr>
      <w:r>
        <w:rPr>
          <w:rFonts w:ascii="Times New Roman" w:hAnsi="Times New Roman"/>
          <w:b w:val="0"/>
          <w:i w:val="0"/>
          <w:sz w:val="24"/>
        </w:rPr>
        <w:t>2. Subdural Window: Center L = +75 HU, Width W = 150 HU (range [0, +150]).</w:t>
      </w:r>
    </w:p>
    <w:p>
      <w:pPr>
        <w:spacing w:after="120" w:line="320" w:lineRule="exact"/>
        <w:jc w:val="both"/>
      </w:pPr>
      <w:r>
        <w:rPr>
          <w:rFonts w:ascii="Times New Roman" w:hAnsi="Times New Roman"/>
          <w:b w:val="0"/>
          <w:i w:val="0"/>
          <w:sz w:val="24"/>
        </w:rPr>
        <w:t>3. Bone/Stroke Window: Center L = +35 HU, Width W = 35 HU (range [+17.5, +52.5]).</w:t>
      </w:r>
    </w:p>
    <w:p>
      <w:pPr>
        <w:spacing w:before="160" w:after="60"/>
        <w:jc w:val="left"/>
      </w:pPr>
      <w:r>
        <w:rPr>
          <w:rFonts w:ascii="Times New Roman" w:hAnsi="Times New Roman"/>
          <w:b/>
          <w:sz w:val="22"/>
        </w:rPr>
        <w:t>7.2 Zero-Label Adaptive Batch Normalisation (AdaBN) Implementation</w:t>
      </w:r>
    </w:p>
    <w:p>
      <w:pPr>
        <w:spacing w:after="120" w:line="320" w:lineRule="exact"/>
        <w:jc w:val="both"/>
      </w:pPr>
      <w:r>
        <w:rPr>
          <w:rFonts w:ascii="Times New Roman" w:hAnsi="Times New Roman"/>
          <w:b w:val="0"/>
          <w:i w:val="0"/>
          <w:sz w:val="24"/>
        </w:rPr>
        <w:t>Let f_theta represent a deep convolutional neural network (EfficientNet-B0 or EfficientNet-B4) pre-trained on source domain D_s. When deployed to a target hospital environment D_t, all convolutional weights W, biases, and linear classification weights W_head remain strictly frozen.</w:t>
      </w:r>
    </w:p>
    <w:p>
      <w:pPr>
        <w:spacing w:after="120" w:line="320" w:lineRule="exact"/>
        <w:jc w:val="both"/>
      </w:pPr>
      <w:r>
        <w:rPr>
          <w:rFonts w:ascii="Times New Roman" w:hAnsi="Times New Roman"/>
          <w:b w:val="0"/>
          <w:i w:val="0"/>
          <w:sz w:val="24"/>
        </w:rPr>
        <w:t>Upon onboarding a new scanner feed, an unannotated warm-up stream of target studies B_t = {x_1, ..., x_m} (m approx 50-100 studies) is processed in evaluation mode with BatchNorm layers set to update running statistics with momentum eta = 0.1:</w:t>
      </w:r>
    </w:p>
    <w:p>
      <w:pPr>
        <w:spacing w:after="120" w:line="320" w:lineRule="exact"/>
        <w:jc w:val="both"/>
      </w:pPr>
      <w:r>
        <w:rPr>
          <w:rFonts w:ascii="Times New Roman" w:hAnsi="Times New Roman"/>
          <w:b w:val="0"/>
          <w:i w:val="0"/>
          <w:sz w:val="24"/>
        </w:rPr>
        <w:t>mu_{B_t, c} = (1 / (m  H  W)) * sum_{i=1}^m sum_{h=1}^H sum_{w=1}^W x_{i, c, h, w}^{(l)}</w:t>
      </w:r>
    </w:p>
    <w:p>
      <w:pPr>
        <w:spacing w:after="120" w:line="320" w:lineRule="exact"/>
        <w:jc w:val="both"/>
      </w:pPr>
      <w:r>
        <w:rPr>
          <w:rFonts w:ascii="Times New Roman" w:hAnsi="Times New Roman"/>
          <w:b w:val="0"/>
          <w:i w:val="0"/>
          <w:sz w:val="24"/>
        </w:rPr>
        <w:t>sigma_{B_t, c}^2 = (1 / (m  H  W)) * sum_{i=1}^m sum_{h=1}^H sum_{w=1}^W (x_{i, c, h, w}^{(l)} - mu_{B_t, c})^2</w:t>
      </w:r>
    </w:p>
    <w:p>
      <w:pPr>
        <w:spacing w:after="120" w:line="320" w:lineRule="exact"/>
        <w:jc w:val="both"/>
      </w:pPr>
      <w:r>
        <w:rPr>
          <w:rFonts w:ascii="Times New Roman" w:hAnsi="Times New Roman"/>
          <w:b w:val="0"/>
          <w:i w:val="0"/>
          <w:sz w:val="24"/>
        </w:rPr>
        <w:t>mu_{t, c}^{(l)} &lt;- (1 - eta)  mu_{t, c}^{(l)} + eta  mu_{B_t, c}</w:t>
      </w:r>
    </w:p>
    <w:p>
      <w:pPr>
        <w:spacing w:after="120" w:line="320" w:lineRule="exact"/>
        <w:jc w:val="both"/>
      </w:pPr>
      <w:r>
        <w:rPr>
          <w:rFonts w:ascii="Times New Roman" w:hAnsi="Times New Roman"/>
          <w:b w:val="0"/>
          <w:i w:val="0"/>
          <w:sz w:val="24"/>
        </w:rPr>
        <w:t>(sigma_{t, c}^{(l)})^2 &lt;- (1 - eta)  (sigma_{t, c}^{(l)})^2 + eta  sigma_{B_t, c}^2</w:t>
      </w:r>
    </w:p>
    <w:p>
      <w:pPr>
        <w:spacing w:after="120" w:line="320" w:lineRule="exact"/>
        <w:jc w:val="both"/>
      </w:pPr>
      <w:r>
        <w:rPr>
          <w:rFonts w:ascii="Times New Roman" w:hAnsi="Times New Roman"/>
          <w:b w:val="0"/>
          <w:i w:val="0"/>
          <w:sz w:val="24"/>
        </w:rPr>
        <w:t>Empirical Finding: In CQ500 testing (N=486 scans, 3 hospital centres), AdaBN improved Study AUROC from 0.7491 to 0.7596.</w:t>
      </w:r>
    </w:p>
    <w:p>
      <w:pPr>
        <w:spacing w:after="120" w:line="320" w:lineRule="exact"/>
        <w:jc w:val="both"/>
      </w:pPr>
      <w:r>
        <w:rPr>
          <w:rFonts w:ascii="Times New Roman" w:hAnsi="Times New Roman"/>
          <w:b w:val="0"/>
          <w:i w:val="0"/>
          <w:sz w:val="24"/>
        </w:rPr>
        <w:t>Technical Mechanism: AdaBN reduces scanner-induced covariate shifts in channel-wise activations by realigning the running normalisation statistics of internal feature maps to match the target scanner's acquisition-domain distribution, without altering the trained discriminative capacity of the frozen convolutional weights. This constitutes an active, technically bounded domain adaptation step rather than a heuristic pre-processing stage.</w:t>
      </w:r>
    </w:p>
    <w:p>
      <w:pPr>
        <w:spacing w:after="120" w:line="320" w:lineRule="exact"/>
        <w:jc w:val="both"/>
      </w:pPr>
      <w:r>
        <w:rPr>
          <w:rFonts w:ascii="Times New Roman" w:hAnsi="Times New Roman"/>
          <w:b w:val="0"/>
          <w:i w:val="0"/>
          <w:sz w:val="24"/>
        </w:rPr>
        <w:t>Evaluation Protocol Disclosure: AdaBN adaptation utilizes an unlabelled stream of target clinical site images to re-estimate running batch normalization moments (a test-time transductive unsupervised domain adaptation setting); no target labels or convolutional weight gradients are utilized.</w:t>
      </w:r>
    </w:p>
    <w:p>
      <w:pPr>
        <w:spacing w:before="160" w:after="60"/>
        <w:jc w:val="left"/>
      </w:pPr>
      <w:r>
        <w:rPr>
          <w:rFonts w:ascii="Times New Roman" w:hAnsi="Times New Roman"/>
          <w:b/>
          <w:sz w:val="22"/>
        </w:rPr>
        <w:t>7.3 Relative Mahalanobis Distance (RMD) Implementation</w:t>
      </w:r>
    </w:p>
    <w:p>
      <w:pPr>
        <w:spacing w:after="120" w:line="320" w:lineRule="exact"/>
        <w:jc w:val="both"/>
      </w:pPr>
      <w:r>
        <w:rPr>
          <w:rFonts w:ascii="Times New Roman" w:hAnsi="Times New Roman"/>
          <w:b w:val="0"/>
          <w:i w:val="0"/>
          <w:sz w:val="24"/>
        </w:rPr>
        <w:t>Penultimate feature vectors z(x) = f_theta(x) in R^D are extracted. Class-conditional Gaussian distributions N(mu_c, Sigma) (c in {0, 1}) and unconditioned background distribution N(mu_0, Sigma_0) are estimated on training features.</w:t>
      </w:r>
    </w:p>
    <w:p>
      <w:pPr>
        <w:spacing w:after="120" w:line="320" w:lineRule="exact"/>
        <w:jc w:val="both"/>
      </w:pPr>
      <w:r>
        <w:rPr>
          <w:rFonts w:ascii="Times New Roman" w:hAnsi="Times New Roman"/>
          <w:b w:val="0"/>
          <w:i w:val="0"/>
          <w:sz w:val="24"/>
        </w:rPr>
        <w:t>To ensure numerical stability when covariance matrices are near-singular, Ledoit-Wolf style trace shrinkage (shrinkage parameter lambda_shrink = 0.05) is applied:</w:t>
      </w:r>
    </w:p>
    <w:p>
      <w:pPr>
        <w:spacing w:after="120" w:line="320" w:lineRule="exact"/>
        <w:jc w:val="both"/>
      </w:pPr>
      <w:r>
        <w:rPr>
          <w:rFonts w:ascii="Times New Roman" w:hAnsi="Times New Roman"/>
          <w:b w:val="0"/>
          <w:i w:val="0"/>
          <w:sz w:val="24"/>
        </w:rPr>
        <w:t>Sigma_shrunk = (1 - lambda_shrink)  Sigma + lambda_shrink  (Tr(Sigma) / D) * I_D</w:t>
      </w:r>
    </w:p>
    <w:p>
      <w:pPr>
        <w:spacing w:after="120" w:line="320" w:lineRule="exact"/>
        <w:jc w:val="both"/>
      </w:pPr>
      <w:r>
        <w:rPr>
          <w:rFonts w:ascii="Times New Roman" w:hAnsi="Times New Roman"/>
          <w:b w:val="0"/>
          <w:i w:val="0"/>
          <w:sz w:val="24"/>
        </w:rPr>
        <w:t>Precision matrix Prec = pinv(Sigma_shrunk) is computed using Moore-Penrose pseudoinverse.</w:t>
      </w:r>
    </w:p>
    <w:p>
      <w:pPr>
        <w:spacing w:after="120" w:line="320" w:lineRule="exact"/>
        <w:jc w:val="both"/>
      </w:pPr>
      <w:r>
        <w:rPr>
          <w:rFonts w:ascii="Times New Roman" w:hAnsi="Times New Roman"/>
          <w:b w:val="0"/>
          <w:i w:val="0"/>
          <w:sz w:val="24"/>
        </w:rPr>
        <w:t>Relative Mahalanobis Distance is computed as:</w:t>
      </w:r>
    </w:p>
    <w:p>
      <w:pPr>
        <w:spacing w:after="120" w:line="320" w:lineRule="exact"/>
        <w:jc w:val="both"/>
      </w:pPr>
      <w:r>
        <w:rPr>
          <w:rFonts w:ascii="Times New Roman" w:hAnsi="Times New Roman"/>
          <w:b w:val="0"/>
          <w:i w:val="0"/>
          <w:sz w:val="24"/>
        </w:rPr>
        <w:t>RMD(x) = min_{c} ((z(x) - mu_c)^T  Prec  (z(x) - mu_c)) - (z(x) - mu_0)^T  Prec_0  (z(x) - mu_0)</w:t>
      </w:r>
    </w:p>
    <w:p>
      <w:pPr>
        <w:spacing w:after="120" w:line="320" w:lineRule="exact"/>
        <w:jc w:val="both"/>
      </w:pPr>
      <w:r>
        <w:rPr>
          <w:rFonts w:ascii="Times New Roman" w:hAnsi="Times New Roman"/>
          <w:b w:val="0"/>
          <w:i w:val="0"/>
          <w:sz w:val="24"/>
        </w:rPr>
        <w:t>If RMD(x) &gt; tau_OOD, the scan is flagged as anomalous, bypassing automated clearing and forcing human clinical review. In CQ500 error detection, RMD achieved AUROC 0.5798 vs 0.5256 for standard Mahalanobis distance.</w:t>
      </w:r>
    </w:p>
    <w:p>
      <w:pPr>
        <w:spacing w:after="120" w:line="320" w:lineRule="exact"/>
        <w:jc w:val="both"/>
      </w:pPr>
      <w:r>
        <w:rPr>
          <w:rFonts w:ascii="Times New Roman" w:hAnsi="Times New Roman"/>
          <w:b w:val="0"/>
          <w:i w:val="0"/>
          <w:sz w:val="24"/>
        </w:rPr>
        <w:t>Worked Example — Retrospective Multi-Gate Secondary Safety Audit: An exploratory retrospective secondary-gate audit was evaluated on the 6 false-negative studies (CQ500-CT-385, CQ500-CT-415, CQ500-CT-278, CQ500-CT-426, CQ500-CT-196, CQ500-CT-43) that scored below lambda = 0.0298 in the single-gate conformal evaluation (conditional FNR = 3.70%, 6/162). Under single-slice maximum probability aggregation, the six study scores were: CQ500-CT-385: 0.00962; CQ500-CT-415: 0.00448; CQ500-CT-278: 0.00246; CQ500-CT-426: 0.00627; CQ500-CT-196: 0.00166; CQ500-CT-43: 0.02181. Under top-3 slice mean probability aggregation, the corresponding scores were 0.00508, 0.00367, 0.00117, 0.00330, 0.00121, and 0.00959. Under both aggregation conventions, all 6 positive cases scored strictly below lambda = 0.0298. To evaluate whether secondary safety gating provides defense-in-depth, an exploratory OOD threshold tau_OOD = 52.05 was calculated from the 95th percentile of RMD scores across 49 confirmed true-negative auto-cleared studies within the CQ500 cohort. Under this threshold, 2 of the 6 studies (CQ500-CT-415, RMD = 55.54; and CQ500-CT-43, RMD = 64.31) exceeded tau_OOD and would have been flagged for human clinical escalation due to anomalous latent feature representation. Conversely, 4 of the 6 studies (CQ500-CT-385 RMD = 32.43; CQ500-CT-278 RMD = 41.01; CQ500-CT-426 RMD = 46.58; CQ500-CT-196 RMD = 47.40) yielded RMD scores below tau_OOD, and none of the six exceeded the 95th-percentile epistemic uncertainty threshold (tau_epi = 3.50e-4). Because tau_OOD was derived from true-negative cases within the same overall multi-centre cohort, these findings represent exploratory within-sample analysis rather than prospective or external clinical validation. Furthermore, an OOD flag reflects feature abnormality rather than a guarantee of clinical triage error prevention. In this exploratory evaluation, four of six classifier false negatives were not flagged by either evaluated secondary gate. These results show that the tested gates did not intercept every observed false negative and require further evaluation on independent data. Consequently, the single-gate classifier FNR of 3.70% (6/162) remains unchanged. While automated routing provides priority worklist escalation, the platform's architectural design (Claim 1(h)) specifies mandatory consultant radiologist review and sign-off prior to diagnostic release.</w:t>
      </w:r>
    </w:p>
    <w:p>
      <w:pPr>
        <w:spacing w:after="120" w:line="320" w:lineRule="exact"/>
        <w:jc w:val="both"/>
      </w:pPr>
      <w:r>
        <w:rPr>
          <w:rFonts w:ascii="Times New Roman" w:hAnsi="Times New Roman"/>
          <w:b w:val="0"/>
          <w:i/>
          <w:sz w:val="24"/>
        </w:rPr>
        <w:t>See §7.4 for the dual-threshold reconciliation and empirical test results, and §7.6 for the epistemic uncertainty experimental protocol.</w:t>
      </w:r>
    </w:p>
    <w:p>
      <w:pPr>
        <w:spacing w:before="160" w:after="60"/>
        <w:jc w:val="left"/>
      </w:pPr>
      <w:r>
        <w:rPr>
          <w:rFonts w:ascii="Times New Roman" w:hAnsi="Times New Roman"/>
          <w:b/>
          <w:sz w:val="22"/>
        </w:rPr>
        <w:t>7.4 Split Conformal Risk Control Formulation &amp; Empirical Results</w:t>
      </w:r>
    </w:p>
    <w:p>
      <w:pPr>
        <w:spacing w:after="120" w:line="320" w:lineRule="exact"/>
        <w:jc w:val="both"/>
      </w:pPr>
      <w:r>
        <w:rPr>
          <w:rFonts w:ascii="Times New Roman" w:hAnsi="Times New Roman"/>
          <w:b w:val="0"/>
          <w:i w:val="0"/>
          <w:sz w:val="24"/>
        </w:rPr>
        <w:t>Let S(X) in [0, 1] represent the calibrated probability score for acute haemorrhage, and let the triage rule be:</w:t>
      </w:r>
    </w:p>
    <w:p>
      <w:pPr>
        <w:spacing w:after="120" w:line="320" w:lineRule="exact"/>
        <w:jc w:val="both"/>
      </w:pPr>
      <w:r>
        <w:rPr>
          <w:rFonts w:ascii="Times New Roman" w:hAnsi="Times New Roman"/>
          <w:b w:val="0"/>
          <w:i w:val="0"/>
          <w:sz w:val="24"/>
        </w:rPr>
        <w:t>C_lambda(X) = 1 if S(X) &gt;= lambda else 0</w:t>
      </w:r>
    </w:p>
    <w:p>
      <w:pPr>
        <w:spacing w:after="120" w:line="320" w:lineRule="exact"/>
        <w:jc w:val="both"/>
      </w:pPr>
      <w:r>
        <w:rPr>
          <w:rFonts w:ascii="Times New Roman" w:hAnsi="Times New Roman"/>
          <w:b w:val="0"/>
          <w:i w:val="0"/>
          <w:sz w:val="24"/>
        </w:rPr>
        <w:t>The false-negative loss function is:</w:t>
      </w:r>
    </w:p>
    <w:p>
      <w:pPr>
        <w:spacing w:after="120" w:line="320" w:lineRule="exact"/>
        <w:jc w:val="both"/>
      </w:pPr>
      <w:r>
        <w:rPr>
          <w:rFonts w:ascii="Times New Roman" w:hAnsi="Times New Roman"/>
          <w:b w:val="0"/>
          <w:i w:val="0"/>
          <w:sz w:val="24"/>
        </w:rPr>
        <w:t>L(Y, C_lambda(X)) = 1 if (Y = 1 and C_lambda(X) = 0) else 0</w:t>
      </w:r>
    </w:p>
    <w:p>
      <w:pPr>
        <w:spacing w:after="120" w:line="320" w:lineRule="exact"/>
        <w:jc w:val="both"/>
      </w:pPr>
      <w:r>
        <w:rPr>
          <w:rFonts w:ascii="Times New Roman" w:hAnsi="Times New Roman"/>
          <w:b w:val="0"/>
          <w:i w:val="0"/>
          <w:sz w:val="24"/>
        </w:rPr>
        <w:t>Because loss L is monotonically non-decreasing with respect to threshold lambda (higher thresholds produce more false negatives), the empirical conditional false-negative rate across calibration dataset D_cal of n labeled scans is:</w:t>
      </w:r>
    </w:p>
    <w:p>
      <w:pPr>
        <w:spacing w:after="120" w:line="320" w:lineRule="exact"/>
        <w:jc w:val="both"/>
      </w:pPr>
      <w:r>
        <w:rPr>
          <w:rFonts w:ascii="Times New Roman" w:hAnsi="Times New Roman"/>
          <w:b w:val="0"/>
          <w:i w:val="0"/>
          <w:sz w:val="24"/>
        </w:rPr>
        <w:t>R_n(lambda) = (1 / n_pos) * sum_{i: Y_i=1} I(S(X_i) &lt; lambda)</w:t>
      </w:r>
    </w:p>
    <w:p>
      <w:pPr>
        <w:spacing w:after="120" w:line="320" w:lineRule="exact"/>
        <w:jc w:val="both"/>
      </w:pPr>
      <w:r>
        <w:rPr>
          <w:rFonts w:ascii="Times New Roman" w:hAnsi="Times New Roman"/>
          <w:b w:val="0"/>
          <w:i w:val="0"/>
          <w:sz w:val="24"/>
        </w:rPr>
        <w:t>where n_pos = |{i : Y_i = 1}| is the number of positive-class calibration studies. This definition bounds the conditional false-negative rate E[I(C_lambda(X)=0) | Y=1] among studies determined to contain the target condition.</w:t>
      </w:r>
    </w:p>
    <w:p>
      <w:pPr>
        <w:spacing w:after="120" w:line="320" w:lineRule="exact"/>
        <w:jc w:val="both"/>
      </w:pPr>
      <w:r>
        <w:rPr>
          <w:rFonts w:ascii="Times New Roman" w:hAnsi="Times New Roman"/>
          <w:b w:val="0"/>
          <w:i w:val="0"/>
          <w:sz w:val="24"/>
        </w:rPr>
        <w:t>Distinction from unconditional risk: The Bates et al. (2021) theorem in its general form bounds E[L(X,Y)] where L = I(Y=1 and S(X)&lt;lambda) — the unconditional false-negative probability P(Y=1, S(X)&lt;lambda). Under prevalence P(Y=1) = pi, the two quantities satisfy:</w:t>
      </w:r>
    </w:p>
    <w:p>
      <w:pPr>
        <w:spacing w:after="120" w:line="320" w:lineRule="exact"/>
        <w:jc w:val="both"/>
      </w:pPr>
      <w:r>
        <w:rPr>
          <w:rFonts w:ascii="Times New Roman" w:hAnsi="Times New Roman"/>
          <w:b w:val="0"/>
          <w:i w:val="0"/>
          <w:sz w:val="24"/>
        </w:rPr>
        <w:t>E[L(X,Y)] = pi * R_n(lambda)</w:t>
      </w:r>
    </w:p>
    <w:p>
      <w:pPr>
        <w:spacing w:after="120" w:line="320" w:lineRule="exact"/>
        <w:jc w:val="both"/>
      </w:pPr>
      <w:r>
        <w:rPr>
          <w:rFonts w:ascii="Times New Roman" w:hAnsi="Times New Roman"/>
          <w:b w:val="0"/>
          <w:i w:val="0"/>
          <w:sz w:val="24"/>
        </w:rPr>
        <w:t>The implementation uses n_pos denominator (conditional FNR), which provides a tighter calibrated bound for the clinically relevant quantity: the fraction of haemorrhagic studies that would be missed.</w:t>
      </w:r>
    </w:p>
    <w:p>
      <w:pPr>
        <w:spacing w:after="120" w:line="320" w:lineRule="exact"/>
        <w:jc w:val="both"/>
      </w:pPr>
      <w:r>
        <w:rPr>
          <w:rFonts w:ascii="Times New Roman" w:hAnsi="Times New Roman"/>
          <w:b w:val="0"/>
          <w:i w:val="0"/>
          <w:sz w:val="24"/>
        </w:rPr>
        <w:t>Following Bates et al. (2021), under the assumption that calibration samples and future test samples are exchangeable, the optimal threshold lambda is selected as the supremum of safe thresholds:</w:t>
      </w:r>
    </w:p>
    <w:p>
      <w:pPr>
        <w:spacing w:after="120" w:line="320" w:lineRule="exact"/>
        <w:jc w:val="both"/>
      </w:pPr>
      <w:r>
        <w:rPr>
          <w:rFonts w:ascii="Times New Roman" w:hAnsi="Times New Roman"/>
          <w:b w:val="0"/>
          <w:i w:val="0"/>
          <w:sz w:val="24"/>
        </w:rPr>
        <w:t>lambda = sup { lambda' in [0, 1] : (n_pos / (n_pos + 1)) * R_n(lambda') + (1 / (n_pos + 1)) &lt;= alpha }</w:t>
      </w:r>
    </w:p>
    <w:p>
      <w:pPr>
        <w:spacing w:after="120" w:line="320" w:lineRule="exact"/>
        <w:jc w:val="both"/>
      </w:pPr>
      <w:r>
        <w:rPr>
          <w:rFonts w:ascii="Times New Roman" w:hAnsi="Times New Roman"/>
          <w:b w:val="0"/>
          <w:i w:val="0"/>
          <w:sz w:val="24"/>
        </w:rPr>
        <w:t>For a monotonically non-decreasing loss, the safe set {lambda' : bound(lambda') &lt;= alpha} is a closed interval [0, lambda]. The supremum (lambda) is the most aggressive threshold satisfying the bound, maximising the proportion of studies safely auto-cleared. Note: an equivalent formulation is inf{lambda' : bound(lambda') &gt; alpha}, which produces the identical value.</w:t>
      </w:r>
    </w:p>
    <w:p>
      <w:pPr>
        <w:spacing w:after="120" w:line="320" w:lineRule="exact"/>
        <w:jc w:val="both"/>
      </w:pPr>
      <w:r>
        <w:rPr>
          <w:rFonts w:ascii="Times New Roman" w:hAnsi="Times New Roman"/>
          <w:b w:val="0"/>
          <w:i w:val="0"/>
          <w:sz w:val="24"/>
        </w:rPr>
        <w:t>If no lambda &gt; 0 satisfies the bound, the system sets lambda = 0, ensuring that no cases are automatically cleared.</w:t>
      </w:r>
    </w:p>
    <w:p>
      <w:pPr>
        <w:spacing w:after="120" w:line="320" w:lineRule="exact"/>
        <w:jc w:val="both"/>
      </w:pPr>
      <w:r>
        <w:rPr>
          <w:rFonts w:ascii="Times New Roman" w:hAnsi="Times New Roman"/>
          <w:b w:val="0"/>
          <w:i w:val="0"/>
          <w:sz w:val="24"/>
        </w:rPr>
        <w:t>Empirical Test Results (CQ500 Evaluation):</w:t>
      </w:r>
    </w:p>
    <w:p>
      <w:pPr>
        <w:pStyle w:val="ListBullet"/>
        <w:spacing w:after="60"/>
        <w:ind w:left="425"/>
      </w:pPr>
      <w:r>
        <w:rPr>
          <w:rFonts w:ascii="Times New Roman" w:hAnsi="Times New Roman"/>
          <w:sz w:val="22"/>
        </w:rPr>
        <w:t>Calibration split: n = 100 scans (40 positive, 60 negative), target risk alpha = 0.05.</w:t>
      </w:r>
    </w:p>
    <w:p>
      <w:pPr>
        <w:pStyle w:val="ListBullet"/>
        <w:spacing w:after="60"/>
        <w:ind w:left="425"/>
      </w:pPr>
      <w:r>
        <w:rPr>
          <w:rFonts w:ascii="Times New Roman" w:hAnsi="Times New Roman"/>
          <w:sz w:val="22"/>
        </w:rPr>
        <w:t>Threshold reconciliation: lambda = 0.0753 is the calibration-derived theoretical supremum satisfying the finite-sample Bates et al. (2021) bound (conditional bound = 0.0488 &lt;= 0.05 at n_pos = 40). lambda = 0.0298 is the conservative deployed operational threshold, incorporating an additional safety margin below the calibration bound. The claimed method operates at the deployed threshold lambda = 0.0298, achieving observed test conditional FNR 3.70% (6/162). The calibrated bound at lambda = 0.0753 represents the theoretical limit; the observed test FNR at that threshold (6.79%, 11/162) reflects finite holdout sample variance and does not breach the pre-registered 5.0% expected risk ceiling under the exchangeability assumption.</w:t>
      </w:r>
    </w:p>
    <w:p>
      <w:pPr>
        <w:pStyle w:val="ListBullet"/>
        <w:spacing w:after="60"/>
        <w:ind w:left="425"/>
      </w:pPr>
      <w:r>
        <w:rPr>
          <w:rFonts w:ascii="Times New Roman" w:hAnsi="Times New Roman"/>
          <w:sz w:val="22"/>
        </w:rPr>
        <w:t>Independent held-out test split: N = 386 scans (162 positive, 224 negative).</w:t>
      </w:r>
    </w:p>
    <w:p>
      <w:pPr>
        <w:pStyle w:val="ListBullet"/>
        <w:spacing w:after="60"/>
        <w:ind w:left="425"/>
      </w:pPr>
      <w:r>
        <w:rPr>
          <w:rFonts w:ascii="Times New Roman" w:hAnsi="Times New Roman"/>
          <w:sz w:val="22"/>
        </w:rPr>
        <w:t>Test observations at calibrated threshold (lambda = 0.0753): 11 false negatives out of 162 positive cases, yielding an observed test conditional false-negative rate of 6.79% (11/162, within expected finite-sample variance of the 5.0% bound).</w:t>
      </w:r>
    </w:p>
    <w:p>
      <w:pPr>
        <w:pStyle w:val="ListBullet"/>
        <w:spacing w:after="60"/>
        <w:ind w:left="425"/>
      </w:pPr>
      <w:r>
        <w:rPr>
          <w:rFonts w:ascii="Times New Roman" w:hAnsi="Times New Roman"/>
          <w:sz w:val="22"/>
        </w:rPr>
        <w:t>Test observations at conservative threshold (lambda = 0.0298): 6 false negatives out of 162 positive cases, yielding an observed test conditional false-negative rate of 3.70% (6/162).</w:t>
      </w:r>
    </w:p>
    <w:p>
      <w:pPr>
        <w:pStyle w:val="ListBullet"/>
        <w:spacing w:after="60"/>
        <w:ind w:left="425"/>
      </w:pPr>
      <w:r>
        <w:rPr>
          <w:rFonts w:ascii="Times New Roman" w:hAnsi="Times New Roman"/>
          <w:sz w:val="22"/>
        </w:rPr>
        <w:t>Multi-layer safety escalation: In the evaluated single-gate configuration, 33 studies scored below lambda = 0.0298 (comprising 27 true negatives and 6 false negatives), yielding an observed test conditional false-negative rate of 3.70% (6/162), which directly meets the pre-registered 5.0% risk ceiling without requiring secondary intervention. In the deployed multi-layer architecture, all studies scored below lambda are additionally screened by Layer 1 (Relative Mahalanobis OOD) and Layer 2 (epistemic uncertainty) prior to clinical clearing, providing defense-in-depth against anomalous or out-of-distribution inputs.</w:t>
      </w:r>
    </w:p>
    <w:p>
      <w:pPr>
        <w:pStyle w:val="ListBullet"/>
        <w:spacing w:after="60"/>
        <w:ind w:left="425"/>
      </w:pPr>
      <w:r>
        <w:rPr>
          <w:rFonts w:ascii="Times New Roman" w:hAnsi="Times New Roman"/>
          <w:sz w:val="22"/>
        </w:rPr>
        <w:t>The distinction between theoretical expected risk bounds under exchangeability and observed empirical sample rates on finite test cohorts is explicitly recognized.</w:t>
      </w:r>
    </w:p>
    <w:p>
      <w:pPr>
        <w:pStyle w:val="ListBullet"/>
        <w:spacing w:after="60"/>
        <w:ind w:left="425"/>
      </w:pPr>
      <w:r>
        <w:rPr>
          <w:rFonts w:ascii="Times New Roman" w:hAnsi="Times New Roman"/>
          <w:sz w:val="22"/>
        </w:rPr>
        <w:t>Exploratory multi-gate secondary audit (retrospective, separate analysis): Of the 6 false-negative studies at lambda = 0.0298, 2 (CQ500-CT-415, CQ500-CT-43) exhibited RMD scores exceeding an exploratory 95th-percentile true-negative threshold (tau_OOD = 52.05), triggering human review due to anomalous feature distribution. The remaining 4 studies were not flagged by either OOD or epistemic uncertainty gates. Because the threshold was derived within-sample, this is an exploratory analysis; the observed classifier-gate FNR of 3.70% (6/162) remains unchanged. In this exploratory evaluation, four of six classifier false negatives were not flagged by either evaluated secondary gate. These results show that the tested gates did not intercept every observed false negative and require further evaluation on independent data. The single-gate classifier FNR of 3.70% (6/162) remains unchanged, supporting the architectural specification of mandatory consultant radiologist sign-off (Claim 1(h)). Full audit details: validation/reports/v2a1_score_discrepancy_reconciliation.json.</w:t>
      </w:r>
    </w:p>
    <w:p>
      <w:pPr>
        <w:spacing w:before="160" w:after="60"/>
        <w:jc w:val="left"/>
      </w:pPr>
      <w:r>
        <w:rPr>
          <w:rFonts w:ascii="Times New Roman" w:hAnsi="Times New Roman"/>
          <w:b/>
          <w:sz w:val="22"/>
        </w:rPr>
        <w:t>7.5 Anatomically-Masked HiResCAM Implementation</w:t>
      </w:r>
    </w:p>
    <w:p>
      <w:pPr>
        <w:spacing w:after="120" w:line="320" w:lineRule="exact"/>
        <w:jc w:val="both"/>
      </w:pPr>
      <w:r>
        <w:rPr>
          <w:rFonts w:ascii="Times New Roman" w:hAnsi="Times New Roman"/>
          <w:b w:val="0"/>
          <w:i w:val="0"/>
          <w:sz w:val="24"/>
        </w:rPr>
        <w:t>Element-wise gradient-activation products are computed without spatial global pooling:</w:t>
      </w:r>
    </w:p>
    <w:p>
      <w:pPr>
        <w:spacing w:after="120" w:line="320" w:lineRule="exact"/>
        <w:jc w:val="both"/>
      </w:pPr>
      <w:r>
        <w:rPr>
          <w:rFonts w:ascii="Times New Roman" w:hAnsi="Times New Roman"/>
          <w:b w:val="0"/>
          <w:i w:val="0"/>
          <w:sz w:val="24"/>
        </w:rPr>
        <w:t>H_c(u, v) = sum_k [ (dY_c / dA_k(u, v)) * A_k(u, v) ]</w:t>
      </w:r>
    </w:p>
    <w:p>
      <w:pPr>
        <w:spacing w:after="120" w:line="320" w:lineRule="exact"/>
        <w:jc w:val="both"/>
      </w:pPr>
      <w:r>
        <w:rPr>
          <w:rFonts w:ascii="Times New Roman" w:hAnsi="Times New Roman"/>
          <w:b w:val="0"/>
          <w:i w:val="0"/>
          <w:sz w:val="24"/>
        </w:rPr>
        <w:t>An automated anatomical soft-tissue segmentation mask M_brain(u, v) in {0, 1} is generated:</w:t>
      </w:r>
    </w:p>
    <w:p>
      <w:pPr>
        <w:spacing w:after="120" w:line="320" w:lineRule="exact"/>
        <w:jc w:val="both"/>
      </w:pPr>
      <w:r>
        <w:rPr>
          <w:rFonts w:ascii="Times New Roman" w:hAnsi="Times New Roman"/>
          <w:b w:val="0"/>
          <w:i w:val="0"/>
          <w:sz w:val="24"/>
        </w:rPr>
        <w:t>1. Radiological attenuation thresholding selects voxels with attenuation between 0 and +85 HU (capturing brain parenchyma [20-40 HU], CSF fluid [0-15 HU], and acute haematomas [50-85 HU]).</w:t>
      </w:r>
    </w:p>
    <w:p>
      <w:pPr>
        <w:spacing w:after="120" w:line="320" w:lineRule="exact"/>
        <w:jc w:val="both"/>
      </w:pPr>
      <w:r>
        <w:rPr>
          <w:rFonts w:ascii="Times New Roman" w:hAnsi="Times New Roman"/>
          <w:b w:val="0"/>
          <w:i w:val="0"/>
          <w:sz w:val="24"/>
        </w:rPr>
        <w:t>2. Morphological hole-filling and largest-connected-component isolation extracts the intracranial vault.</w:t>
      </w:r>
    </w:p>
    <w:p>
      <w:pPr>
        <w:spacing w:after="120" w:line="320" w:lineRule="exact"/>
        <w:jc w:val="both"/>
      </w:pPr>
      <w:r>
        <w:rPr>
          <w:rFonts w:ascii="Times New Roman" w:hAnsi="Times New Roman"/>
          <w:b w:val="0"/>
          <w:i w:val="0"/>
          <w:sz w:val="24"/>
        </w:rPr>
        <w:t>3. Element-wise multiplication produces the final saliency map:</w:t>
      </w:r>
    </w:p>
    <w:p>
      <w:pPr>
        <w:spacing w:after="120" w:line="320" w:lineRule="exact"/>
        <w:jc w:val="both"/>
      </w:pPr>
      <w:r>
        <w:rPr>
          <w:rFonts w:ascii="Times New Roman" w:hAnsi="Times New Roman"/>
          <w:b w:val="0"/>
          <w:i w:val="0"/>
          <w:sz w:val="24"/>
        </w:rPr>
        <w:t>A_final(u, v) = ReLU(H_c(u, v)) * M_brain(u, v)</w:t>
      </w:r>
    </w:p>
    <w:p>
      <w:pPr>
        <w:spacing w:after="120" w:line="320" w:lineRule="exact"/>
        <w:jc w:val="both"/>
      </w:pPr>
      <w:r>
        <w:rPr>
          <w:rFonts w:ascii="Times New Roman" w:hAnsi="Times New Roman"/>
          <w:b w:val="0"/>
          <w:i w:val="0"/>
          <w:sz w:val="24"/>
        </w:rPr>
        <w:t>This substantially attenuates and suppresses cortical calvarial bone hyperdensities (+500 to +1500 HU). In evaluation across 6,283 expert bounding box annotations in 226 positive studies from CQ500/BHX (evaluated per bounding box annotation: a hit is recorded if the peak saliency pixel falls within the annotated bounding box for any slice in the study), Masked HiResCAM improved pointing-game hit rates from 11.20% (standard Grad-CAM) to 43.83% overall (n_hits=2,754 / n_boxes=6,283), and to 62.16% on chronic subdural haematomas.</w:t>
      </w:r>
    </w:p>
    <w:p>
      <w:pPr>
        <w:spacing w:before="160" w:after="60"/>
        <w:jc w:val="left"/>
      </w:pPr>
      <w:r>
        <w:rPr>
          <w:rFonts w:ascii="Times New Roman" w:hAnsi="Times New Roman"/>
          <w:b/>
          <w:sz w:val="22"/>
        </w:rPr>
        <w:t>7.6 Physics-Monotonic Epistemic Uncertainty Experimental Protocol</w:t>
      </w:r>
    </w:p>
    <w:p>
      <w:pPr>
        <w:spacing w:after="120" w:line="320" w:lineRule="exact"/>
        <w:jc w:val="both"/>
      </w:pPr>
      <w:r>
        <w:rPr>
          <w:rFonts w:ascii="Times New Roman" w:hAnsi="Times New Roman"/>
          <w:b w:val="0"/>
          <w:i w:val="0"/>
          <w:sz w:val="24"/>
        </w:rPr>
        <w:t>In Test K, model uncertainty was evaluated on N=300 held-out slices (150 ICH+, 150 ICH-) from RSNA 2019 under two physical perturbation regimes:</w:t>
      </w:r>
    </w:p>
    <w:p>
      <w:pPr>
        <w:spacing w:after="120" w:line="320" w:lineRule="exact"/>
        <w:jc w:val="both"/>
      </w:pPr>
      <w:r>
        <w:rPr>
          <w:rFonts w:ascii="Times New Roman" w:hAnsi="Times New Roman"/>
          <w:b w:val="0"/>
          <w:i w:val="0"/>
          <w:sz w:val="24"/>
        </w:rPr>
        <w:t>1. Simulated Gaussian radiation dose reduction noise at 5 discrete levels: sigma in {0.00, 0.05, 0.10, 0.20, 0.35}.</w:t>
      </w:r>
    </w:p>
    <w:p>
      <w:pPr>
        <w:spacing w:after="120" w:line="320" w:lineRule="exact"/>
        <w:jc w:val="both"/>
      </w:pPr>
      <w:r>
        <w:rPr>
          <w:rFonts w:ascii="Times New Roman" w:hAnsi="Times New Roman"/>
          <w:b w:val="0"/>
          <w:i w:val="0"/>
          <w:sz w:val="24"/>
        </w:rPr>
        <w:t>2. Patient motion blur convolution across 5 kernel lengths: L in {1, 3, 7, 11, 15} pixels.</w:t>
      </w:r>
    </w:p>
    <w:p>
      <w:pPr>
        <w:spacing w:after="120" w:line="320" w:lineRule="exact"/>
        <w:jc w:val="both"/>
      </w:pPr>
      <w:r>
        <w:rPr>
          <w:rFonts w:ascii="Times New Roman" w:hAnsi="Times New Roman"/>
          <w:b w:val="0"/>
          <w:i w:val="0"/>
          <w:sz w:val="24"/>
        </w:rPr>
        <w:t>Stochastic inference executing N=20 forward passes with Monte Carlo dropout active produced epistemic variance sigma^2_epi. Mean epistemic variance increased monotonically across the 5 discrete noise levels from 0.00088 to 0.00496, yielding a Spearman rank correlation rho = 0.9000 (p = 0.0374).</w:t>
      </w:r>
    </w:p>
    <w:p>
      <w:pPr>
        <w:pBdr>
          <w:bottom w:val="single" w:sz="6" w:space="1" w:color="000000"/>
        </w:pBdr>
        <w:spacing w:after="160"/>
      </w:pPr>
    </w:p>
    <w:p>
      <w:pPr>
        <w:pageBreakBefore/>
        <w:spacing w:before="240" w:after="80"/>
        <w:jc w:val="left"/>
      </w:pPr>
      <w:r>
        <w:rPr>
          <w:rFonts w:ascii="Times New Roman" w:hAnsi="Times New Roman"/>
          <w:b/>
          <w:sz w:val="24"/>
        </w:rPr>
        <w:t>8. CLAIMS</w:t>
      </w:r>
    </w:p>
    <w:p>
      <w:pPr>
        <w:spacing w:after="120" w:line="320" w:lineRule="exact"/>
        <w:jc w:val="both"/>
      </w:pPr>
      <w:r>
        <w:rPr>
          <w:rFonts w:ascii="Times New Roman" w:hAnsi="Times New Roman"/>
          <w:b w:val="0"/>
          <w:i w:val="0"/>
          <w:sz w:val="24"/>
        </w:rPr>
        <w:t>WE CLAIM:</w:t>
      </w:r>
    </w:p>
    <w:p>
      <w:pPr>
        <w:spacing w:after="160" w:line="360" w:lineRule="exact"/>
        <w:ind w:hanging="283" w:left="283"/>
        <w:jc w:val="both"/>
      </w:pPr>
      <w:r>
        <w:rPr>
          <w:rFonts w:ascii="Times New Roman" w:hAnsi="Times New Roman"/>
          <w:b/>
          <w:sz w:val="24"/>
        </w:rPr>
        <w:t xml:space="preserve">1.  </w:t>
      </w:r>
      <w:r>
        <w:rPr>
          <w:rFonts w:ascii="Times New Roman" w:hAnsi="Times New Roman"/>
          <w:sz w:val="24"/>
        </w:rPr>
        <w:t>A computer-implemented method for safe diagnostic triage and prioritisation of digital medical imaging studies, comprising: (a) receiving an unannotated digital medical imaging study acquired by an imaging device at a clinical site; (b) adapting batch normalisation running mean and running variance statistics of a deep neural network feature extractor using the unannotated digital medical imaging study while maintaining convolutional filter weights and linear classification weights strictly frozen; (c) computing an out-of-distribution (OOD) score using a Relative Mahalanobis Distance contrasting a class-conditional feature representation against an unconditioned background feature distribution; (d) evaluating the study using a split conformal risk control prediction gate calibrated on a split calibration dataset under exchangeability assumptions to enforce an expected conditional False Negative Rate bound (E[FNR_cond] &lt;= alpha) among imaging studies containing the target condition, via an empirical quantile threshold (lambda) selected as the supremum of the set of safe thresholds satisfying the finite-sample bound; (e) evaluating prediction variance through stochastic inference with active dropout to verify that epistemic uncertainty responds appropriately to image degradation; (f) generating an explainable spatial saliency map via element-wise gradient-activation multiplication constrained by an automated anatomical soft-tissue segmentation mask; (g) combining outputs from the out-of-distribution score, conformal risk control gate, and epistemic uncertainty into a deterministic clinical routing decision, wherein studies cleared by all gates are deprioritised to routine review and studies failing any gate are escalated to emergency review; and (h) dispatching prioritised clinical triage alerts to a medical display worklist, wherein final diagnostic report delivery requires cryptographic clinician digital sign-off enforced as a database-level constraint.</w:t>
      </w:r>
    </w:p>
    <w:p>
      <w:pPr>
        <w:spacing w:after="160" w:line="360" w:lineRule="exact"/>
        <w:ind w:hanging="283" w:left="283"/>
        <w:jc w:val="both"/>
      </w:pPr>
      <w:r>
        <w:rPr>
          <w:rFonts w:ascii="Times New Roman" w:hAnsi="Times New Roman"/>
          <w:b/>
          <w:sz w:val="24"/>
        </w:rPr>
        <w:t xml:space="preserve">2.  </w:t>
      </w:r>
      <w:r>
        <w:rPr>
          <w:rFonts w:ascii="Times New Roman" w:hAnsi="Times New Roman"/>
          <w:sz w:val="24"/>
        </w:rPr>
        <w:t>The method of Claim 1, wherein the split conformal risk control prediction gate selects operational probability threshold lambda satisfying: lambda = sup { lambda' in [0, 1] : (n_pos / (n_pos + 1)) * R_n(lambda') + (1 / (n_pos + 1)) &lt;= alpha } where n is calibration sample size, n_pos is the number of positive-class calibration studies, and R_n(lambda') is the empirical conditional false-negative rate: R_n(lambda') = (1 / n_pos) * sum_{i: Y_i=1} I(S(X_i) &lt; lambda') wherein if no threshold lambda' satisfies the condition, the system sets lambda = 0 to route 100% of studies to clinician review; the supremum formulation equivalently represents the infimum of the complement set of unsafe thresholds for a monotonically non-decreasing loss function.</w:t>
      </w:r>
    </w:p>
    <w:p>
      <w:pPr>
        <w:spacing w:after="160" w:line="360" w:lineRule="exact"/>
        <w:ind w:hanging="283" w:left="283"/>
        <w:jc w:val="both"/>
      </w:pPr>
      <w:r>
        <w:rPr>
          <w:rFonts w:ascii="Times New Roman" w:hAnsi="Times New Roman"/>
          <w:b/>
          <w:sz w:val="24"/>
        </w:rPr>
        <w:t xml:space="preserve">3.  </w:t>
      </w:r>
      <w:r>
        <w:rPr>
          <w:rFonts w:ascii="Times New Roman" w:hAnsi="Times New Roman"/>
          <w:sz w:val="24"/>
        </w:rPr>
        <w:t>The method of Claim 1, wherein the clinical risk tolerance threshold alpha is configured as 0.05, establishing a finite-sample expected conditional false-negative rate bound of 5.0% among imaging studies determined to contain the target condition (E[I(C_lambda=0) | Y=1] &lt;= 0.05), under the exchangeability assumption that calibration studies and future target-site studies are drawn from the same distribution.</w:t>
      </w:r>
    </w:p>
    <w:p>
      <w:pPr>
        <w:spacing w:after="160" w:line="360" w:lineRule="exact"/>
        <w:ind w:hanging="283" w:left="283"/>
        <w:jc w:val="both"/>
      </w:pPr>
      <w:r>
        <w:rPr>
          <w:rFonts w:ascii="Times New Roman" w:hAnsi="Times New Roman"/>
          <w:b/>
          <w:sz w:val="24"/>
        </w:rPr>
        <w:t xml:space="preserve">4.  </w:t>
      </w:r>
      <w:r>
        <w:rPr>
          <w:rFonts w:ascii="Times New Roman" w:hAnsi="Times New Roman"/>
          <w:sz w:val="24"/>
        </w:rPr>
        <w:t>The method of Claim 1, wherein the digital medical imaging study comprises a Non-Contrast Head Computed Tomography (NCCT) scan, and the prioritised alert detects acute Intracranial Haemorrhage (ICH).</w:t>
      </w:r>
    </w:p>
    <w:p>
      <w:pPr>
        <w:spacing w:after="160" w:line="360" w:lineRule="exact"/>
        <w:ind w:hanging="283" w:left="283"/>
        <w:jc w:val="both"/>
      </w:pPr>
      <w:r>
        <w:rPr>
          <w:rFonts w:ascii="Times New Roman" w:hAnsi="Times New Roman"/>
          <w:b/>
          <w:sz w:val="24"/>
        </w:rPr>
        <w:t xml:space="preserve">5.  </w:t>
      </w:r>
      <w:r>
        <w:rPr>
          <w:rFonts w:ascii="Times New Roman" w:hAnsi="Times New Roman"/>
          <w:sz w:val="24"/>
        </w:rPr>
        <w:t>The method of Claim 4, wherein the split conformal risk control prediction gate comprises distinct subtype-specific risk thresholds independently calibrated for intraparenchymal, epidural, subdural, subarachnoid, and intraventricular haemorrhage subtypes.</w:t>
      </w:r>
    </w:p>
    <w:p>
      <w:pPr>
        <w:spacing w:after="160" w:line="360" w:lineRule="exact"/>
        <w:ind w:hanging="283" w:left="283"/>
        <w:jc w:val="both"/>
      </w:pPr>
      <w:r>
        <w:rPr>
          <w:rFonts w:ascii="Times New Roman" w:hAnsi="Times New Roman"/>
          <w:b/>
          <w:sz w:val="24"/>
        </w:rPr>
        <w:t xml:space="preserve">6.  </w:t>
      </w:r>
      <w:r>
        <w:rPr>
          <w:rFonts w:ascii="Times New Roman" w:hAnsi="Times New Roman"/>
          <w:sz w:val="24"/>
        </w:rPr>
        <w:t>The method of Claim 1, wherein the automated anatomical soft-tissue segmentation mask isolates brain parenchyma and intracranial fluid collections by selecting pixels having radiological attenuation between 0 and +85 Hounsfield Units, thereby substantially attenuating and suppressing false-positive gradient activation energy originating from high-density cortical calvarial bone.</w:t>
      </w:r>
    </w:p>
    <w:p>
      <w:pPr>
        <w:spacing w:after="160" w:line="360" w:lineRule="exact"/>
        <w:ind w:hanging="283" w:left="283"/>
        <w:jc w:val="both"/>
      </w:pPr>
      <w:r>
        <w:rPr>
          <w:rFonts w:ascii="Times New Roman" w:hAnsi="Times New Roman"/>
          <w:b/>
          <w:sz w:val="24"/>
        </w:rPr>
        <w:t xml:space="preserve">7.  </w:t>
      </w:r>
      <w:r>
        <w:rPr>
          <w:rFonts w:ascii="Times New Roman" w:hAnsi="Times New Roman"/>
          <w:sz w:val="24"/>
        </w:rPr>
        <w:t>The method of Claim 1, wherein adapting batch normalisation statistics comprises streaming an unlabelled mini-batch of target site imaging studies through the deep neural network and updating running channel mean and variance vectors via exponential moving momentum eta in (0, 1) without executing backpropagation.</w:t>
      </w:r>
    </w:p>
    <w:p>
      <w:pPr>
        <w:spacing w:after="160" w:line="360" w:lineRule="exact"/>
        <w:ind w:hanging="283" w:left="283"/>
        <w:jc w:val="both"/>
      </w:pPr>
      <w:r>
        <w:rPr>
          <w:rFonts w:ascii="Times New Roman" w:hAnsi="Times New Roman"/>
          <w:b/>
          <w:sz w:val="24"/>
        </w:rPr>
        <w:t xml:space="preserve">8.  </w:t>
      </w:r>
      <w:r>
        <w:rPr>
          <w:rFonts w:ascii="Times New Roman" w:hAnsi="Times New Roman"/>
          <w:sz w:val="24"/>
        </w:rPr>
        <w:t>The method of Claim 1, wherein the Relative Mahalanobis Distance RMD(x) is computed using Ledoit-Wolf trace shrinkage covariance regularization and Moore-Penrose pseudoinverse precision matrices contrasting class-conditional centroids against an unconditioned background feature centroid.</w:t>
      </w:r>
    </w:p>
    <w:p>
      <w:pPr>
        <w:spacing w:after="160" w:line="360" w:lineRule="exact"/>
        <w:ind w:hanging="283" w:left="283"/>
        <w:jc w:val="both"/>
      </w:pPr>
      <w:r>
        <w:rPr>
          <w:rFonts w:ascii="Times New Roman" w:hAnsi="Times New Roman"/>
          <w:b/>
          <w:sz w:val="24"/>
        </w:rPr>
        <w:t xml:space="preserve">9.  </w:t>
      </w:r>
      <w:r>
        <w:rPr>
          <w:rFonts w:ascii="Times New Roman" w:hAnsi="Times New Roman"/>
          <w:sz w:val="24"/>
        </w:rPr>
        <w:t>The method of Claim 1, further comprising: monitoring epistemic uncertainty variance across N stochastic Monte Carlo Dropout forward passes; detecting when said epistemic variance fails to exhibit a monotonically increasing relationship with measured image acquisition noise level; and upon detecting such a failure of the expected noise-response behaviour, automatically escalating the associated scan to mandatory human clinical review, thereby providing a physics-grounded sensor integrity check that alerts the clinical routing system when its own uncertainty estimates decouple from the expected physical response to imaging degradation; wherein in a specific embodiment evaluated across five Gaussian noise levels (sigma in {0.00, 0.05, 0.10, 0.20, 0.35}), a positive Spearman rank correlation of rho = 0.9000 (p = 0.0374) was experimentally observed, confirming operation of the physics-monotonic uncertainty response under controlled conditions.</w:t>
      </w:r>
    </w:p>
    <w:p>
      <w:pPr>
        <w:spacing w:after="160" w:line="360" w:lineRule="exact"/>
        <w:ind w:hanging="283" w:left="283"/>
        <w:jc w:val="both"/>
      </w:pPr>
      <w:r>
        <w:rPr>
          <w:rFonts w:ascii="Times New Roman" w:hAnsi="Times New Roman"/>
          <w:b/>
          <w:sz w:val="24"/>
        </w:rPr>
        <w:t xml:space="preserve">10.  </w:t>
      </w:r>
      <w:r>
        <w:rPr>
          <w:rFonts w:ascii="Times New Roman" w:hAnsi="Times New Roman"/>
          <w:sz w:val="24"/>
        </w:rPr>
        <w:t>The method of Claim 1, further comprising executing a 9-layer metacognition safety engine evaluating: (1) modality plausibility; (2) urgency-finding consistency; (3) minimum confidence floors; (4) attribution coherence; (5) confidence-uncertainty conflict; (6) clinical impression negation concordance; (7) demographic epidemiological priors; (8) composite hallucination risk scoring; and (9) binary safe-to-alert gating.</w:t>
      </w:r>
    </w:p>
    <w:p>
      <w:pPr>
        <w:spacing w:after="160" w:line="360" w:lineRule="exact"/>
        <w:ind w:hanging="283" w:left="283"/>
        <w:jc w:val="both"/>
      </w:pPr>
      <w:r>
        <w:rPr>
          <w:rFonts w:ascii="Times New Roman" w:hAnsi="Times New Roman"/>
          <w:b/>
          <w:sz w:val="24"/>
        </w:rPr>
        <w:t xml:space="preserve">11.  </w:t>
      </w:r>
      <w:r>
        <w:rPr>
          <w:rFonts w:ascii="Times New Roman" w:hAnsi="Times New Roman"/>
          <w:sz w:val="24"/>
        </w:rPr>
        <w:t>The method of Claim 1, wherein pre-processing of computed tomography inputs generates a standardised three-channel tensor by simultaneously applying a brain window, a subdural window, and a bone window.</w:t>
      </w:r>
    </w:p>
    <w:p>
      <w:pPr>
        <w:spacing w:after="160" w:line="360" w:lineRule="exact"/>
        <w:ind w:hanging="283" w:left="283"/>
        <w:jc w:val="both"/>
      </w:pPr>
      <w:r>
        <w:rPr>
          <w:rFonts w:ascii="Times New Roman" w:hAnsi="Times New Roman"/>
          <w:b/>
          <w:sz w:val="24"/>
        </w:rPr>
        <w:t xml:space="preserve">12.  </w:t>
      </w:r>
      <w:r>
        <w:rPr>
          <w:rFonts w:ascii="Times New Roman" w:hAnsi="Times New Roman"/>
          <w:sz w:val="24"/>
        </w:rPr>
        <w:t>The method of Claim 1, wherein the digital medical imaging study is selected from the group consisting of: a chest radiograph evaluated for pneumothorax or tuberculosis; a computed tomography pulmonary angiogram evaluated for pulmonary embolism; and a brain magnetic resonance imaging study evaluated for acute ischemic stroke.</w:t>
      </w:r>
    </w:p>
    <w:p>
      <w:pPr>
        <w:spacing w:after="160" w:line="360" w:lineRule="exact"/>
        <w:ind w:hanging="283" w:left="283"/>
        <w:jc w:val="both"/>
      </w:pPr>
      <w:r>
        <w:rPr>
          <w:rFonts w:ascii="Times New Roman" w:hAnsi="Times New Roman"/>
          <w:b/>
          <w:sz w:val="24"/>
        </w:rPr>
        <w:t xml:space="preserve">13.  </w:t>
      </w:r>
      <w:r>
        <w:rPr>
          <w:rFonts w:ascii="Times New Roman" w:hAnsi="Times New Roman"/>
          <w:sz w:val="24"/>
        </w:rPr>
        <w:t>The method of Claim 1, wherein upon detecting an acute surgical emergency, an automated Stroke Code workflow simultaneously dispatches: a mobile push notification; a WebSocket event; an HL7v2 ADT patient transfer message; an HL7v2 ORM imaging order; and an HL7v2 ORU diagnostic result message.</w:t>
      </w:r>
    </w:p>
    <w:p>
      <w:pPr>
        <w:spacing w:after="160" w:line="360" w:lineRule="exact"/>
        <w:ind w:hanging="283" w:left="283"/>
        <w:jc w:val="both"/>
      </w:pPr>
      <w:r>
        <w:rPr>
          <w:rFonts w:ascii="Times New Roman" w:hAnsi="Times New Roman"/>
          <w:b/>
          <w:sz w:val="24"/>
        </w:rPr>
        <w:t xml:space="preserve">14.  </w:t>
      </w:r>
      <w:r>
        <w:rPr>
          <w:rFonts w:ascii="Times New Roman" w:hAnsi="Times New Roman"/>
          <w:sz w:val="24"/>
        </w:rPr>
        <w:t>The method of Claim 1, wherein all clinical triage decisions, conformal scores, explainability maps, and clinician sign-off actions are logged to an immutable audit trail using SHA-256 hash chaining and periodic Merkle tree verification.</w:t>
      </w:r>
    </w:p>
    <w:p>
      <w:pPr>
        <w:spacing w:after="160" w:line="360" w:lineRule="exact"/>
        <w:ind w:hanging="283" w:left="283"/>
        <w:jc w:val="both"/>
      </w:pPr>
      <w:r>
        <w:rPr>
          <w:rFonts w:ascii="Times New Roman" w:hAnsi="Times New Roman"/>
          <w:b/>
          <w:sz w:val="24"/>
        </w:rPr>
        <w:t xml:space="preserve">15.  </w:t>
      </w:r>
      <w:r>
        <w:rPr>
          <w:rFonts w:ascii="Times New Roman" w:hAnsi="Times New Roman"/>
          <w:sz w:val="24"/>
        </w:rPr>
        <w:t>A clinical artificial intelligence computing system for automated diagnostic triage and safety assurance, comprising: at least one hardware processor; a medical imaging interface configured to receive digital medical imaging studies via DICOM, HL7, or FHIR protocols; a deep neural network inference engine stored in memory and executable by the at least one processor; a zero-label adaptive batch normalisation module configured to update running mean and variance statistics of the deep neural network using unannotated imaging studies from a target clinical environment while weights remain frozen; a split conformal risk control module configured to enforce a pre-specified expected false negative triage error bound under exchangeability; an explainability engine configured to generate anatomically masked spatial attribution maps suppressing non-parenchymal bone artifacts; and a relational database enforcing foreign key constraints and digital signature validation, wherein dispatch of prioritised clinical alerts is blocked absent cryptographic clinician verification.</w:t>
      </w:r>
    </w:p>
    <w:p>
      <w:pPr>
        <w:spacing w:after="160" w:line="360" w:lineRule="exact"/>
        <w:ind w:hanging="283" w:left="283"/>
        <w:jc w:val="both"/>
      </w:pPr>
      <w:r>
        <w:rPr>
          <w:rFonts w:ascii="Times New Roman" w:hAnsi="Times New Roman"/>
          <w:b/>
          <w:sz w:val="24"/>
        </w:rPr>
        <w:t xml:space="preserve">16.  </w:t>
      </w:r>
      <w:r>
        <w:rPr>
          <w:rFonts w:ascii="Times New Roman" w:hAnsi="Times New Roman"/>
          <w:sz w:val="24"/>
        </w:rPr>
        <w:t>The system of Claim 15, configured as an offline edge gateway comprising an INT8-quantised convolutional neural network operable without external internet connectivity, a local Merkle-chained audit log, and a cellular modem configured for fallback SMS emergency alert dispatch.</w:t>
      </w:r>
    </w:p>
    <w:p>
      <w:pPr>
        <w:spacing w:after="160" w:line="360" w:lineRule="exact"/>
        <w:ind w:hanging="283" w:left="283"/>
        <w:jc w:val="both"/>
      </w:pPr>
      <w:r>
        <w:rPr>
          <w:rFonts w:ascii="Times New Roman" w:hAnsi="Times New Roman"/>
          <w:b/>
          <w:sz w:val="24"/>
        </w:rPr>
        <w:t xml:space="preserve">17.  </w:t>
      </w:r>
      <w:r>
        <w:rPr>
          <w:rFonts w:ascii="Times New Roman" w:hAnsi="Times New Roman"/>
          <w:sz w:val="24"/>
        </w:rPr>
        <w:t>The system of Claim 15, configured as a sovereign cloud cluster deployed within a sovereign cloud tenancy, comprising a GPU container pool, a tenant-isolated encrypted database, and a web application firewall.</w:t>
      </w:r>
    </w:p>
    <w:p>
      <w:pPr>
        <w:spacing w:after="160" w:line="360" w:lineRule="exact"/>
        <w:ind w:hanging="283" w:left="283"/>
        <w:jc w:val="both"/>
      </w:pPr>
      <w:r>
        <w:rPr>
          <w:rFonts w:ascii="Times New Roman" w:hAnsi="Times New Roman"/>
          <w:b/>
          <w:sz w:val="24"/>
        </w:rPr>
        <w:t xml:space="preserve">18.  </w:t>
      </w:r>
      <w:r>
        <w:rPr>
          <w:rFonts w:ascii="Times New Roman" w:hAnsi="Times New Roman"/>
          <w:sz w:val="24"/>
        </w:rPr>
        <w:t>A non-transitory computer-readable storage medium comprising instructions that, when executed by one or more processors of a medical computing device, cause the device to perform the method of Claim 1.</w:t>
      </w:r>
    </w:p>
    <w:p>
      <w:pPr>
        <w:spacing w:after="160" w:line="360" w:lineRule="exact"/>
        <w:ind w:hanging="283" w:left="283"/>
        <w:jc w:val="both"/>
      </w:pPr>
      <w:r>
        <w:rPr>
          <w:rFonts w:ascii="Times New Roman" w:hAnsi="Times New Roman"/>
          <w:b/>
          <w:sz w:val="24"/>
        </w:rPr>
        <w:t xml:space="preserve">19.  </w:t>
      </w:r>
      <w:r>
        <w:rPr>
          <w:rFonts w:ascii="Times New Roman" w:hAnsi="Times New Roman"/>
          <w:sz w:val="24"/>
        </w:rPr>
        <w:t>A computer program product comprising software code portions for executing the steps of Claim 1 when run on a clinical decision support workstation.</w:t>
      </w:r>
    </w:p>
    <w:p>
      <w:pPr>
        <w:spacing w:after="160" w:line="360" w:lineRule="exact"/>
        <w:ind w:hanging="283" w:left="283"/>
        <w:jc w:val="both"/>
      </w:pPr>
      <w:r>
        <w:rPr>
          <w:rFonts w:ascii="Times New Roman" w:hAnsi="Times New Roman"/>
          <w:b/>
          <w:sz w:val="24"/>
        </w:rPr>
        <w:t xml:space="preserve">20.  </w:t>
      </w:r>
      <w:r>
        <w:rPr>
          <w:rFonts w:ascii="Times New Roman" w:hAnsi="Times New Roman"/>
          <w:sz w:val="24"/>
        </w:rPr>
        <w:t>A Software-as-a-Medical-Device (SaMD) diagnostic decision support apparatus comprising the system of Claim 15, wherein the apparatus operates within an acute hospital emergency department to prioritise time-critical intracranial haemorrhage, pulmonary embolism, tension pneumothorax, and acute stroke studies.</w:t>
      </w:r>
    </w:p>
    <w:p>
      <w:pPr>
        <w:spacing w:after="160" w:line="360" w:lineRule="exact"/>
        <w:ind w:hanging="283" w:left="283"/>
        <w:jc w:val="both"/>
      </w:pPr>
      <w:r>
        <w:rPr>
          <w:rFonts w:ascii="Times New Roman" w:hAnsi="Times New Roman"/>
          <w:b/>
          <w:sz w:val="24"/>
        </w:rPr>
        <w:t xml:space="preserve">21.  </w:t>
      </w:r>
      <w:r>
        <w:rPr>
          <w:rFonts w:ascii="Times New Roman" w:hAnsi="Times New Roman"/>
          <w:sz w:val="24"/>
        </w:rPr>
        <w:t>A computer-implemented method for generating a clinically interpretable attribution map for deep neural network-based intracranial haemorrhage detection in non-contrast computed tomography (CT) imaging, the method comprising: computing element-wise gradient-weighted class activation mapping (HiResCAM) over a convolutional neural network final activation layer by multiplying element-wise the gradient of the predicted class score with respect to each spatial feature map activation by the corresponding activation value, without global spatial pooling; generating a parenchymal anatomical mask by thresholding CT voxels to a Hounsfield Unit range of 0 to +85 HU, thereby excluding calvarial bone (+800 to +2000 HU) and air (below -100 HU) from the attribution domain; applying said parenchymal mask to said HiResCAM activation map by element-wise multiplication, thereby suppressing gradient contributions from high-attenuation bone structures that do not contribute to haemorrhage pathology; and normalizing the resulting masked attribution map to produce a bone-artifact-suppressed saliency overlay for radiological review, wherein the bone artifact suppression produces a technically measurable improvement in attribution localisation, demonstrated by improvement in pointing-game hit rate from 11.20% to 43.83% per expert bounding box annotation across 6,283 annotations in 226 positive studies.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0" w:lineRule="exact"/>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