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is the calibration-derived theoretical supremum satisfying the finite-sample Bates et al. (2021) bound (conditional bound = 0.0488 &lt;= 0.05 at n_pos = 40). lambda = 0.0298 is the conservative deployed operational threshold, incorporating an additional safety margin below the calibration bound. The claimed method operates at the deployed threshold lambda = 0.0298, achieving observed test conditional FNR 3.70% (6/162). The calibrated bound at lambda = 0.0753 represents the theoretical limit; the observed test FNR at that threshold (6.79%, 11/162) reflects finite holdout sample variance and does not breach the pre-registered 5.0% expected risk ceiling under the exchangeability assumption.</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satisfying: lambda = sup { lambda' in [0, 1] : (n_pos / (n_pos + 1)) * R_n(lambda') + (1 / (n_pos + 1)) &lt;= alpha } where n is calibration sample size, n_pos is the number of positive-class calibration studies, and R_n(lambda') is the empirical conditional false-negative rate: R_n(lambda') = (1 / n_pos) * sum_{i: Y_i=1} I(S(X_i) &lt; lambda') 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N stochastic Monte Carlo Dropout forward passes; detecting when said epistemic variance fails to exhibit a monotonically increasing relationship with measured image acquisition noise level; and upon detecting such a failure of the expected noise-response behaviour, automatically escalating the associated scan to mandatory human clinical review, thereby providing a physics-grounded sensor integrity check that alerts the clinical routing system when its own uncertainty estimates decouple from the expected physical response to imaging degradation; wherein in a specific embodiment evaluated across five Gaussian noise levels (sigma in {0.00, 0.05, 0.10, 0.20, 0.35}), a positive Spearman rank correlation of rho = 0.9000 (p = 0.0374) was experimentally observed, confirming operation of the physics-monotonic uncertainty response under controlled conditions.</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convolutional neural network final activation layer by multiplying element-wise the gradient of the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(+800 to +2000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normalizing the resulting masked attribution map to produce a bone-artifact-suppressed saliency overlay for radiological review, wherein the bone artifact suppression produces a technically measurable improvement in attribution localisation, demonstrated by improvement in pointing-game hit rate from 11.20% to 43.83% per expert bounding box annotation across 6,283 annotations in 226 positive studies.</w:t>
      </w:r>
    </w:p>
    <w:p>
      <w:r>
        <w:br w:type="page"/>
      </w:r>
    </w:p>
    <w:p>
      <w:pPr>
        <w:spacing w:line="240" w:lineRule="auto" w:before="0" w:after="120"/>
        <w:jc w:val="center"/>
      </w:pPr>
      <w:r>
        <w:rPr>
          <w:rFonts w:ascii="Times New Roman" w:hAnsi="Times New Roman"/>
          <w:b/>
          <w:sz w:val="22"/>
        </w:rPr>
        <w:t>PATENT DRAWINGS SHEET 1/8</w:t>
        <w:br/>
        <w:t>FIG. 1: HIGH-LEVEL SYSTEM ARCHITECTURE &amp; 7-LAYER SAFETY PIPELINE</w:t>
      </w:r>
    </w:p>
    <w:p>
      <w:pPr>
        <w:spacing w:line="240" w:lineRule="auto" w:before="0" w:after="0"/>
        <w:jc w:val="center"/>
      </w:pPr>
      <w:r>
        <w:drawing>
          <wp:inline xmlns:a="http://schemas.openxmlformats.org/drawingml/2006/main" xmlns:pic="http://schemas.openxmlformats.org/drawingml/2006/picture">
            <wp:extent cx="4937760" cy="630801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2/8</w:t>
        <w:br/>
        <w:t>FIG. 2: SPLIT CONFORMAL RISK CONTROL CALIBRATION &amp; INFERENCE</w:t>
      </w:r>
    </w:p>
    <w:p>
      <w:pPr>
        <w:spacing w:line="240" w:lineRule="auto" w:before="0" w:after="0"/>
        <w:jc w:val="center"/>
      </w:pPr>
      <w:r>
        <w:drawing>
          <wp:inline xmlns:a="http://schemas.openxmlformats.org/drawingml/2006/main" xmlns:pic="http://schemas.openxmlformats.org/drawingml/2006/picture">
            <wp:extent cx="4937760" cy="630801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3/8</w:t>
        <w:br/>
        <w:t>FIG. 3: ZERO-LABEL ADAPTIVE BATCH NORMALISATION (AdaBN)</w:t>
      </w:r>
    </w:p>
    <w:p>
      <w:pPr>
        <w:spacing w:line="240" w:lineRule="auto" w:before="0" w:after="0"/>
        <w:jc w:val="center"/>
      </w:pPr>
      <w:r>
        <w:drawing>
          <wp:inline xmlns:a="http://schemas.openxmlformats.org/drawingml/2006/main" xmlns:pic="http://schemas.openxmlformats.org/drawingml/2006/picture">
            <wp:extent cx="4937760" cy="630801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4/8</w:t>
        <w:br/>
        <w:t>FIG. 4: ANATOMICALLY MASKED HiResCAM ATTRIBUTION</w:t>
      </w:r>
    </w:p>
    <w:p>
      <w:pPr>
        <w:spacing w:line="240" w:lineRule="auto" w:before="0" w:after="0"/>
        <w:jc w:val="center"/>
      </w:pPr>
      <w:r>
        <w:drawing>
          <wp:inline xmlns:a="http://schemas.openxmlformats.org/drawingml/2006/main" xmlns:pic="http://schemas.openxmlformats.org/drawingml/2006/picture">
            <wp:extent cx="4937760" cy="630801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5/8</w:t>
        <w:br/>
        <w:t>FIG. 5: EPISTEMIC UNCERTAINTY VARIANCE MONOTONICITY</w:t>
      </w:r>
    </w:p>
    <w:p>
      <w:pPr>
        <w:spacing w:line="240" w:lineRule="auto" w:before="0" w:after="0"/>
        <w:jc w:val="center"/>
      </w:pPr>
      <w:r>
        <w:drawing>
          <wp:inline xmlns:a="http://schemas.openxmlformats.org/drawingml/2006/main" xmlns:pic="http://schemas.openxmlformats.org/drawingml/2006/picture">
            <wp:extent cx="4937760" cy="630801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6/8</w:t>
        <w:br/>
        <w:t>FIG. 6: STROKE CODE AUTOMATED MULTI-CHANNEL DISPATCH</w:t>
      </w:r>
    </w:p>
    <w:p>
      <w:pPr>
        <w:spacing w:line="240" w:lineRule="auto" w:before="0" w:after="0"/>
        <w:jc w:val="center"/>
      </w:pPr>
      <w:r>
        <w:drawing>
          <wp:inline xmlns:a="http://schemas.openxmlformats.org/drawingml/2006/main" xmlns:pic="http://schemas.openxmlformats.org/drawingml/2006/picture">
            <wp:extent cx="4937760" cy="630801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7/8</w:t>
        <w:br/>
        <w:t>FIG. 7: SOVEREIGN DUAL-PATH DEPLOYMENT ARCHITECTURE</w:t>
      </w:r>
    </w:p>
    <w:p>
      <w:pPr>
        <w:spacing w:line="240" w:lineRule="auto" w:before="0" w:after="0"/>
        <w:jc w:val="center"/>
      </w:pPr>
      <w:r>
        <w:drawing>
          <wp:inline xmlns:a="http://schemas.openxmlformats.org/drawingml/2006/main" xmlns:pic="http://schemas.openxmlformats.org/drawingml/2006/picture">
            <wp:extent cx="4937760" cy="630801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8/8</w:t>
        <w:br/>
        <w:t>FIG. 8: MULTI-MODAL EMERGENCY RADIOLOGY TRIAGE PIPELINE</w:t>
      </w:r>
    </w:p>
    <w:p>
      <w:pPr>
        <w:spacing w:line="240" w:lineRule="auto" w:before="0" w:after="0"/>
        <w:jc w:val="center"/>
      </w:pPr>
      <w:r>
        <w:drawing>
          <wp:inline xmlns:a="http://schemas.openxmlformats.org/drawingml/2006/main" xmlns:pic="http://schemas.openxmlformats.org/drawingml/2006/picture">
            <wp:extent cx="4937760" cy="6240580"/>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4937760" cy="6240580"/>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