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a2b4a"/>
          <w:sz w:val="48"/>
          <w:szCs w:val="48"/>
        </w:rPr>
        <w:t xml:space="preserve">PENNY PINCHING TRIVIA</w:t>
      </w:r>
    </w:p>
    <w:p>
      <w:pPr>
        <w:spacing w:after="300"/>
        <w:jc w:val="center"/>
      </w:pPr>
      <w:r>
        <w:rPr>
          <w:b/>
          <w:bCs/>
          <w:color w:val="b8860b"/>
          <w:sz w:val="26"/>
          <w:szCs w:val="26"/>
        </w:rPr>
        <w:t xml:space="preserve">Legal Clearance Intake Package for Gaming / Gambling Counsel</w:t>
      </w:r>
    </w:p>
    <w:p>
      <w:pPr>
        <w:spacing w:after="60"/>
        <w:jc w:val="center"/>
      </w:pPr>
      <w:r>
        <w:rPr>
          <w:i/>
          <w:iCs/>
          <w:color w:val="555555"/>
          <w:sz w:val="19"/>
          <w:szCs w:val="19"/>
        </w:rPr>
        <w:t xml:space="preserve">Prepared for outside counsel review · Not for publication or public distribution</w:t>
      </w:r>
    </w:p>
    <w:p>
      <w:pPr>
        <w:spacing w:after="500"/>
        <w:jc w:val="center"/>
      </w:pPr>
      <w:r>
        <w:rPr>
          <w:color w:val="555555"/>
          <w:sz w:val="19"/>
          <w:szCs w:val="19"/>
        </w:rPr>
        <w:t xml:space="preserve">2026-07-22</w:t>
      </w:r>
    </w:p>
    <w:p>
      <w:pPr>
        <w:pBdr>
          <w:top w:val="single" w:color="b8860b" w:sz="4"/>
          <w:bottom w:val="single" w:color="b8860b" w:sz="4"/>
          <w:left w:val="single" w:color="b8860b" w:sz="4"/>
          <w:right w:val="single" w:color="b8860b" w:sz="4"/>
        </w:pBdr>
        <w:shd w:fill="FFF4E5" w:val="clear"/>
        <w:spacing w:after="200"/>
      </w:pPr>
      <w:r>
        <w:rPr>
          <w:b/>
          <w:bCs/>
          <w:color w:val="a4272c"/>
          <w:sz w:val="20"/>
          <w:szCs w:val="20"/>
        </w:rPr>
        <w:t xml:space="preserve">  This document is a business-side summary prepared without a lawyer’s involvement. It is not legal advice, and nothing in it should be treated as a legal conclusion. Every determination below is intentionally left blank for counsel to complete.  </w:t>
      </w:r>
    </w:p>
    <w:p>
      <w:pPr>
        <w:spacing w:after="140"/>
      </w:pPr>
      <w:r>
        <w:rPr>
          <w:sz w:val="21"/>
          <w:szCs w:val="21"/>
        </w:rPr>
        <w:t xml:space="preserve">This package summarizes the current product design, the compliance controls already built into the platform, and the specific open legal questions that need a licensed gaming/gambling attorney’s written answer before real players and real money go live. It is meant to be the starting point for an engagement, not a substitute for one.</w:t>
      </w:r>
    </w:p>
    <w:p>
      <w:r>
        <w:br w:type="page"/>
      </w:r>
    </w:p>
    <w:p>
      <w:pPr>
        <w:pStyle w:val="Heading1"/>
        <w:pBdr>
          <w:bottom w:val="single" w:color="1a2b4a" w:sz="6" w:space="4"/>
        </w:pBdr>
        <w:spacing w:after="160" w:before="360"/>
      </w:pPr>
      <w:r>
        <w:rPr>
          <w:b/>
          <w:bCs/>
          <w:color w:val="1a2b4a"/>
          <w:sz w:val="28"/>
          <w:szCs w:val="28"/>
        </w:rPr>
        <w:t xml:space="preserve">1. What This Product Is</w:t>
      </w:r>
    </w:p>
    <w:p>
      <w:pPr>
        <w:spacing w:after="140"/>
      </w:pPr>
      <w:r>
        <w:rPr>
          <w:sz w:val="21"/>
          <w:szCs w:val="21"/>
        </w:rPr>
        <w:t xml:space="preserve">Penny Pinching Trivia is a real-money, pay-per-round trivia contest. In plain terms:</w:t>
      </w:r>
    </w:p>
    <w:p>
      <w:pPr>
        <w:pStyle w:val="ListParagraph"/>
        <w:numPr>
          <w:ilvl w:val="0"/>
          <w:numId w:val="2"/>
        </w:numPr>
        <w:spacing w:after="80"/>
      </w:pPr>
      <w:r>
        <w:rPr>
          <w:sz w:val="21"/>
          <w:szCs w:val="21"/>
        </w:rPr>
        <w:t xml:space="preserve">A player buys tokens with real money (Stripe Checkout), which fund an in-app wallet.</w:t>
      </w:r>
    </w:p>
    <w:p>
      <w:pPr>
        <w:pStyle w:val="ListParagraph"/>
        <w:numPr>
          <w:ilvl w:val="0"/>
          <w:numId w:val="2"/>
        </w:numPr>
        <w:spacing w:after="80"/>
      </w:pPr>
      <w:r>
        <w:rPr>
          <w:sz w:val="21"/>
          <w:szCs w:val="21"/>
        </w:rPr>
        <w:t xml:space="preserve">Each scheduled contest ("game") runs up to 100 sequential rounds. Entering each round costs tokens (a "micro-debit" per round, not a single flat entry fee) — the cost typically escalates as the game progresses.</w:t>
      </w:r>
    </w:p>
    <w:p>
      <w:pPr>
        <w:pStyle w:val="ListParagraph"/>
        <w:numPr>
          <w:ilvl w:val="0"/>
          <w:numId w:val="2"/>
        </w:numPr>
        <w:spacing w:after="80"/>
      </w:pPr>
      <w:r>
        <w:rPr>
          <w:sz w:val="21"/>
          <w:szCs w:val="21"/>
        </w:rPr>
        <w:t xml:space="preserve">Each round is a single multiple-choice trivia question under a short server-enforced timer (currently 12 seconds).</w:t>
      </w:r>
    </w:p>
    <w:p>
      <w:pPr>
        <w:pStyle w:val="ListParagraph"/>
        <w:numPr>
          <w:ilvl w:val="0"/>
          <w:numId w:val="2"/>
        </w:numPr>
        <w:spacing w:after="80"/>
      </w:pPr>
      <w:r>
        <w:rPr>
          <w:sz w:val="21"/>
          <w:szCs w:val="21"/>
        </w:rPr>
        <w:t xml:space="preserve">Buy-ins fund a shared prize pool for that game; a defined split (currently 60% to the prize pool / 40% retained by the platform) determines how much of each token spent becomes prize money.</w:t>
      </w:r>
    </w:p>
    <w:p>
      <w:pPr>
        <w:pStyle w:val="ListParagraph"/>
        <w:numPr>
          <w:ilvl w:val="0"/>
          <w:numId w:val="2"/>
        </w:numPr>
        <w:spacing w:after="80"/>
      </w:pPr>
      <w:r>
        <w:rPr>
          <w:sz w:val="21"/>
          <w:szCs w:val="21"/>
        </w:rPr>
        <w:t xml:space="preserve">If the game reaches its final round with tied leaders, a live "Sudden Death Overtime" tiebreaker decides the winner(s) among the tied finalists only; other players become spectators.</w:t>
      </w:r>
    </w:p>
    <w:p>
      <w:pPr>
        <w:pStyle w:val="ListParagraph"/>
        <w:numPr>
          <w:ilvl w:val="0"/>
          <w:numId w:val="2"/>
        </w:numPr>
        <w:spacing w:after="80"/>
      </w:pPr>
      <w:r>
        <w:rPr>
          <w:sz w:val="21"/>
          <w:szCs w:val="21"/>
        </w:rPr>
        <w:t xml:space="preserve">A "streak" mechanic ("3 the hard way") credits a bonus if a player answers three rounds correctly in a row.</w:t>
      </w:r>
    </w:p>
    <w:p>
      <w:pPr>
        <w:pStyle w:val="ListParagraph"/>
        <w:numPr>
          <w:ilvl w:val="0"/>
          <w:numId w:val="2"/>
        </w:numPr>
        <w:spacing w:after="80"/>
      </w:pPr>
      <w:r>
        <w:rPr>
          <w:sz w:val="21"/>
          <w:szCs w:val="21"/>
        </w:rPr>
        <w:t xml:space="preserve">Winners are paid out of the prize pool at the end of the game; players may also withdraw their wallet’s cash balance at any time, subject to identity verification (see §2).</w:t>
      </w:r>
    </w:p>
    <w:p>
      <w:pPr>
        <w:pStyle w:val="ListParagraph"/>
        <w:numPr>
          <w:ilvl w:val="0"/>
          <w:numId w:val="2"/>
        </w:numPr>
        <w:spacing w:after="80"/>
      </w:pPr>
      <w:r>
        <w:rPr>
          <w:sz w:val="21"/>
          <w:szCs w:val="21"/>
        </w:rPr>
        <w:t xml:space="preserve">Token bundles include bonus tokens beyond the dollar amount paid (e.g., $10 purchased grants 1,400 tokens — 1,000 "cash" tokens plus 400 "bonus" tokens). Bonus tokens can be played but not withdrawn; only the cash-funded portion of a player’s balance is withdrawable.</w:t>
      </w:r>
    </w:p>
    <w:p>
      <w:pPr>
        <w:spacing w:after="140"/>
      </w:pPr>
      <w:r>
        <w:rPr>
          <w:sz w:val="21"/>
          <w:szCs w:val="21"/>
        </w:rPr>
        <w:t xml:space="preserve">This is the same basic legal shape as daily fantasy sports (DFS) platforms and "skill game" head-to-head wagering apps: a pay-to-enter contest with a cash prize, where the operator’s position is that outcomes are skill-predominant rather than chance-based. That position does not resolve itself — it is the central question this package asks counsel to evaluate.</w:t>
      </w:r>
    </w:p>
    <w:p>
      <w:pPr>
        <w:pStyle w:val="Heading1"/>
        <w:pBdr>
          <w:bottom w:val="single" w:color="1a2b4a" w:sz="6" w:space="4"/>
        </w:pBdr>
        <w:spacing w:after="160" w:before="360"/>
      </w:pPr>
      <w:r>
        <w:rPr>
          <w:b/>
          <w:bCs/>
          <w:color w:val="1a2b4a"/>
          <w:sz w:val="28"/>
          <w:szCs w:val="28"/>
        </w:rPr>
        <w:t xml:space="preserve">2. Compliance Controls Already Built (Engineering Status)</w:t>
      </w:r>
    </w:p>
    <w:p>
      <w:pPr>
        <w:spacing w:after="140"/>
      </w:pPr>
      <w:r>
        <w:rPr>
          <w:sz w:val="21"/>
          <w:szCs w:val="21"/>
        </w:rPr>
        <w:t xml:space="preserve">The items below describe what exists in the product today. None of this is a legal conclusion that these controls are sufficient — counsel should tell us what additional controls, thresholds, or disclosures are legally required, and where the list below falls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shd w:fill="1a2b4a" w:val="clear"/>
            <w:tcMar>
              <w:top w:type="dxa" w:w="80"/>
              <w:left w:type="dxa" w:w="100"/>
              <w:bottom w:type="dxa" w:w="80"/>
              <w:right w:type="dxa" w:w="100"/>
            </w:tcMar>
          </w:tcPr>
          <w:p>
            <w:r>
              <w:rPr>
                <w:b/>
                <w:bCs/>
                <w:color w:val="FFFFFF"/>
                <w:sz w:val="19"/>
                <w:szCs w:val="19"/>
              </w:rPr>
              <w:t xml:space="preserve">Control</w:t>
            </w:r>
          </w:p>
        </w:tc>
        <w:tc>
          <w:tcPr>
            <w:tcW w:type="dxa" w:w="1900"/>
            <w:shd w:fill="1a2b4a" w:val="clear"/>
            <w:tcMar>
              <w:top w:type="dxa" w:w="80"/>
              <w:left w:type="dxa" w:w="100"/>
              <w:bottom w:type="dxa" w:w="80"/>
              <w:right w:type="dxa" w:w="100"/>
            </w:tcMar>
          </w:tcPr>
          <w:p>
            <w:r>
              <w:rPr>
                <w:b/>
                <w:bCs/>
                <w:color w:val="FFFFFF"/>
                <w:sz w:val="19"/>
                <w:szCs w:val="19"/>
              </w:rPr>
              <w:t xml:space="preserve">Status</w:t>
            </w:r>
          </w:p>
        </w:tc>
        <w:tc>
          <w:tcPr>
            <w:tcW w:type="dxa" w:w="5060"/>
            <w:shd w:fill="1a2b4a" w:val="clear"/>
            <w:tcMar>
              <w:top w:type="dxa" w:w="80"/>
              <w:left w:type="dxa" w:w="100"/>
              <w:bottom w:type="dxa" w:w="80"/>
              <w:right w:type="dxa" w:w="100"/>
            </w:tcMar>
          </w:tcPr>
          <w:p>
            <w:r>
              <w:rPr>
                <w:b/>
                <w:bCs/>
                <w:color w:val="FFFFFF"/>
                <w:sz w:val="19"/>
                <w:szCs w:val="19"/>
              </w:rPr>
              <w:t xml:space="preserve">Description</w:t>
            </w:r>
          </w:p>
        </w:tc>
      </w:tr>
      <w:tr>
        <w:tc>
          <w:tcPr>
            <w:tcW w:type="dxa" w:w="2400"/>
            <w:tcMar>
              <w:top w:type="dxa" w:w="80"/>
              <w:left w:type="dxa" w:w="100"/>
              <w:bottom w:type="dxa" w:w="80"/>
              <w:right w:type="dxa" w:w="100"/>
            </w:tcMar>
          </w:tcPr>
          <w:p>
            <w:r>
              <w:rPr>
                <w:b/>
                <w:bCs/>
                <w:sz w:val="18"/>
                <w:szCs w:val="18"/>
              </w:rPr>
              <w:t xml:space="preserve">Geofencing enforcement</w:t>
            </w:r>
          </w:p>
        </w:tc>
        <w:tc>
          <w:tcPr>
            <w:tcW w:type="dxa" w:w="1900"/>
            <w:tcMar>
              <w:top w:type="dxa" w:w="80"/>
              <w:left w:type="dxa" w:w="100"/>
              <w:bottom w:type="dxa" w:w="80"/>
              <w:right w:type="dxa" w:w="100"/>
            </w:tcMar>
          </w:tcPr>
          <w:p>
            <w:r>
              <w:rPr>
                <w:b/>
                <w:bCs/>
                <w:color w:val="1a7a4a"/>
                <w:sz w:val="18"/>
                <w:szCs w:val="18"/>
              </w:rPr>
              <w:t xml:space="preserve">Built</w:t>
            </w:r>
          </w:p>
        </w:tc>
        <w:tc>
          <w:tcPr>
            <w:tcW w:type="dxa" w:w="5060"/>
            <w:tcMar>
              <w:top w:type="dxa" w:w="80"/>
              <w:left w:type="dxa" w:w="100"/>
              <w:bottom w:type="dxa" w:w="80"/>
              <w:right w:type="dxa" w:w="100"/>
            </w:tcMar>
          </w:tcPr>
          <w:p>
            <w:r>
              <w:rPr>
                <w:sz w:val="18"/>
                <w:szCs w:val="18"/>
              </w:rPr>
              <w:t xml:space="preserve">Every real-money purchase (buy_round) checks an admin-editable allowed_states list at the database layer; a client cannot bypass it. Device location is re-verified on each game screen, not just at signup.</w:t>
            </w:r>
          </w:p>
        </w:tc>
      </w:tr>
      <w:tr>
        <w:tc>
          <w:tcPr>
            <w:tcW w:type="dxa" w:w="2400"/>
            <w:tcMar>
              <w:top w:type="dxa" w:w="80"/>
              <w:left w:type="dxa" w:w="100"/>
              <w:bottom w:type="dxa" w:w="80"/>
              <w:right w:type="dxa" w:w="100"/>
            </w:tcMar>
          </w:tcPr>
          <w:p>
            <w:r>
              <w:rPr>
                <w:b/>
                <w:bCs/>
                <w:sz w:val="18"/>
                <w:szCs w:val="18"/>
              </w:rPr>
              <w:t xml:space="preserve">Anti-spoof location verification</w:t>
            </w:r>
          </w:p>
        </w:tc>
        <w:tc>
          <w:tcPr>
            <w:tcW w:type="dxa" w:w="1900"/>
            <w:tcMar>
              <w:top w:type="dxa" w:w="80"/>
              <w:left w:type="dxa" w:w="100"/>
              <w:bottom w:type="dxa" w:w="80"/>
              <w:right w:type="dxa" w:w="100"/>
            </w:tcMar>
          </w:tcPr>
          <w:p>
            <w:r>
              <w:rPr>
                <w:b/>
                <w:bCs/>
                <w:color w:val="b8860b"/>
                <w:sz w:val="18"/>
                <w:szCs w:val="18"/>
              </w:rPr>
              <w:t xml:space="preserve">Partial — vendor key needed</w:t>
            </w:r>
          </w:p>
        </w:tc>
        <w:tc>
          <w:tcPr>
            <w:tcW w:type="dxa" w:w="5060"/>
            <w:tcMar>
              <w:top w:type="dxa" w:w="80"/>
              <w:left w:type="dxa" w:w="100"/>
              <w:bottom w:type="dxa" w:w="80"/>
              <w:right w:type="dxa" w:w="100"/>
            </w:tcMar>
          </w:tcPr>
          <w:p>
            <w:r>
              <w:rPr>
                <w:sz w:val="18"/>
                <w:szCs w:val="18"/>
              </w:rPr>
              <w:t xml:space="preserve">Server can validate a signed, anti-spoofed location token (Radar) instead of a self-declared state; the vendor key/SDK is not yet installed, so location is currently self-declared by the player.</w:t>
            </w:r>
          </w:p>
        </w:tc>
      </w:tr>
      <w:tr>
        <w:tc>
          <w:tcPr>
            <w:tcW w:type="dxa" w:w="2400"/>
            <w:tcMar>
              <w:top w:type="dxa" w:w="80"/>
              <w:left w:type="dxa" w:w="100"/>
              <w:bottom w:type="dxa" w:w="80"/>
              <w:right w:type="dxa" w:w="100"/>
            </w:tcMar>
          </w:tcPr>
          <w:p>
            <w:r>
              <w:rPr>
                <w:b/>
                <w:bCs/>
                <w:sz w:val="18"/>
                <w:szCs w:val="18"/>
              </w:rPr>
              <w:t xml:space="preserve">Identity verification (KYC) gate</w:t>
            </w:r>
          </w:p>
        </w:tc>
        <w:tc>
          <w:tcPr>
            <w:tcW w:type="dxa" w:w="1900"/>
            <w:tcMar>
              <w:top w:type="dxa" w:w="80"/>
              <w:left w:type="dxa" w:w="100"/>
              <w:bottom w:type="dxa" w:w="80"/>
              <w:right w:type="dxa" w:w="100"/>
            </w:tcMar>
          </w:tcPr>
          <w:p>
            <w:r>
              <w:rPr>
                <w:b/>
                <w:bCs/>
                <w:color w:val="1a7a4a"/>
                <w:sz w:val="18"/>
                <w:szCs w:val="18"/>
              </w:rPr>
              <w:t xml:space="preserve">Built</w:t>
            </w:r>
          </w:p>
        </w:tc>
        <w:tc>
          <w:tcPr>
            <w:tcW w:type="dxa" w:w="5060"/>
            <w:tcMar>
              <w:top w:type="dxa" w:w="80"/>
              <w:left w:type="dxa" w:w="100"/>
              <w:bottom w:type="dxa" w:w="80"/>
              <w:right w:type="dxa" w:w="100"/>
            </w:tcMar>
          </w:tcPr>
          <w:p>
            <w:r>
              <w:rPr>
                <w:sz w:val="18"/>
                <w:szCs w:val="18"/>
              </w:rPr>
              <w:t xml:space="preserve">Withdrawals are blocked until a player’s identity is verified and age 18+ is confirmed. Deposits and gameplay do not require KYC — only cash-out does.</w:t>
            </w:r>
          </w:p>
        </w:tc>
      </w:tr>
      <w:tr>
        <w:tc>
          <w:tcPr>
            <w:tcW w:type="dxa" w:w="2400"/>
            <w:tcMar>
              <w:top w:type="dxa" w:w="80"/>
              <w:left w:type="dxa" w:w="100"/>
              <w:bottom w:type="dxa" w:w="80"/>
              <w:right w:type="dxa" w:w="100"/>
            </w:tcMar>
          </w:tcPr>
          <w:p>
            <w:r>
              <w:rPr>
                <w:b/>
                <w:bCs/>
                <w:sz w:val="18"/>
                <w:szCs w:val="18"/>
              </w:rPr>
              <w:t xml:space="preserve">Admin state allow/block list</w:t>
            </w:r>
          </w:p>
        </w:tc>
        <w:tc>
          <w:tcPr>
            <w:tcW w:type="dxa" w:w="1900"/>
            <w:tcMar>
              <w:top w:type="dxa" w:w="80"/>
              <w:left w:type="dxa" w:w="100"/>
              <w:bottom w:type="dxa" w:w="80"/>
              <w:right w:type="dxa" w:w="100"/>
            </w:tcMar>
          </w:tcPr>
          <w:p>
            <w:r>
              <w:rPr>
                <w:b/>
                <w:bCs/>
                <w:color w:val="1a7a4a"/>
                <w:sz w:val="18"/>
                <w:szCs w:val="18"/>
              </w:rPr>
              <w:t xml:space="preserve">Built</w:t>
            </w:r>
          </w:p>
        </w:tc>
        <w:tc>
          <w:tcPr>
            <w:tcW w:type="dxa" w:w="5060"/>
            <w:tcMar>
              <w:top w:type="dxa" w:w="80"/>
              <w:left w:type="dxa" w:w="100"/>
              <w:bottom w:type="dxa" w:w="80"/>
              <w:right w:type="dxa" w:w="100"/>
            </w:tcMar>
          </w:tcPr>
          <w:p>
            <w:r>
              <w:rPr>
                <w:sz w:val="18"/>
                <w:szCs w:val="18"/>
              </w:rPr>
              <w:t xml:space="preserve">Staff can turn states on or off with no app release, from the internal Command Center tool.</w:t>
            </w:r>
          </w:p>
        </w:tc>
      </w:tr>
      <w:tr>
        <w:tc>
          <w:tcPr>
            <w:tcW w:type="dxa" w:w="2400"/>
            <w:tcMar>
              <w:top w:type="dxa" w:w="80"/>
              <w:left w:type="dxa" w:w="100"/>
              <w:bottom w:type="dxa" w:w="80"/>
              <w:right w:type="dxa" w:w="100"/>
            </w:tcMar>
          </w:tcPr>
          <w:p>
            <w:r>
              <w:rPr>
                <w:b/>
                <w:bCs/>
                <w:sz w:val="18"/>
                <w:szCs w:val="18"/>
              </w:rPr>
              <w:t xml:space="preserve">Cash vs. bonus wallet split</w:t>
            </w:r>
          </w:p>
        </w:tc>
        <w:tc>
          <w:tcPr>
            <w:tcW w:type="dxa" w:w="1900"/>
            <w:tcMar>
              <w:top w:type="dxa" w:w="80"/>
              <w:left w:type="dxa" w:w="100"/>
              <w:bottom w:type="dxa" w:w="80"/>
              <w:right w:type="dxa" w:w="100"/>
            </w:tcMar>
          </w:tcPr>
          <w:p>
            <w:r>
              <w:rPr>
                <w:b/>
                <w:bCs/>
                <w:color w:val="1a7a4a"/>
                <w:sz w:val="18"/>
                <w:szCs w:val="18"/>
              </w:rPr>
              <w:t xml:space="preserve">Built</w:t>
            </w:r>
          </w:p>
        </w:tc>
        <w:tc>
          <w:tcPr>
            <w:tcW w:type="dxa" w:w="5060"/>
            <w:tcMar>
              <w:top w:type="dxa" w:w="80"/>
              <w:left w:type="dxa" w:w="100"/>
              <w:bottom w:type="dxa" w:w="80"/>
              <w:right w:type="dxa" w:w="100"/>
            </w:tcMar>
          </w:tcPr>
          <w:p>
            <w:r>
              <w:rPr>
                <w:sz w:val="18"/>
                <w:szCs w:val="18"/>
              </w:rPr>
              <w:t xml:space="preserve">Promotional/bonus tokens are tracked separately from cash paid in; only the cash-funded balance is withdrawable, and only the cash portion funds the prize pool.</w:t>
            </w:r>
          </w:p>
        </w:tc>
      </w:tr>
      <w:tr>
        <w:tc>
          <w:tcPr>
            <w:tcW w:type="dxa" w:w="2400"/>
            <w:tcMar>
              <w:top w:type="dxa" w:w="80"/>
              <w:left w:type="dxa" w:w="100"/>
              <w:bottom w:type="dxa" w:w="80"/>
              <w:right w:type="dxa" w:w="100"/>
            </w:tcMar>
          </w:tcPr>
          <w:p>
            <w:r>
              <w:rPr>
                <w:b/>
                <w:bCs/>
                <w:sz w:val="18"/>
                <w:szCs w:val="18"/>
              </w:rPr>
              <w:t xml:space="preserve">Tax detail / withholding gate</w:t>
            </w:r>
          </w:p>
        </w:tc>
        <w:tc>
          <w:tcPr>
            <w:tcW w:type="dxa" w:w="1900"/>
            <w:tcMar>
              <w:top w:type="dxa" w:w="80"/>
              <w:left w:type="dxa" w:w="100"/>
              <w:bottom w:type="dxa" w:w="80"/>
              <w:right w:type="dxa" w:w="100"/>
            </w:tcMar>
          </w:tcPr>
          <w:p>
            <w:r>
              <w:rPr>
                <w:b/>
                <w:bCs/>
                <w:color w:val="b8860b"/>
                <w:sz w:val="18"/>
                <w:szCs w:val="18"/>
              </w:rPr>
              <w:t xml:space="preserve">Partial</w:t>
            </w:r>
          </w:p>
        </w:tc>
        <w:tc>
          <w:tcPr>
            <w:tcW w:type="dxa" w:w="5060"/>
            <w:tcMar>
              <w:top w:type="dxa" w:w="80"/>
              <w:left w:type="dxa" w:w="100"/>
              <w:bottom w:type="dxa" w:w="80"/>
              <w:right w:type="dxa" w:w="100"/>
            </w:tcMar>
          </w:tcPr>
          <w:p>
            <w:r>
              <w:rPr>
                <w:sz w:val="18"/>
                <w:szCs w:val="18"/>
              </w:rPr>
              <w:t xml:space="preserve">Lifetime winnings are tracked per player and withdrawals lock at $550 pending confirmed tax details. Actual W-9 collection and 1099 filing are not yet wired to a tax vendor.</w:t>
            </w:r>
          </w:p>
        </w:tc>
      </w:tr>
      <w:tr>
        <w:tc>
          <w:tcPr>
            <w:tcW w:type="dxa" w:w="2400"/>
            <w:tcMar>
              <w:top w:type="dxa" w:w="80"/>
              <w:left w:type="dxa" w:w="100"/>
              <w:bottom w:type="dxa" w:w="80"/>
              <w:right w:type="dxa" w:w="100"/>
            </w:tcMar>
          </w:tcPr>
          <w:p>
            <w:r>
              <w:rPr>
                <w:b/>
                <w:bCs/>
                <w:sz w:val="18"/>
                <w:szCs w:val="18"/>
              </w:rPr>
              <w:t xml:space="preserve">Audit trail</w:t>
            </w:r>
          </w:p>
        </w:tc>
        <w:tc>
          <w:tcPr>
            <w:tcW w:type="dxa" w:w="1900"/>
            <w:tcMar>
              <w:top w:type="dxa" w:w="80"/>
              <w:left w:type="dxa" w:w="100"/>
              <w:bottom w:type="dxa" w:w="80"/>
              <w:right w:type="dxa" w:w="100"/>
            </w:tcMar>
          </w:tcPr>
          <w:p>
            <w:r>
              <w:rPr>
                <w:b/>
                <w:bCs/>
                <w:color w:val="1a7a4a"/>
                <w:sz w:val="18"/>
                <w:szCs w:val="18"/>
              </w:rPr>
              <w:t xml:space="preserve">Built</w:t>
            </w:r>
          </w:p>
        </w:tc>
        <w:tc>
          <w:tcPr>
            <w:tcW w:type="dxa" w:w="5060"/>
            <w:tcMar>
              <w:top w:type="dxa" w:w="80"/>
              <w:left w:type="dxa" w:w="100"/>
              <w:bottom w:type="dxa" w:w="80"/>
              <w:right w:type="dxa" w:w="100"/>
            </w:tcMar>
          </w:tcPr>
          <w:p>
            <w:r>
              <w:rPr>
                <w:sz w:val="18"/>
                <w:szCs w:val="18"/>
              </w:rPr>
              <w:t xml:space="preserve">Every deposit, withdrawal, and staff action is written to an immutable ledger / admin log.</w:t>
            </w:r>
          </w:p>
        </w:tc>
      </w:tr>
      <w:tr>
        <w:tc>
          <w:tcPr>
            <w:tcW w:type="dxa" w:w="2400"/>
            <w:tcMar>
              <w:top w:type="dxa" w:w="80"/>
              <w:left w:type="dxa" w:w="100"/>
              <w:bottom w:type="dxa" w:w="80"/>
              <w:right w:type="dxa" w:w="100"/>
            </w:tcMar>
          </w:tcPr>
          <w:p>
            <w:r>
              <w:rPr>
                <w:b/>
                <w:bCs/>
                <w:sz w:val="18"/>
                <w:szCs w:val="18"/>
              </w:rPr>
              <w:t xml:space="preserve">Self-exclusion / spend limits</w:t>
            </w:r>
          </w:p>
        </w:tc>
        <w:tc>
          <w:tcPr>
            <w:tcW w:type="dxa" w:w="1900"/>
            <w:tcMar>
              <w:top w:type="dxa" w:w="80"/>
              <w:left w:type="dxa" w:w="100"/>
              <w:bottom w:type="dxa" w:w="80"/>
              <w:right w:type="dxa" w:w="100"/>
            </w:tcMar>
          </w:tcPr>
          <w:p>
            <w:r>
              <w:rPr>
                <w:b/>
                <w:bCs/>
                <w:color w:val="a4272c"/>
                <w:sz w:val="18"/>
                <w:szCs w:val="18"/>
              </w:rPr>
              <w:t xml:space="preserve">Not built</w:t>
            </w:r>
          </w:p>
        </w:tc>
        <w:tc>
          <w:tcPr>
            <w:tcW w:type="dxa" w:w="5060"/>
            <w:tcMar>
              <w:top w:type="dxa" w:w="80"/>
              <w:left w:type="dxa" w:w="100"/>
              <w:bottom w:type="dxa" w:w="80"/>
              <w:right w:type="dxa" w:w="100"/>
            </w:tcMar>
          </w:tcPr>
          <w:p>
            <w:r>
              <w:rPr>
                <w:sz w:val="18"/>
                <w:szCs w:val="18"/>
              </w:rPr>
              <w:t xml:space="preserve">Players cannot yet set their own deposit or play limits, or request a cooling-off / self-exclusion period.</w:t>
            </w:r>
          </w:p>
        </w:tc>
      </w:tr>
      <w:tr>
        <w:tc>
          <w:tcPr>
            <w:tcW w:type="dxa" w:w="2400"/>
            <w:tcMar>
              <w:top w:type="dxa" w:w="80"/>
              <w:left w:type="dxa" w:w="100"/>
              <w:bottom w:type="dxa" w:w="80"/>
              <w:right w:type="dxa" w:w="100"/>
            </w:tcMar>
          </w:tcPr>
          <w:p>
            <w:r>
              <w:rPr>
                <w:b/>
                <w:bCs/>
                <w:sz w:val="18"/>
                <w:szCs w:val="18"/>
              </w:rPr>
              <w:t xml:space="preserve">No-purchase-necessary entry</w:t>
            </w:r>
          </w:p>
        </w:tc>
        <w:tc>
          <w:tcPr>
            <w:tcW w:type="dxa" w:w="1900"/>
            <w:tcMar>
              <w:top w:type="dxa" w:w="80"/>
              <w:left w:type="dxa" w:w="100"/>
              <w:bottom w:type="dxa" w:w="80"/>
              <w:right w:type="dxa" w:w="100"/>
            </w:tcMar>
          </w:tcPr>
          <w:p>
            <w:r>
              <w:rPr>
                <w:b/>
                <w:bCs/>
                <w:color w:val="a4272c"/>
                <w:sz w:val="18"/>
                <w:szCs w:val="18"/>
              </w:rPr>
              <w:t xml:space="preserve">Not built</w:t>
            </w:r>
          </w:p>
        </w:tc>
        <w:tc>
          <w:tcPr>
            <w:tcW w:type="dxa" w:w="5060"/>
            <w:tcMar>
              <w:top w:type="dxa" w:w="80"/>
              <w:left w:type="dxa" w:w="100"/>
              <w:bottom w:type="dxa" w:w="80"/>
              <w:right w:type="dxa" w:w="100"/>
            </w:tcMar>
          </w:tcPr>
          <w:p>
            <w:r>
              <w:rPr>
                <w:sz w:val="18"/>
                <w:szCs w:val="18"/>
              </w:rPr>
              <w:t xml:space="preserve">There is currently no free/no-purchase alternate method of entry — every round costs tokens.</w:t>
            </w:r>
          </w:p>
        </w:tc>
      </w:tr>
    </w:tbl>
    <w:p>
      <w:r>
        <w:br w:type="page"/>
      </w:r>
    </w:p>
    <w:p>
      <w:pPr>
        <w:pStyle w:val="Heading1"/>
        <w:pBdr>
          <w:bottom w:val="single" w:color="1a2b4a" w:sz="6" w:space="4"/>
        </w:pBdr>
        <w:spacing w:after="160" w:before="360"/>
      </w:pPr>
      <w:r>
        <w:rPr>
          <w:b/>
          <w:bCs/>
          <w:color w:val="1a2b4a"/>
          <w:sz w:val="28"/>
          <w:szCs w:val="28"/>
        </w:rPr>
        <w:t xml:space="preserve">3. Specific Questions Requiring Counsel’s Written Answer</w:t>
      </w:r>
    </w:p>
    <w:p>
      <w:pPr>
        <w:spacing w:after="140"/>
      </w:pPr>
      <w:r>
        <w:rPr>
          <w:sz w:val="21"/>
          <w:szCs w:val="21"/>
        </w:rPr>
        <w:t xml:space="preserve">Please provide a written answer (or "requires further research, follow up by [date]") for each item below. Citations to the specific statute or regulation relied upon are appreciated but not required for a first-pass answer.</w:t>
      </w:r>
    </w:p>
    <w:p>
      <w:pPr>
        <w:pStyle w:val="Heading2"/>
        <w:spacing w:after="100" w:before="240"/>
      </w:pPr>
      <w:r>
        <w:rPr>
          <w:b/>
          <w:bCs/>
          <w:color w:val="1a2b4a"/>
          <w:sz w:val="23"/>
          <w:szCs w:val="23"/>
        </w:rPr>
        <w:t xml:space="preserve">3.1 Entity structure &amp; licensing</w:t>
      </w:r>
    </w:p>
    <w:p>
      <w:pPr>
        <w:spacing w:after="140"/>
      </w:pPr>
      <w:r>
        <w:rPr>
          <w:sz w:val="21"/>
          <w:szCs w:val="21"/>
        </w:rPr>
        <w:t xml:space="preserve">Does operating this contest require a money transmitter license (state-by-state) for holding player funds between deposit and payout? We currently use Stripe Connect for payouts — does that change or eliminate this requirement?</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3.2 State-by-state legality</w:t>
      </w:r>
    </w:p>
    <w:p>
      <w:pPr>
        <w:spacing w:after="140"/>
      </w:pPr>
      <w:r>
        <w:rPr>
          <w:sz w:val="21"/>
          <w:szCs w:val="21"/>
        </w:rPr>
        <w:t xml:space="preserve">Which US states currently permit a pay-to-enter, cash-prize, skill-predominant contest of this exact structure (escalating per-round micro-entry, live tiebreaker, streak bonus), and which prohibit it outright? See the full 50-state worksheet in §4.</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3.3 No-purchase-necessary alternate entry</w:t>
      </w:r>
    </w:p>
    <w:p>
      <w:pPr>
        <w:spacing w:after="140"/>
      </w:pPr>
      <w:r>
        <w:rPr>
          <w:sz w:val="21"/>
          <w:szCs w:val="21"/>
        </w:rPr>
        <w:t xml:space="preserve">Is a free/no-purchase alternate method of entry legally required for this contest structure in any of our target states? The product currently has no free entry path — every round costs tokens.</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3.4 Prize registration / bonding thresholds</w:t>
      </w:r>
    </w:p>
    <w:p>
      <w:pPr>
        <w:spacing w:after="140"/>
      </w:pPr>
      <w:r>
        <w:rPr>
          <w:sz w:val="21"/>
          <w:szCs w:val="21"/>
        </w:rPr>
        <w:t xml:space="preserve">Do any target states require registering the contest or posting a bond once the prize pool (or a single game’s prize pool) crosses a dollar threshold? If so, which states and what thresholds?</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3.5 AML / KYC obligations</w:t>
      </w:r>
    </w:p>
    <w:p>
      <w:pPr>
        <w:spacing w:after="140"/>
      </w:pPr>
      <w:r>
        <w:rPr>
          <w:sz w:val="21"/>
          <w:szCs w:val="21"/>
        </w:rPr>
        <w:t xml:space="preserve">Stripe performs its own KYC on connected payout accounts. Does the platform have independent AML/KYC obligations at the point of withdrawal, at signup, or at a deposit/spend threshold? Are there Suspicious Activity Reporting (SAR/FinCEN) obligations on the platform itself, or does that rest entirely with Stripe as money transmitter of record?</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3.6 Tax reporting</w:t>
      </w:r>
    </w:p>
    <w:p>
      <w:pPr>
        <w:spacing w:after="140"/>
      </w:pPr>
      <w:r>
        <w:rPr>
          <w:sz w:val="21"/>
          <w:szCs w:val="21"/>
        </w:rPr>
        <w:t xml:space="preserve">Which IRS form applies to winnings paid by this platform — 1099-MISC, 1099-K, or another — given the platform’s role as either payor of winnings or a payment intermediary? We currently lock withdrawals at $550 in lifetime winnings pending confirmed tax details; is that the right threshold and mechanism?</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3.7 Age &amp; location verification standard</w:t>
      </w:r>
    </w:p>
    <w:p>
      <w:pPr>
        <w:spacing w:after="140"/>
      </w:pPr>
      <w:r>
        <w:rPr>
          <w:sz w:val="21"/>
          <w:szCs w:val="21"/>
        </w:rPr>
        <w:t xml:space="preserve">Is self-attested "18+" and self-declared location (as opposed to enforced, vendor-verified identity and geolocation) legally sufficient at any stage of play, or does real-money play need to be gated behind verified checks from the first deposit rather than only at withdrawal?</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3.8 Payment processor approval</w:t>
      </w:r>
    </w:p>
    <w:p>
      <w:pPr>
        <w:spacing w:after="140"/>
      </w:pPr>
      <w:r>
        <w:rPr>
          <w:sz w:val="21"/>
          <w:szCs w:val="21"/>
        </w:rPr>
        <w:t xml:space="preserve">Stripe’s Restricted Businesses policy lists gambling, and in some cases skill-based cash contests, as requiring pre-approval or being prohibited outright depending on jurisdiction and structure. Should we obtain explicit written confirmation from Stripe before scaling volume, and/or should we engage a specialty gaming payments processor instead?</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pPr>
        <w:pStyle w:val="Heading2"/>
        <w:spacing w:after="100" w:before="240"/>
      </w:pPr>
      <w:r>
        <w:rPr>
          <w:b/>
          <w:bCs/>
          <w:color w:val="1a2b4a"/>
          <w:sz w:val="23"/>
          <w:szCs w:val="23"/>
        </w:rPr>
        <w:t xml:space="preserve">3.9 Responsible-play requirements</w:t>
      </w:r>
    </w:p>
    <w:p>
      <w:pPr>
        <w:spacing w:after="140"/>
      </w:pPr>
      <w:r>
        <w:rPr>
          <w:sz w:val="21"/>
          <w:szCs w:val="21"/>
        </w:rPr>
        <w:t xml:space="preserve">Are player-facing responsible-gaming tools — self-service spend limits, self-exclusion/cooling-off requests, a problem-gambling resource link (e.g., National Council on Problem Gambling) — legally required for this product in our target states, or best-practice only? None of this is built yet.</w:t>
      </w:r>
    </w:p>
    <w:p>
      <w:pPr>
        <w:spacing w:after="40" w:before="60"/>
      </w:pPr>
      <w:r>
        <w:rPr>
          <w:i/>
          <w:iCs/>
          <w:color w:val="555555"/>
          <w:sz w:val="19"/>
          <w:szCs w:val="19"/>
        </w:rPr>
        <w:t xml:space="preserve">Counsel's determination:</w:t>
      </w:r>
    </w:p>
    <w:p>
      <w:pPr>
        <w:pBdr>
          <w:bottom w:val="single" w:color="999999" w:sz="4" w:space="1"/>
        </w:pBdr>
        <w:spacing w:after="220"/>
      </w:pPr>
      <w:r>
        <w:rPr>
          <w:sz w:val="21"/>
          <w:szCs w:val="21"/>
        </w:rPr>
        <w:t xml:space="preserve"> </w:t>
      </w:r>
    </w:p>
    <w:p>
      <w:pPr>
        <w:pBdr>
          <w:bottom w:val="single" w:color="999999" w:sz="4" w:space="1"/>
        </w:pBdr>
        <w:spacing w:after="220"/>
      </w:pPr>
      <w:r>
        <w:rPr>
          <w:sz w:val="21"/>
          <w:szCs w:val="21"/>
        </w:rPr>
        <w:t xml:space="preserve"> </w:t>
      </w:r>
    </w:p>
    <w:p>
      <w:r>
        <w:br w:type="page"/>
      </w:r>
    </w:p>
    <w:p>
      <w:pPr>
        <w:pStyle w:val="Heading1"/>
        <w:pBdr>
          <w:bottom w:val="single" w:color="1a2b4a" w:sz="6" w:space="4"/>
        </w:pBdr>
        <w:spacing w:after="160" w:before="360"/>
      </w:pPr>
      <w:r>
        <w:rPr>
          <w:b/>
          <w:bCs/>
          <w:color w:val="1a2b4a"/>
          <w:sz w:val="28"/>
          <w:szCs w:val="28"/>
        </w:rPr>
        <w:t xml:space="preserve">4. State-by-State Worksheet</w:t>
      </w:r>
    </w:p>
    <w:p>
      <w:pPr>
        <w:spacing w:after="140"/>
      </w:pPr>
      <w:r>
        <w:rPr>
          <w:sz w:val="21"/>
          <w:szCs w:val="21"/>
        </w:rPr>
        <w:t xml:space="preserve">The "current status" column reflects an internal engineering default, not a legal determination — it was set from general knowledge of DFS/skill-contest law patterns, not a statutory review. The right two columns are for counsel to complete. All 50 states are listed; none should be read as pre-cleared.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30"/>
        <w:gridCol w:w="2430"/>
      </w:tblGrid>
      <w:tr>
        <w:trPr>
          <w:tblHeader/>
        </w:trPr>
        <w:tc>
          <w:tcPr>
            <w:tcW w:type="dxa" w:w="2400"/>
            <w:shd w:fill="1a2b4a" w:val="clear"/>
            <w:tcMar>
              <w:top w:type="dxa" w:w="80"/>
              <w:left w:type="dxa" w:w="100"/>
              <w:bottom w:type="dxa" w:w="80"/>
              <w:right w:type="dxa" w:w="100"/>
            </w:tcMar>
          </w:tcPr>
          <w:p>
            <w:r>
              <w:rPr>
                <w:b/>
                <w:bCs/>
                <w:color w:val="FFFFFF"/>
                <w:sz w:val="19"/>
                <w:szCs w:val="19"/>
              </w:rPr>
              <w:t xml:space="preserve">State</w:t>
            </w:r>
          </w:p>
        </w:tc>
        <w:tc>
          <w:tcPr>
            <w:tcW w:type="dxa" w:w="2100"/>
            <w:shd w:fill="1a2b4a" w:val="clear"/>
            <w:tcMar>
              <w:top w:type="dxa" w:w="80"/>
              <w:left w:type="dxa" w:w="100"/>
              <w:bottom w:type="dxa" w:w="80"/>
              <w:right w:type="dxa" w:w="100"/>
            </w:tcMar>
          </w:tcPr>
          <w:p>
            <w:r>
              <w:rPr>
                <w:b/>
                <w:bCs/>
                <w:color w:val="FFFFFF"/>
                <w:sz w:val="19"/>
                <w:szCs w:val="19"/>
              </w:rPr>
              <w:t xml:space="preserve">Current status (engineering default)</w:t>
            </w:r>
          </w:p>
        </w:tc>
        <w:tc>
          <w:tcPr>
            <w:tcW w:type="dxa" w:w="2430"/>
            <w:shd w:fill="1a2b4a" w:val="clear"/>
            <w:tcMar>
              <w:top w:type="dxa" w:w="80"/>
              <w:left w:type="dxa" w:w="100"/>
              <w:bottom w:type="dxa" w:w="80"/>
              <w:right w:type="dxa" w:w="100"/>
            </w:tcMar>
          </w:tcPr>
          <w:p>
            <w:r>
              <w:rPr>
                <w:b/>
                <w:bCs/>
                <w:color w:val="FFFFFF"/>
                <w:sz w:val="19"/>
                <w:szCs w:val="19"/>
              </w:rPr>
              <w:t xml:space="preserve">Counsel's determination</w:t>
            </w:r>
          </w:p>
        </w:tc>
        <w:tc>
          <w:tcPr>
            <w:tcW w:type="dxa" w:w="2430"/>
            <w:shd w:fill="1a2b4a" w:val="clear"/>
            <w:tcMar>
              <w:top w:type="dxa" w:w="80"/>
              <w:left w:type="dxa" w:w="100"/>
              <w:bottom w:type="dxa" w:w="80"/>
              <w:right w:type="dxa" w:w="100"/>
            </w:tcMar>
          </w:tcPr>
          <w:p>
            <w:r>
              <w:rPr>
                <w:b/>
                <w:bCs/>
                <w:color w:val="FFFFFF"/>
                <w:sz w:val="19"/>
                <w:szCs w:val="19"/>
              </w:rPr>
              <w:t xml:space="preserve">Notes / conditions</w:t>
            </w:r>
          </w:p>
        </w:tc>
      </w:tr>
      <w:tr>
        <w:tc>
          <w:tcPr>
            <w:tcW w:type="dxa" w:w="2400"/>
            <w:tcMar>
              <w:top w:type="dxa" w:w="80"/>
              <w:left w:type="dxa" w:w="100"/>
              <w:bottom w:type="dxa" w:w="80"/>
              <w:right w:type="dxa" w:w="100"/>
            </w:tcMar>
          </w:tcPr>
          <w:p>
            <w:r>
              <w:rPr>
                <w:b/>
                <w:bCs/>
                <w:sz w:val="18"/>
                <w:szCs w:val="18"/>
              </w:rPr>
              <w:t xml:space="preserve">Alabama (AL)</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Alaska (AK)</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Arizona (AZ)</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Arkansas (AR)</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California (CA)</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Colorado (CO)</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Connecticut (CT)</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Delaware (DE)</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Florida (FL)</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Georgia (GA)</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Hawaii (HI)</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Idaho (ID)</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Illinois (IL)</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Indiana (IN)</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Iowa (IA)</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Kansas (KS)</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Kentucky (KY)</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Louisiana (LA)</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Maine (ME)</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Maryland (MD)</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Massachusetts (MA)</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Michigan (MI)</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Minnesota (MN)</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Mississippi (MS)</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Missouri (MO)</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Montana (MT)</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Nebraska (NE)</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Nevada (NV)</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New Hampshire (NH)</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New Jersey (NJ)</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New Mexico (NM)</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New York (NY)</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North Carolina (NC)</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North Dakota (ND)</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Ohio (OH)</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Oklahoma (OK)</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Oregon (OR)</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Pennsylvania (PA)</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Rhode Island (RI)</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South Carolina (SC)</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South Dakota (SD)</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Tennessee (TN)</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Texas (TX)</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Utah (UT)</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Vermont (VT)</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Virginia (VA)</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Washington (WA)</w:t>
            </w:r>
          </w:p>
        </w:tc>
        <w:tc>
          <w:tcPr>
            <w:tcW w:type="dxa" w:w="2100"/>
            <w:tcMar>
              <w:top w:type="dxa" w:w="80"/>
              <w:left w:type="dxa" w:w="100"/>
              <w:bottom w:type="dxa" w:w="80"/>
              <w:right w:type="dxa" w:w="100"/>
            </w:tcMar>
          </w:tcPr>
          <w:p>
            <w:r>
              <w:rPr>
                <w:b/>
                <w:bCs/>
                <w:color w:val="a4272c"/>
                <w:sz w:val="18"/>
                <w:szCs w:val="18"/>
              </w:rPr>
              <w:t xml:space="preserve">Currently blocked (flagged higher-risk)</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West Virginia (WV)</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Wisconsin (WI)</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r>
        <w:tc>
          <w:tcPr>
            <w:tcW w:type="dxa" w:w="2400"/>
            <w:tcMar>
              <w:top w:type="dxa" w:w="80"/>
              <w:left w:type="dxa" w:w="100"/>
              <w:bottom w:type="dxa" w:w="80"/>
              <w:right w:type="dxa" w:w="100"/>
            </w:tcMar>
          </w:tcPr>
          <w:p>
            <w:r>
              <w:rPr>
                <w:b/>
                <w:bCs/>
                <w:sz w:val="18"/>
                <w:szCs w:val="18"/>
              </w:rPr>
              <w:t xml:space="preserve">Wyoming (WY)</w:t>
            </w:r>
          </w:p>
        </w:tc>
        <w:tc>
          <w:tcPr>
            <w:tcW w:type="dxa" w:w="2100"/>
            <w:tcMar>
              <w:top w:type="dxa" w:w="80"/>
              <w:left w:type="dxa" w:w="100"/>
              <w:bottom w:type="dxa" w:w="80"/>
              <w:right w:type="dxa" w:w="100"/>
            </w:tcMar>
          </w:tcPr>
          <w:p>
            <w:r>
              <w:rPr>
                <w:b/>
                <w:bCs/>
                <w:color w:val="1a7a4a"/>
                <w:sz w:val="18"/>
                <w:szCs w:val="18"/>
              </w:rPr>
              <w:t xml:space="preserve">Currently enabled</w:t>
            </w:r>
          </w:p>
        </w:tc>
        <w:tc>
          <w:tcPr>
            <w:tcW w:type="dxa" w:w="2430"/>
            <w:tcMar>
              <w:top w:type="dxa" w:w="80"/>
              <w:left w:type="dxa" w:w="100"/>
              <w:bottom w:type="dxa" w:w="80"/>
              <w:right w:type="dxa" w:w="100"/>
            </w:tcMar>
          </w:tcPr>
          <w:p>
            <w:r>
              <w:rPr>
                <w:sz w:val="18"/>
                <w:szCs w:val="18"/>
              </w:rPr>
              <w:t xml:space="preserve"/>
            </w:r>
          </w:p>
        </w:tc>
        <w:tc>
          <w:tcPr>
            <w:tcW w:type="dxa" w:w="2430"/>
            <w:tcMar>
              <w:top w:type="dxa" w:w="80"/>
              <w:left w:type="dxa" w:w="100"/>
              <w:bottom w:type="dxa" w:w="80"/>
              <w:right w:type="dxa" w:w="100"/>
            </w:tcMar>
          </w:tcPr>
          <w:p>
            <w:r>
              <w:rPr>
                <w:sz w:val="18"/>
                <w:szCs w:val="18"/>
              </w:rPr>
              <w:t xml:space="preserve"/>
            </w:r>
          </w:p>
        </w:tc>
      </w:tr>
    </w:tbl>
    <w:p>
      <w:r>
        <w:br w:type="page"/>
      </w:r>
    </w:p>
    <w:p>
      <w:pPr>
        <w:pStyle w:val="Heading1"/>
        <w:pBdr>
          <w:bottom w:val="single" w:color="1a2b4a" w:sz="6" w:space="4"/>
        </w:pBdr>
        <w:spacing w:after="160" w:before="360"/>
      </w:pPr>
      <w:r>
        <w:rPr>
          <w:b/>
          <w:bCs/>
          <w:color w:val="1a2b4a"/>
          <w:sz w:val="28"/>
          <w:szCs w:val="28"/>
        </w:rPr>
        <w:t xml:space="preserve">5. Draft Documents for Counsel Review</w:t>
      </w:r>
    </w:p>
    <w:p>
      <w:pPr>
        <w:spacing w:after="140"/>
      </w:pPr>
      <w:r>
        <w:rPr>
          <w:sz w:val="21"/>
          <w:szCs w:val="21"/>
        </w:rPr>
        <w:t xml:space="preserve">The following documents exist as internal drafts only, are marked "DRAFT — not for publication" in-product, and must not be published or relied upon until counsel has reviewed and revised them:</w:t>
      </w:r>
    </w:p>
    <w:p>
      <w:pPr>
        <w:pStyle w:val="ListParagraph"/>
        <w:numPr>
          <w:ilvl w:val="0"/>
          <w:numId w:val="2"/>
        </w:numPr>
        <w:spacing w:after="80"/>
      </w:pPr>
      <w:r>
        <w:rPr>
          <w:sz w:val="21"/>
          <w:szCs w:val="21"/>
        </w:rPr>
        <w:t xml:space="preserve">Terms of Service (draft) — eligibility, token/wallet mechanics, scoring, payouts, dispute process.</w:t>
      </w:r>
    </w:p>
    <w:p>
      <w:pPr>
        <w:pStyle w:val="ListParagraph"/>
        <w:numPr>
          <w:ilvl w:val="0"/>
          <w:numId w:val="2"/>
        </w:numPr>
        <w:spacing w:after="80"/>
      </w:pPr>
      <w:r>
        <w:rPr>
          <w:sz w:val="21"/>
          <w:szCs w:val="21"/>
        </w:rPr>
        <w:t xml:space="preserve">Official Rules (draft) — contest/prize disclosure: odds, prize structure, "void where prohibited" language.</w:t>
      </w:r>
    </w:p>
    <w:p>
      <w:pPr>
        <w:pStyle w:val="ListParagraph"/>
        <w:numPr>
          <w:ilvl w:val="0"/>
          <w:numId w:val="2"/>
        </w:numPr>
        <w:spacing w:after="80"/>
      </w:pPr>
      <w:r>
        <w:rPr>
          <w:sz w:val="21"/>
          <w:szCs w:val="21"/>
        </w:rPr>
        <w:t xml:space="preserve">Privacy Policy (draft) — account, payment, and gameplay data collection and use.</w:t>
      </w:r>
    </w:p>
    <w:p>
      <w:pPr>
        <w:spacing w:after="140"/>
      </w:pPr>
      <w:r>
        <w:rPr>
          <w:sz w:val="21"/>
          <w:szCs w:val="21"/>
        </w:rPr>
        <w:t xml:space="preserve">Each draft contains inline "[COUNSEL: ...]" markers at every placeholder, jurisdiction-specific number, or open question — these are provided as separate attachments alongside this package.</w:t>
      </w:r>
    </w:p>
    <w:p>
      <w:pPr>
        <w:pStyle w:val="Heading1"/>
        <w:pBdr>
          <w:bottom w:val="single" w:color="1a2b4a" w:sz="6" w:space="4"/>
        </w:pBdr>
        <w:spacing w:after="160" w:before="360"/>
      </w:pPr>
      <w:r>
        <w:rPr>
          <w:b/>
          <w:bCs/>
          <w:color w:val="1a2b4a"/>
          <w:sz w:val="28"/>
          <w:szCs w:val="28"/>
        </w:rPr>
        <w:t xml:space="preserve">6. Sign-Off</w:t>
      </w:r>
    </w:p>
    <w:p>
      <w:pPr>
        <w:spacing w:after="140"/>
      </w:pPr>
      <w:r>
        <w:rPr>
          <w:sz w:val="21"/>
          <w:szCs w:val="21"/>
        </w:rPr>
        <w:t xml:space="preserve">This package was prepared internally and has not been reviewed by an attorney. No real payments, real payouts, or public launch should proceed until the questions in §3 have been answered in writing and the documents in §5 have been revised and approved by counsel.</w:t>
      </w:r>
    </w:p>
    <w:p>
      <w:pPr>
        <w:spacing w:after="60" w:before="400"/>
      </w:pPr>
      <w:r>
        <w:rPr>
          <w:sz w:val="21"/>
          <w:szCs w:val="21"/>
        </w:rPr>
        <w:t xml:space="preserve">Reviewing attorney (print name): _______________________________</w:t>
      </w:r>
    </w:p>
    <w:p>
      <w:pPr>
        <w:spacing w:after="60" w:before="200"/>
      </w:pPr>
      <w:r>
        <w:rPr>
          <w:sz w:val="21"/>
          <w:szCs w:val="21"/>
        </w:rPr>
        <w:t xml:space="preserve">Firm: _______________________________</w:t>
      </w:r>
    </w:p>
    <w:p>
      <w:pPr>
        <w:spacing w:after="60" w:before="200"/>
      </w:pPr>
      <w:r>
        <w:rPr>
          <w:sz w:val="21"/>
          <w:szCs w:val="21"/>
        </w:rPr>
        <w:t xml:space="preserve">Signature / Date: 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Confidential — Attorney Work Product Requested · 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5"/>
        <w:szCs w:val="15"/>
      </w:rPr>
      <w:t xml:space="preserve">Penny Pinching Trivia — Legal Clearance Intake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2026-07-22T02:29:46.713Z</dcterms:created>
  <dcterms:modified xsi:type="dcterms:W3CDTF">2026-07-22T02:29:46.713Z</dcterms:modified>
</cp:coreProperties>
</file>

<file path=docProps/custom.xml><?xml version="1.0" encoding="utf-8"?>
<Properties xmlns="http://schemas.openxmlformats.org/officeDocument/2006/custom-properties" xmlns:vt="http://schemas.openxmlformats.org/officeDocument/2006/docPropsVTypes"/>
</file>