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BD8E5D">
      <w:pPr>
        <w:spacing w:after="220" w:line="360" w:lineRule="auto"/>
        <w:jc w:val="center"/>
      </w:pPr>
      <w:r>
        <w:rPr>
          <w:rFonts w:ascii="Times New Roman" w:hAnsi="Times New Roman" w:eastAsia="宋体"/>
          <w:b/>
          <w:sz w:val="36"/>
          <w:szCs w:val="36"/>
        </w:rPr>
        <w:t>编译原理重点总结</w:t>
      </w:r>
    </w:p>
    <w:p w14:paraId="47CDC23C">
      <w:pPr>
        <w:spacing w:after="160" w:line="360" w:lineRule="auto"/>
      </w:pPr>
      <w:r>
        <w:rPr>
          <w:rFonts w:hint="eastAsia"/>
          <w:b/>
          <w:sz w:val="32"/>
          <w:szCs w:val="32"/>
          <w:lang w:val="en-US" w:eastAsia="zh-CN"/>
        </w:rPr>
        <w:t>绪论</w:t>
      </w:r>
      <w:r>
        <w:rPr>
          <w:rFonts w:ascii="Times New Roman" w:hAnsi="Times New Roman" w:eastAsia="宋体"/>
          <w:b/>
          <w:sz w:val="32"/>
          <w:szCs w:val="32"/>
        </w:rPr>
        <w:t xml:space="preserve"> 本章小结</w:t>
      </w:r>
    </w:p>
    <w:p w14:paraId="5AB68CD0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1. 语言与语言的翻译</w:t>
      </w:r>
    </w:p>
    <w:p w14:paraId="69F35DED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2. 编译器与解释器</w:t>
      </w:r>
    </w:p>
    <w:p w14:paraId="04793313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3. 编译器的基本组成（工作）</w:t>
      </w:r>
    </w:p>
    <w:p w14:paraId="2C9F4245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4. 编译器的分析/综合模式，编译器基础架构</w:t>
      </w:r>
    </w:p>
    <w:p w14:paraId="0396CD96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5. 扫描遍数</w:t>
      </w:r>
    </w:p>
    <w:p w14:paraId="40CD229B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6. 编译器的编写</w:t>
      </w:r>
    </w:p>
    <w:p w14:paraId="7F0D0CCA">
      <w:pPr>
        <w:spacing w:after="160" w:line="360" w:lineRule="auto"/>
      </w:pPr>
      <w:r>
        <w:rPr>
          <w:rFonts w:hint="eastAsia"/>
          <w:b/>
          <w:sz w:val="32"/>
          <w:szCs w:val="32"/>
          <w:lang w:val="en-US" w:eastAsia="zh-CN"/>
        </w:rPr>
        <w:t>词法分析</w:t>
      </w:r>
      <w:r>
        <w:rPr>
          <w:rFonts w:ascii="Times New Roman" w:hAnsi="Times New Roman" w:eastAsia="宋体"/>
          <w:b/>
          <w:sz w:val="32"/>
          <w:szCs w:val="32"/>
        </w:rPr>
        <w:t xml:space="preserve"> 本章小结</w:t>
      </w:r>
    </w:p>
    <w:p w14:paraId="3EC91830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词法分析的两个重要环节：规定所有合法输入 + 识别合法输入</w:t>
      </w:r>
    </w:p>
    <w:p w14:paraId="0A128A6E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重要内容：</w:t>
      </w:r>
    </w:p>
    <w:p w14:paraId="6975228E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&lt;1&gt; 记号、模式与单词</w:t>
      </w:r>
    </w:p>
    <w:p w14:paraId="3017EFEF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&lt;2&gt; 记号的说明：模式的形式化描述 - 正规式</w:t>
      </w:r>
    </w:p>
    <w:p w14:paraId="7420EA3A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&lt;3&gt; 记号的识别：有限自动机</w:t>
      </w:r>
    </w:p>
    <w:p w14:paraId="005A79D2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NFA：与正规式有对应关系，易于构造，状态数少；</w:t>
      </w:r>
    </w:p>
    <w:p w14:paraId="233D6223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DFA：确定性便于记号识别，不易构造，状态数可能多；</w:t>
      </w:r>
    </w:p>
    <w:p w14:paraId="26F28C1A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记号识别的方法：</w:t>
      </w:r>
    </w:p>
    <w:p w14:paraId="01621121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a. 模拟DFA；</w:t>
      </w:r>
    </w:p>
    <w:p w14:paraId="57ED12AF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b. 模拟NFA（特殊情况下）：需要动态计算状态子集。</w:t>
      </w:r>
    </w:p>
    <w:p w14:paraId="728946F7">
      <w:pPr>
        <w:spacing w:after="70" w:line="360" w:lineRule="auto"/>
      </w:pPr>
      <w:r>
        <w:rPr>
          <w:rFonts w:ascii="Times New Roman" w:hAnsi="Times New Roman" w:eastAsia="宋体"/>
          <w:sz w:val="24"/>
          <w:szCs w:val="24"/>
        </w:rPr>
        <w:t>&lt;4&gt; 从正规式到词法分析器（等价变换的过程）</w:t>
      </w:r>
    </w:p>
    <w:p w14:paraId="238C815E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正规式描述模式</w:t>
      </w:r>
    </w:p>
    <w:p w14:paraId="1A17BC52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由正规式构造NFA</w:t>
      </w:r>
    </w:p>
    <w:p w14:paraId="09C16DA2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NFA的确定化（子集法：smove，ε-闭包）</w:t>
      </w:r>
    </w:p>
    <w:p w14:paraId="02F75AC4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DFA的最小化（可区分概念）</w:t>
      </w:r>
    </w:p>
    <w:p w14:paraId="7CD650AC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词法分析器：表驱动（自动生成）与直接编码（手工编写）</w:t>
      </w:r>
    </w:p>
    <w:p w14:paraId="6971E1F5">
      <w:pPr>
        <w:spacing w:after="160" w:line="360" w:lineRule="auto"/>
      </w:pPr>
      <w:r>
        <w:rPr>
          <w:rFonts w:hint="eastAsia"/>
          <w:b/>
          <w:sz w:val="32"/>
          <w:szCs w:val="32"/>
          <w:lang w:val="en-US" w:eastAsia="zh-CN"/>
        </w:rPr>
        <w:t>语法分析</w:t>
      </w:r>
      <w:r>
        <w:rPr>
          <w:rFonts w:ascii="Times New Roman" w:hAnsi="Times New Roman" w:eastAsia="宋体"/>
          <w:b/>
          <w:sz w:val="32"/>
          <w:szCs w:val="32"/>
        </w:rPr>
        <w:t xml:space="preserve"> 本章小结</w:t>
      </w:r>
    </w:p>
    <w:p w14:paraId="05E5517F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程序设计语言与文法</w:t>
      </w:r>
    </w:p>
    <w:p w14:paraId="2524B49A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1. 正规式与正规文法</w:t>
      </w:r>
    </w:p>
    <w:p w14:paraId="486EFADE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2. 上下文无关文法 CFG = (N, T, P, S)</w:t>
      </w:r>
    </w:p>
    <w:p w14:paraId="377933AD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3. 文法分类：0型、1型、2型和3型</w:t>
      </w:r>
    </w:p>
    <w:p w14:paraId="20AD97FB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有关推导的基本概念</w:t>
      </w:r>
    </w:p>
    <w:p w14:paraId="2E9B8883">
      <w:pPr>
        <w:spacing w:after="55" w:line="360" w:lineRule="auto"/>
        <w:ind w:left="900" w:firstLine="0"/>
      </w:pPr>
      <w:bookmarkStart w:id="0" w:name="_GoBack"/>
      <w:bookmarkEnd w:id="0"/>
      <w:r>
        <w:rPr>
          <w:rFonts w:ascii="Times New Roman" w:hAnsi="Times New Roman" w:eastAsia="宋体"/>
          <w:sz w:val="23"/>
          <w:szCs w:val="23"/>
        </w:rPr>
        <w:t>1. 产生语言的基本方法 - 推导；句子与句型、直接推导与推导、最左推导与左句型</w:t>
      </w:r>
    </w:p>
    <w:p w14:paraId="33573555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2. 语法树与抽象语法树</w:t>
      </w:r>
    </w:p>
    <w:p w14:paraId="4A7A1123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语法树记录推导过程并反映语言结构</w:t>
      </w:r>
    </w:p>
    <w:p w14:paraId="404D7D84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抽象语法树仅反映语言结构而忽略推导过程，树中没有非终结符</w:t>
      </w:r>
    </w:p>
    <w:p w14:paraId="2C9857C9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自上而下分析</w:t>
      </w:r>
    </w:p>
    <w:p w14:paraId="29ACF498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1. 分析方法：用推导的方法从上到下构造语法树，谋求与输入序列的匹配，是一种试探的方法；</w:t>
      </w:r>
    </w:p>
    <w:p w14:paraId="1846162B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2. 对文法的要求：为避免回溯与无穷递归，要求文法没有公共左因子和左递归；</w:t>
      </w:r>
    </w:p>
    <w:p w14:paraId="132BA201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3. 递归下降子程序：每个非终结符是一个子程序</w:t>
      </w:r>
    </w:p>
    <w:p w14:paraId="29FA4991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4. 预测分析</w:t>
      </w:r>
    </w:p>
    <w:p w14:paraId="6254AEAD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✺ 下推自动机工作模式：格局与格局的变换</w:t>
      </w:r>
    </w:p>
    <w:p w14:paraId="617AAD0B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✺ 预测分析表：四个动作，分析表中的内容</w:t>
      </w:r>
    </w:p>
    <w:p w14:paraId="348C2734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✺ 预测分析表的构造：FIRST集合与FOLLOW集合</w:t>
      </w:r>
    </w:p>
    <w:p w14:paraId="621B4C7E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5. LL(1)文法及其判别方法</w:t>
      </w:r>
    </w:p>
    <w:p w14:paraId="59965DDE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自下而上分析</w:t>
      </w:r>
    </w:p>
    <w:p w14:paraId="6177FBD5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1. 分析方法：用归约的方法从叶子到根构造语法树，谋求对输入序列的匹配</w:t>
      </w:r>
    </w:p>
    <w:p w14:paraId="265D23E3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2. 基本概念：短语、直接短语、句柄、归约、规范归约、剪句柄</w:t>
      </w:r>
    </w:p>
    <w:p w14:paraId="11E034D8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3. 基本方法：用移进-归约方法实现剪句柄</w:t>
      </w:r>
    </w:p>
    <w:p w14:paraId="062257F7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① LR文法与LR分析：LR(0), SLR(1), LALR(1), LR(1)</w:t>
      </w:r>
    </w:p>
    <w:p w14:paraId="2EA7B384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② SLR(1)分析</w:t>
      </w:r>
    </w:p>
    <w:p w14:paraId="01B9A820">
      <w:pPr>
        <w:spacing w:after="55" w:line="360" w:lineRule="auto"/>
        <w:ind w:left="1620" w:firstLine="0"/>
      </w:pPr>
      <w:r>
        <w:rPr>
          <w:rFonts w:ascii="Times New Roman" w:hAnsi="Times New Roman" w:eastAsia="宋体"/>
          <w:sz w:val="23"/>
          <w:szCs w:val="23"/>
        </w:rPr>
        <w:t>✺ 格局与格局变换、改变格局的四个动作</w:t>
      </w:r>
    </w:p>
    <w:p w14:paraId="1A8AC5DF">
      <w:pPr>
        <w:spacing w:after="55" w:line="360" w:lineRule="auto"/>
        <w:ind w:left="1620" w:firstLine="0"/>
      </w:pPr>
      <w:r>
        <w:rPr>
          <w:rFonts w:ascii="Times New Roman" w:hAnsi="Times New Roman" w:eastAsia="宋体"/>
          <w:sz w:val="23"/>
          <w:szCs w:val="23"/>
        </w:rPr>
        <w:t>✺ 移进-归约分析表：动作表与转移表</w:t>
      </w:r>
    </w:p>
    <w:p w14:paraId="333F3AF1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③ SLR(1)分析器的构造</w:t>
      </w:r>
    </w:p>
    <w:p w14:paraId="35CFCA50">
      <w:pPr>
        <w:spacing w:after="55" w:line="360" w:lineRule="auto"/>
        <w:ind w:left="1620" w:firstLine="0"/>
      </w:pPr>
      <w:r>
        <w:rPr>
          <w:rFonts w:ascii="Times New Roman" w:hAnsi="Times New Roman" w:eastAsia="宋体"/>
          <w:sz w:val="23"/>
          <w:szCs w:val="23"/>
        </w:rPr>
        <w:t>✺ 识别活前缀的DFA：LR(0)项目、项目集、项目集族、子集法</w:t>
      </w:r>
    </w:p>
    <w:p w14:paraId="565B572F">
      <w:pPr>
        <w:spacing w:after="55" w:line="360" w:lineRule="auto"/>
        <w:ind w:left="1620" w:firstLine="0"/>
      </w:pPr>
      <w:r>
        <w:rPr>
          <w:rFonts w:ascii="Times New Roman" w:hAnsi="Times New Roman" w:eastAsia="宋体"/>
          <w:sz w:val="23"/>
          <w:szCs w:val="23"/>
        </w:rPr>
        <w:t>✺ 识别活前缀：有效项目、可移进项、可归约项、冲突</w:t>
      </w:r>
    </w:p>
    <w:p w14:paraId="70218BEB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④ SLR(1)文法：简单向前看一个终结符</w:t>
      </w:r>
    </w:p>
    <w:p w14:paraId="4FEE164F">
      <w:pPr>
        <w:spacing w:after="140" w:line="360" w:lineRule="auto"/>
      </w:pPr>
    </w:p>
    <w:p w14:paraId="41F492C4">
      <w:pPr>
        <w:spacing w:after="160" w:line="360" w:lineRule="auto"/>
      </w:pPr>
      <w:r>
        <w:rPr>
          <w:rFonts w:hint="eastAsia"/>
          <w:b/>
          <w:sz w:val="32"/>
          <w:szCs w:val="32"/>
          <w:lang w:val="en-US" w:eastAsia="zh-CN"/>
        </w:rPr>
        <w:t>语法制导翻译与中间代码生成</w:t>
      </w:r>
      <w:r>
        <w:rPr>
          <w:rFonts w:ascii="Times New Roman" w:hAnsi="Times New Roman" w:eastAsia="宋体"/>
          <w:b/>
          <w:sz w:val="32"/>
          <w:szCs w:val="32"/>
        </w:rPr>
        <w:t xml:space="preserve"> 本章小结</w:t>
      </w:r>
    </w:p>
    <w:p w14:paraId="7CA492E9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重点是程序设计语言的静态语义分析，并且在语法分析的基础上生成中间代码，采用的基本方法是语法制导翻译。</w:t>
      </w:r>
    </w:p>
    <w:p w14:paraId="217A25F4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语法制导翻译的基本概念</w:t>
      </w:r>
    </w:p>
    <w:p w14:paraId="2C87A7DE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语法与语义</w:t>
      </w:r>
    </w:p>
    <w:p w14:paraId="76AD591E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属性与语义规则</w:t>
      </w:r>
    </w:p>
    <w:p w14:paraId="29DF3AF2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语义规则的两种形式</w:t>
      </w:r>
    </w:p>
    <w:p w14:paraId="721BECD7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中间代码</w:t>
      </w:r>
    </w:p>
    <w:p w14:paraId="624A3D83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为什么生成中间代码</w:t>
      </w:r>
    </w:p>
    <w:p w14:paraId="117302BD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常用形式：树、后缀式、三地址码（三元式、四元式）</w:t>
      </w:r>
    </w:p>
    <w:p w14:paraId="1584357A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符号表的组织</w:t>
      </w:r>
    </w:p>
    <w:p w14:paraId="20EF704D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条目与信息存储（直接/间接）</w:t>
      </w:r>
    </w:p>
    <w:p w14:paraId="59378397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声明语句的翻译</w:t>
      </w:r>
    </w:p>
    <w:p w14:paraId="35238F34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定义与声明：类型定义与变量声明，过程定义与声明</w:t>
      </w:r>
    </w:p>
    <w:p w14:paraId="38A96338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变量声明：填写符号表</w:t>
      </w:r>
    </w:p>
    <w:p w14:paraId="557612E4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过程声明</w:t>
      </w:r>
    </w:p>
    <w:p w14:paraId="45A03883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左值与右值</w:t>
      </w:r>
    </w:p>
    <w:p w14:paraId="206ACC2D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值调用、引用调用、复写-恢复、换名调用</w:t>
      </w:r>
    </w:p>
    <w:p w14:paraId="41DAB07E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名字的作用域：静态作用域与最近嵌套原则</w:t>
      </w:r>
    </w:p>
    <w:p w14:paraId="4AA31DAB">
      <w:pPr>
        <w:spacing w:after="55" w:line="360" w:lineRule="auto"/>
        <w:ind w:left="1260" w:firstLine="0"/>
      </w:pPr>
      <w:r>
        <w:rPr>
          <w:rFonts w:ascii="Times New Roman" w:hAnsi="Times New Roman" w:eastAsia="宋体"/>
          <w:sz w:val="23"/>
          <w:szCs w:val="23"/>
        </w:rPr>
        <w:t>• 嵌套定义的过程中信息的存储</w:t>
      </w:r>
    </w:p>
    <w:p w14:paraId="59D4C455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可执行语句的翻译</w:t>
      </w:r>
    </w:p>
    <w:p w14:paraId="6FA29134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简单算术表达式和赋值句的翻译：类型转换</w:t>
      </w:r>
    </w:p>
    <w:p w14:paraId="1D8C5A1B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布尔表达式短路计算的翻译：为什么需要短路计算，短路计算的控制流，真出口与假出口，真出口链与假出口链</w:t>
      </w:r>
    </w:p>
    <w:p w14:paraId="63D7D18D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控制语句的翻译：控制语句的分类，无条件转移与条件转移，拉链/回填技术</w:t>
      </w:r>
    </w:p>
    <w:p w14:paraId="4E0E82E9">
      <w:pPr>
        <w:spacing w:after="70" w:line="360" w:lineRule="auto"/>
        <w:ind w:left="360" w:firstLine="0"/>
      </w:pPr>
      <w:r>
        <w:rPr>
          <w:rFonts w:ascii="Times New Roman" w:hAnsi="Times New Roman" w:eastAsia="宋体"/>
          <w:sz w:val="24"/>
          <w:szCs w:val="24"/>
        </w:rPr>
        <w:t>• 基本设计方法</w:t>
      </w:r>
    </w:p>
    <w:p w14:paraId="0FC53F83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声明性语句：需要保存什么信息，设计什么样的数据结构存放这些信息</w:t>
      </w:r>
    </w:p>
    <w:p w14:paraId="2CE483E3">
      <w:pPr>
        <w:spacing w:after="55" w:line="360" w:lineRule="auto"/>
        <w:ind w:left="900" w:firstLine="0"/>
      </w:pPr>
      <w:r>
        <w:rPr>
          <w:rFonts w:ascii="Times New Roman" w:hAnsi="Times New Roman" w:eastAsia="宋体"/>
          <w:sz w:val="23"/>
          <w:szCs w:val="23"/>
        </w:rPr>
        <w:t>• 可执行语句：生成什么样的中间代码序列，如何设计语法制导定义，如何设计翻译方案</w:t>
      </w:r>
    </w:p>
    <w:sectPr>
      <w:pgSz w:w="11906" w:h="16838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43715C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1354</Words>
  <Characters>1485</Characters>
  <TotalTime>2</TotalTime>
  <ScaleCrop>false</ScaleCrop>
  <LinksUpToDate>false</LinksUpToDate>
  <CharactersWithSpaces>1580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2026-06-06T13:54:32Z</dcterms:created>
  <dc:creator>LENOVO</dc:creator>
  <cp:lastModifiedBy>李锦添</cp:lastModifiedBy>
  <dcterms:modified xsi:type="dcterms:W3CDTF">2026-06-06T13:57:05Z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eyJoZGlkIjoiZWFlY2U1MGI4Zjk4NmUyMTg0MDc2ZDdjMTJkNDg4ZjYiLCJ1c2VySWQiOiIxNjU2NTc3NTcxIn0=</vt:lpwstr>
  </property>
  <property fmtid="{D5CDD505-2E9C-101B-9397-08002B2CF9AE}" pid="3" name="KSOProductBuildVer">
    <vt:lpwstr>2052-12.1.0.26884</vt:lpwstr>
  </property>
  <property fmtid="{D5CDD505-2E9C-101B-9397-08002B2CF9AE}" pid="4" name="ICV">
    <vt:lpwstr>3757B9B0C5E04CB388823D5DB07B7914_12</vt:lpwstr>
  </property>
</Properties>
</file>