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atLeast"/>
        <w:ind w:right="142"/>
        <w:rPr>
          <w:rFonts w:hint="eastAsia" w:ascii="仿宋_GB2312" w:hAnsi="Times New Roman" w:eastAsia="仿宋_GB2312" w:cs="Times New Roman"/>
          <w:sz w:val="28"/>
          <w:szCs w:val="28"/>
        </w:rPr>
      </w:pPr>
      <w:r>
        <w:rPr>
          <w:rFonts w:hint="eastAsia" w:ascii="仿宋_GB2312" w:hAnsi="Times New Roman" w:eastAsia="仿宋_GB2312" w:cs="Times New Roman"/>
          <w:sz w:val="28"/>
          <w:szCs w:val="28"/>
        </w:rPr>
        <w:t>附件2</w:t>
      </w:r>
    </w:p>
    <w:p>
      <w:pPr>
        <w:spacing w:line="0" w:lineRule="atLeast"/>
        <w:jc w:val="center"/>
        <w:rPr>
          <w:rFonts w:ascii="Times New Roman" w:hAnsi="Times New Roman" w:cs="Times New Roman"/>
          <w:b/>
          <w:sz w:val="32"/>
        </w:rPr>
      </w:pPr>
      <w:bookmarkStart w:id="0" w:name="page5"/>
      <w:bookmarkEnd w:id="0"/>
      <w:r>
        <w:rPr>
          <w:rFonts w:ascii="Times New Roman" w:hAnsi="Times New Roman" w:cs="Times New Roman"/>
          <w:b/>
          <w:sz w:val="32"/>
        </w:rPr>
        <w:t>网络与信息安全学院综合素质能力附加分清单</w:t>
      </w:r>
    </w:p>
    <w:p>
      <w:pPr>
        <w:spacing w:line="176" w:lineRule="exact"/>
        <w:rPr>
          <w:rFonts w:ascii="Times New Roman" w:hAnsi="Times New Roman" w:eastAsia="Times New Roman" w:cs="Times New Roman"/>
        </w:rPr>
      </w:pPr>
    </w:p>
    <w:tbl>
      <w:tblPr>
        <w:tblStyle w:val="2"/>
        <w:tblW w:w="0" w:type="auto"/>
        <w:tblInd w:w="14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2920"/>
        <w:gridCol w:w="920"/>
        <w:gridCol w:w="1560"/>
        <w:gridCol w:w="21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980" w:type="dxa"/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880"/>
              <w:rPr>
                <w:rFonts w:ascii="Times New Roman" w:hAnsi="Times New Roman" w:cs="Times New Roman"/>
                <w:b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</w:rPr>
              <w:t>姓名：</w:t>
            </w:r>
          </w:p>
        </w:tc>
        <w:tc>
          <w:tcPr>
            <w:tcW w:w="920" w:type="dxa"/>
            <w:noWrap w:val="0"/>
            <w:vAlign w:val="bottom"/>
          </w:tcPr>
          <w:p>
            <w:pPr>
              <w:spacing w:line="239" w:lineRule="exact"/>
              <w:ind w:left="80"/>
              <w:rPr>
                <w:rFonts w:ascii="Times New Roman" w:hAnsi="Times New Roman" w:cs="Times New Roman"/>
                <w:b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</w:rPr>
              <w:t>学号：</w:t>
            </w:r>
          </w:p>
        </w:tc>
        <w:tc>
          <w:tcPr>
            <w:tcW w:w="3720" w:type="dxa"/>
            <w:gridSpan w:val="2"/>
            <w:noWrap w:val="0"/>
            <w:vAlign w:val="bottom"/>
          </w:tcPr>
          <w:p>
            <w:pPr>
              <w:spacing w:line="239" w:lineRule="exact"/>
              <w:ind w:left="1360"/>
              <w:rPr>
                <w:rFonts w:ascii="Times New Roman" w:hAnsi="Times New Roman" w:cs="Times New Roman"/>
                <w:b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</w:rPr>
              <w:t>专业：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2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类别</w:t>
            </w: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               明细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jc w:val="center"/>
              <w:rPr>
                <w:rFonts w:ascii="Times New Roman" w:hAnsi="Times New Roman" w:cs="Times New Roman"/>
                <w:w w:val="99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附加分（打钩）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8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证书名称及获奖日期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国家级学生标兵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国家级优秀学生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优秀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省部级学生标兵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学生类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省部级优秀学生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国家奖学金学生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校级学生标兵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校级优秀学生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0.25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国家级优秀学生干部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优秀学生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省级优秀学生干部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干部类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校级优秀学生干部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院级优秀学生干部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0.25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优秀</w:t>
            </w: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校级优秀党员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党员类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校级优秀党支部书记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50" w:lineRule="exact"/>
              <w:ind w:left="100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学科竞赛国家级一等奖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(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含国际一等奖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hint="eastAsia" w:ascii="Times New Roman" w:hAnsi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52" w:lineRule="exact"/>
              <w:ind w:left="100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学科竞赛国家级二等奖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(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含国际二等奖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1.5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学科竞赛国家级三等奖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学科竞赛省部级一等奖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hint="eastAsia" w:ascii="Times New Roman" w:hAnsi="Times New Roman" w:eastAsia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color w:val="FF0000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学科竞赛省部级二等奖（包括参加大学</w:t>
            </w:r>
          </w:p>
        </w:tc>
        <w:tc>
          <w:tcPr>
            <w:tcW w:w="1560" w:type="dxa"/>
            <w:vMerge w:val="restart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hint="eastAsia" w:ascii="Times New Roman" w:hAnsi="Times New Roman" w:eastAsia="Times New Roman" w:cs="Times New Roman"/>
                <w:color w:val="FF0000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2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竞赛类</w:t>
            </w:r>
          </w:p>
        </w:tc>
        <w:tc>
          <w:tcPr>
            <w:tcW w:w="2920" w:type="dxa"/>
            <w:vMerge w:val="restart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生创新性实验计划通过）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13"/>
              </w:rPr>
            </w:pPr>
          </w:p>
        </w:tc>
        <w:tc>
          <w:tcPr>
            <w:tcW w:w="3720" w:type="dxa"/>
            <w:vMerge w:val="continue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eastAsia="Arial" w:cs="Times New Roman"/>
                <w:kern w:val="2"/>
                <w:sz w:val="21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13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vMerge w:val="continue"/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13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13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13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单科竞赛国家级一等奖以上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单科竞赛省部级一等奖以上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rPr>
                <w:rFonts w:ascii="Times New Roman" w:hAnsi="Times New Roman" w:cs="Times New Roman"/>
                <w:w w:val="97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代表我校参加全国体育、文艺比赛获奖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省级前三名加 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分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项；国家级前三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1/0.5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名加 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分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76" w:lineRule="auto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在读期间以第一作者身份在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“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西安电子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76" w:lineRule="auto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科技大学博士研究生学术期刊目录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”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cs="Times New Roman"/>
                <w:w w:val="97"/>
                <w:kern w:val="2"/>
                <w:sz w:val="21"/>
              </w:rPr>
            </w:pPr>
            <w:r>
              <w:rPr>
                <w:rFonts w:ascii="Times New Roman" w:hAnsi="Times New Roman" w:eastAsia="微软雅黑" w:cs="Times New Roman"/>
                <w:kern w:val="2"/>
                <w:sz w:val="21"/>
              </w:rPr>
              <w:t>（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kern w:val="2"/>
                <w:sz w:val="21"/>
              </w:rPr>
              <w:t>）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篇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276" w:lineRule="auto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列刊物上发表</w:t>
            </w:r>
            <w:r>
              <w:rPr>
                <w:rFonts w:hint="eastAsia" w:ascii="Times New Roman" w:hAnsi="Times New Roman" w:cs="Times New Roman"/>
                <w:kern w:val="2"/>
                <w:sz w:val="21"/>
              </w:rPr>
              <w:t>（含录用）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论文加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5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分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篇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在读期间获国家发明专利授权：仅取排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科研</w:t>
            </w: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53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名前三者，依次加4分/件、3 分/件、2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eastAsia="Arial" w:cs="Times New Roman"/>
                <w:kern w:val="2"/>
                <w:sz w:val="21"/>
              </w:rPr>
            </w:pPr>
            <w:r>
              <w:rPr>
                <w:rFonts w:ascii="Times New Roman" w:hAnsi="Times New Roman" w:eastAsia="Arial" w:cs="Times New Roman"/>
                <w:kern w:val="2"/>
                <w:sz w:val="21"/>
              </w:rPr>
              <w:t>4 / 3 / 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能力</w:t>
            </w:r>
          </w:p>
        </w:tc>
        <w:tc>
          <w:tcPr>
            <w:tcW w:w="2920" w:type="dxa"/>
            <w:noWrap w:val="0"/>
            <w:vAlign w:val="bottom"/>
          </w:tcPr>
          <w:p>
            <w:pPr>
              <w:spacing w:line="253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分/件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vMerge w:val="restart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39" w:lineRule="exact"/>
              <w:ind w:left="100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突出类</w:t>
            </w: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vMerge w:val="continue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center"/>
          </w:tcPr>
          <w:p>
            <w:pPr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在读期间申请国家发明专利：排名前三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cs="Times New Roman"/>
                <w:kern w:val="2"/>
                <w:sz w:val="21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253" w:lineRule="exac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者，加 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0.5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分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件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（ ）件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在读期间以第一作者在电子通信类中文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240" w:lineRule="exact"/>
              <w:jc w:val="center"/>
              <w:rPr>
                <w:rFonts w:ascii="Times New Roman" w:hAnsi="Times New Roman" w:cs="Times New Roman"/>
                <w:w w:val="97"/>
                <w:kern w:val="2"/>
                <w:sz w:val="21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核心期刊上发表（含录用）学术性论文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  <w:r>
              <w:rPr>
                <w:rFonts w:ascii="Times New Roman" w:hAnsi="Times New Roman" w:eastAsia="微软雅黑" w:cs="Times New Roman"/>
                <w:kern w:val="2"/>
                <w:sz w:val="21"/>
              </w:rPr>
              <w:t>（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kern w:val="2"/>
                <w:sz w:val="21"/>
              </w:rPr>
              <w:t>）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篇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920" w:type="dxa"/>
            <w:noWrap w:val="0"/>
            <w:vAlign w:val="bottom"/>
          </w:tcPr>
          <w:p>
            <w:pPr>
              <w:spacing w:line="0" w:lineRule="atLeast"/>
              <w:ind w:left="100"/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加 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 xml:space="preserve"> 分</w:t>
            </w:r>
            <w:r>
              <w:rPr>
                <w:rFonts w:ascii="Times New Roman" w:hAnsi="Times New Roman" w:eastAsia="Arial" w:cs="Times New Roman"/>
                <w:kern w:val="2"/>
                <w:sz w:val="21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1"/>
              </w:rPr>
              <w:t>篇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9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 w:cs="Times New Roman"/>
                <w:kern w:val="2"/>
                <w:sz w:val="4"/>
              </w:rPr>
            </w:pPr>
          </w:p>
        </w:tc>
      </w:tr>
    </w:tbl>
    <w:p>
      <w:pPr>
        <w:spacing w:line="21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-1612265</wp:posOffset>
                </wp:positionV>
                <wp:extent cx="12700" cy="12065"/>
                <wp:effectExtent l="4445" t="4445" r="20955" b="1206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9pt;margin-top:-126.95pt;height:0.95pt;width:1pt;z-index:-251658240;mso-width-relative:page;mso-height-relative:page;" fillcolor="#000000" filled="t" coordsize="21600,21600" o:allowincell="f" o:gfxdata="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qXYl/WAAAACwEAAA8AAAAAAAAA&#10;AQAgAAAAIgAAAGRycy9kb3ducmV2LnhtbFBLAQIUABQAAAAIAIdO4kC0I9xO2gEAAM0DAAAOAAAA&#10;AAAAAAEAIAAAACUBAABkcnMvZTJvRG9jLnhtbFBLBQYAAAAABgAGAFkBAABxBQAAAAA=&#10;">
                <v:path/>
                <v:fill on="t" focussize="0,0"/>
                <v:stroke color="#FFFFFF"/>
                <v:imagedata o:title=""/>
                <o:lock v:ext="edit"/>
              </v:rect>
            </w:pict>
          </mc:Fallback>
        </mc:AlternateContent>
      </w:r>
      <w:bookmarkStart w:id="1" w:name="_GoBack"/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-1612265</wp:posOffset>
                </wp:positionV>
                <wp:extent cx="12065" cy="12065"/>
                <wp:effectExtent l="4445" t="4445" r="21590" b="1206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3.15pt;margin-top:-126.95pt;height:0.95pt;width:0.95pt;z-index:-251657216;mso-width-relative:page;mso-height-relative:page;" fillcolor="#000000" filled="t" coordsize="21600,21600" o:allowincell="f" o:gfxdata="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+D2xPtkAAAANAQAADwAA&#10;AAAAAAABACAAAAAiAAAAZHJzL2Rvd25yZXYueG1sUEsBAhQAFAAAAAgAh07iQPcf/s3cAQAAzQMA&#10;AA4AAAAAAAAAAQAgAAAAKAEAAGRycy9lMm9Eb2MueG1sUEsFBgAAAAAGAAYAWQEAAHYFAAAAAA==&#10;">
                <v:path/>
                <v:fill on="t" focussize="0,0"/>
                <v:stroke color="#FFFFFF"/>
                <v:imagedata o:title=""/>
                <o:lock v:ext="edit"/>
              </v:rect>
            </w:pict>
          </mc:Fallback>
        </mc:AlternateContent>
      </w:r>
      <w:bookmarkEnd w:id="1"/>
    </w:p>
    <w:p>
      <w:pPr>
        <w:spacing w:line="0" w:lineRule="atLeast"/>
        <w:ind w:left="3620"/>
        <w:rPr>
          <w:rFonts w:hint="eastAsia" w:ascii="Times New Roman" w:hAnsi="Times New Roman" w:cs="Times New Roman"/>
          <w:b/>
          <w:sz w:val="21"/>
        </w:rPr>
      </w:pPr>
    </w:p>
    <w:p>
      <w:pPr>
        <w:spacing w:line="0" w:lineRule="atLeast"/>
        <w:ind w:left="3620"/>
        <w:rPr>
          <w:rFonts w:hint="eastAsia" w:ascii="Times New Roman" w:hAnsi="Times New Roman" w:cs="Times New Roman"/>
          <w:b/>
          <w:sz w:val="21"/>
        </w:rPr>
      </w:pPr>
      <w:r>
        <w:rPr>
          <w:rFonts w:ascii="Times New Roman" w:hAnsi="Times New Roman" w:cs="Times New Roman"/>
          <w:b/>
          <w:sz w:val="21"/>
        </w:rPr>
        <w:t>附加分合计：</w:t>
      </w:r>
      <w:r>
        <w:rPr>
          <w:rFonts w:hint="eastAsia" w:ascii="Times New Roman" w:hAnsi="Times New Roman" w:cs="Times New Roman"/>
          <w:b/>
          <w:sz w:val="21"/>
        </w:rPr>
        <w:t xml:space="preserve">    </w:t>
      </w:r>
      <w:r>
        <w:rPr>
          <w:rFonts w:ascii="Times New Roman" w:hAnsi="Times New Roman" w:cs="Times New Roman"/>
          <w:b/>
          <w:sz w:val="21"/>
        </w:rPr>
        <w:t xml:space="preserve">  分</w:t>
      </w:r>
    </w:p>
    <w:p>
      <w:pPr>
        <w:spacing w:line="360" w:lineRule="auto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备注：</w:t>
      </w:r>
    </w:p>
    <w:p>
      <w:pPr>
        <w:numPr>
          <w:ilvl w:val="0"/>
          <w:numId w:val="1"/>
        </w:numPr>
        <w:spacing w:line="360" w:lineRule="auto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将此表置于首页和证书复印件装订上交给辅导员老师，不提供或逾期者视为放弃附加分。</w:t>
      </w:r>
    </w:p>
    <w:p>
      <w:pPr>
        <w:numPr>
          <w:ilvl w:val="0"/>
          <w:numId w:val="1"/>
        </w:numPr>
        <w:spacing w:line="360" w:lineRule="auto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优秀学生类、优秀学生干部类附加分不累加，取前三年单次获得的最高称号得分。</w:t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校级优秀团员等称号获得者等同于校级优秀学生。</w:t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同类竞赛取单次最高成绩。</w:t>
      </w:r>
    </w:p>
    <w:p>
      <w:pPr>
        <w:numPr>
          <w:ilvl w:val="0"/>
          <w:numId w:val="1"/>
        </w:numPr>
        <w:spacing w:line="360" w:lineRule="auto"/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学科竞赛以《西安电子科技大学本科生竞赛成绩优胜者表彰奖励办法（修订)》（西电教〔2019〕53号）文件中所列的竞赛为准。</w:t>
      </w:r>
    </w:p>
    <w:p>
      <w:pPr>
        <w:numPr>
          <w:ilvl w:val="0"/>
          <w:numId w:val="1"/>
        </w:numPr>
        <w:spacing w:line="360" w:lineRule="auto"/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综合面试时间和内容、形式另行通知。</w:t>
      </w:r>
    </w:p>
    <w:p>
      <w:pPr>
        <w:spacing w:line="360" w:lineRule="auto"/>
        <w:rPr>
          <w:rFonts w:hint="eastAsia" w:ascii="Times New Roman" w:hAnsi="Times New Roman" w:cs="Times New Roman"/>
          <w:sz w:val="21"/>
          <w:szCs w:val="21"/>
        </w:rPr>
      </w:pPr>
    </w:p>
    <w:p/>
    <w:sectPr>
      <w:pgSz w:w="11900" w:h="16838"/>
      <w:pgMar w:top="1440" w:right="1260" w:bottom="1440" w:left="182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3B7915"/>
    <w:multiLevelType w:val="multilevel"/>
    <w:tmpl w:val="7A3B791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60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Arial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安</cp:lastModifiedBy>
  <dcterms:modified xsi:type="dcterms:W3CDTF">2020-03-05T08:41:55Z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