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二分量化定价法</w:t>
      </w:r>
    </w:p>
    <w:p>
      <w:pPr>
        <w:spacing w:after="360"/>
        <w:jc w:val="center"/>
      </w:pPr>
      <w:r>
        <w:rPr>
          <w:rFonts w:ascii="楷体" w:hAnsi="楷体" w:eastAsia="楷体"/>
          <w:color w:val="555555"/>
          <w:sz w:val="24"/>
        </w:rPr>
        <w:t>标准文档（通用版 · 软件项目实操示例）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一、二分量化定价法 核心概念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1. 方法全称与简称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方法全称：二分量化定价法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对外简称：量化定价法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2. 核心底层逻辑</w:t>
      </w:r>
    </w:p>
    <w:p>
      <w:pPr>
        <w:spacing w:before="120" w:after="120"/>
        <w:jc w:val="center"/>
      </w:pPr>
      <w:r>
        <w:rPr>
          <w:rFonts w:ascii="楷体" w:hAnsi="楷体" w:eastAsia="楷体"/>
          <w:b/>
          <w:color w:val="8B0000"/>
          <w:sz w:val="24"/>
        </w:rPr>
        <w:t>总报价 ＝ 百分百量化的客观生产成本 ＋ 坦诚公示的主观经营期望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本体系严格执行「二分隔离原则」，两大板块完全独立、不打包、不嵌套、不隐藏：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第一部分 · 客观生产成本：据实、可核验、无利润、无溢价。项目交付必需的全部刚性投入，涵盖人力类成本与物料/外部采购类成本，全部依据公开市场基准或真实采购价量化。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第二部分 · 主观经营期望：坦诚、单列、可协商。包含企业合理经营利润与项目运营风险补偿，单独公示、透明可谈，不掺杂在人力单价或物料单价中，彻底杜绝报价黑箱与垄断溢价。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3. 体系价值主张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量化成本不虚报，明示期望不套路。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所有定价参数、人力基准价、物料采购价均有依据，客户与合伙人均可自主核验，直观判断报价公允性；支持纯人力、纯物料、人力＋物料混合项目，从机制上杜绝暴利、垄断与暗箱报价。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4. 适用范围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方法为通用项目定价框架，不限于软件行业。适用于全行业交付型项目：定制技术开发、工程施工、设备集成、外包服务、系统运维等。本文档底部仅选取软件定制项目作为实操演示，方法本身可迁移至任意行业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适配单客户独立项目、多方联合共建分摊成本等业务模式。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5. 核心数据依据来源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实操案例（软件示例）参考以下公开数据源，其他行业使用时可替换为本行业公开市场基准、原材料报价或行业造价定额：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《2025年中国软件行业基准数据（CSBMK®-202510）》，北京软件造价评估技术创新联盟发布（工信部、电子标准研究院指导）。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人社部全国IT岗位薪酬市场裸价均值（公共招聘市场大数据统计，不含企业利润溢价）。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物料类：云服务器、软件授权、硬件采购取厂商公开挂牌裸价或渠道采购成交价。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二、项目全量成本项通用定义（人力＋物料）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1. 客观生产成本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【人力生产成本】（可按不同行业替换岗位）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需求对接岗：需求调研、业务访谈、输出需求/技术规格说明书、边界确认、多方对齐。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方案/设计岗：方案设计、图纸或原型、详细拆解、方案评审、变更管控。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实施/开发岗：现场实施、制作、编码、单元测试、模块落地调试。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交付运维岗：部署、上线调试、交付期故障排查、现场保障。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办公均摊成本：项目配套场地、设备、网络、工具、行政运维等日均固定均摊，按项目工期据实核算。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【物料/外部采购生产成本】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硬件设备、原材料、零配件。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云资源、服务器、数据库、存储租赁。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第三方商业组件、SDK、版权授权。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API接口、平台服务、各类订阅服务。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外部分包劳务或外包服务。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物料成本规则：按实际采购裸价计入，不额外加价；如需我方代为采购管理，管理成本计入人力岗位工作量，不在物料单价上浮。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2. 经营期望分项（主观、坦诚、可协商）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基础经营利润：企业组织管理、项目统筹、技术或工艺沉淀的合理回报。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运营风险补偿：对冲需求变更、工期波动、人工价格波动、物料涨价、市场环境变化等风险。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三、基准单价表（软件实操示例用，带来源）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说明：以下为本文档软件实操案例配套基准价，更换行业时岗位、基准价格与数据源同步替换。人力价格为市场裸成本原价（无利润、无溢价），物料为公开采购裸价。人力项支持项目单独协商折扣，物料一般按实际采购裸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成本岗位/类目</w:t>
            </w:r>
          </w:p>
        </w:tc>
        <w:tc>
          <w:tcPr>
            <w:tcW w:type="dxa" w:w="215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核心工作/资源描述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市场基准原价</w:t>
            </w:r>
          </w:p>
        </w:tc>
        <w:tc>
          <w:tcPr>
            <w:tcW w:type="dxa" w:w="198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数据参考来源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项目协商折扣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项目实际结算单价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需求对接岗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需求调研、业务梳理、输出需求规格说明书、双边需求对齐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420 元/人天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CSBMK2025软件造价基准＋人社部IT岗位薪酬均值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产品设计岗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原型设计、概要/详细设计、需求拆解、方案评审、变更管控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520 元/人天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CSBMK2025软件造价基准＋人社部IT岗位薪酬均值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高级开发岗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核心编码、模块开发、单元测试、联调优化、功能落地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680 元/人天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CSBMK2025软件造价基准＋人社部高端开发岗位市场价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交付运维岗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环境配置、服务器部署、上线调试、交付期运维保障、故障排查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380 元/人天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CSBMK2025软件运维造价基准＋人社部运维岗位薪酬均值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办公均摊成本（日均）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项目配套场地、设备、网络、工具、行政运维固定均摊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80 元/人天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软件行业中小企业项目运营成本公开均值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100%（刚性成本，无折扣）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80 元/人天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物料：云服务器＋数据库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项目周期内云主机、数据库、存储资源租赁裸成本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12000 元/项目周期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云厂商官网公开标价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一般100%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实际采购裸价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物料：第三方组件授权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商用开发组件、SDK版权授权，项目周期内费用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3000 元/项目周期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软件厂商公开报价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按渠道采购价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实际采购裸价</w:t>
            </w:r>
          </w:p>
        </w:tc>
      </w:tr>
    </w:tbl>
    <w:p>
      <w:pPr>
        <w:spacing w:after="40"/>
      </w:pP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四、软件生产实操案例（同行业双客户基线共建）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1. 项目背景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甲乙两家同行业不同机构，需同款业务软件，需求重合度90%，差异化需求10%。采用二分量化定价法，共建90%共性需求基线，仅10%需求差异化定制，分摊固定设计成本；项目包含人力开发成本＋云服务器、第三方组件物料采购成本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本案例仅用于演示二分量化定价法的计算流程，该定价模型可迁移至工程、设备、服务类项目。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2. 项目预估工作量与物料清单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共建基线总人力人天：143天（含需求、产品、开发、运维）。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新增协同沟通人天：15天（已纳入对应岗位工作量）。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物料：云资源整套周期裸价12000元；第三方组件授权裸价3000元。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3. 完整量化测算表（二分结构）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板块一：客观生产成本核算（无利润、无溢价）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子板块A · 人力生产成本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41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成本类目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基准单价(元/天)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协商折扣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结算单价(元/天)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预估人天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分项成本(元)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需求对接岗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420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378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11,340</w:t>
            </w:r>
          </w:p>
        </w:tc>
      </w:tr>
      <w:tr>
        <w:tc>
          <w:tcPr>
            <w:tcW w:type="dxa" w:w="141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产品设计岗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520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0.9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468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25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11,700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高级开发岗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680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612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70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42,840</w:t>
            </w:r>
          </w:p>
        </w:tc>
      </w:tr>
      <w:tr>
        <w:tc>
          <w:tcPr>
            <w:tcW w:type="dxa" w:w="141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交付运维岗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380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0.9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342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18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6,156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办公均摊成本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1.0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143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11,440</w:t>
            </w:r>
          </w:p>
        </w:tc>
      </w:tr>
      <w:tr>
        <w:tc>
          <w:tcPr>
            <w:tcW w:type="dxa" w:w="141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人力生产成本小计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83,476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子板块B · 物料/外购生产成本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58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物料类目</w:t>
            </w:r>
          </w:p>
        </w:tc>
        <w:tc>
          <w:tcPr>
            <w:tcW w:type="dxa" w:w="198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资源描述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裸采购总价(元)</w:t>
            </w:r>
          </w:p>
        </w:tc>
        <w:tc>
          <w:tcPr>
            <w:tcW w:type="dxa" w:w="158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分项成本(元)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云服务器＋数据库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项目全周期云资源租赁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12,000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云厂商官网标价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12,000</w:t>
            </w:r>
          </w:p>
        </w:tc>
      </w:tr>
      <w:tr>
        <w:tc>
          <w:tcPr>
            <w:tcW w:type="dxa" w:w="158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第三方组件授权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商用SDK组件授权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3,000</w:t>
            </w:r>
          </w:p>
        </w:tc>
        <w:tc>
          <w:tcPr>
            <w:tcW w:type="dxa" w:w="158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组件厂商报价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3,000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物料生产成本小计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15,000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项目客观生产成本合计 ＝ 人力小计 83,476 ＋ 物料小计 15,000 ＝ 98,476 元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板块二：主观经营期望核算（坦诚单列、可协商）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示例取值：基础经营利润率12%，运营风险补偿系数6%。计算基数为全部客观生产成本合计（人力＋物料），不同行业项目可自行调整系数。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期望类目</w:t>
            </w:r>
          </w:p>
        </w:tc>
        <w:tc>
          <w:tcPr>
            <w:tcW w:type="dxa" w:w="215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计算基数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系数</w:t>
            </w:r>
          </w:p>
        </w:tc>
        <w:tc>
          <w:tcPr>
            <w:tcW w:type="dxa" w:w="158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分项金额(元)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基础经营利润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生产成本合计 98,476 元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12%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11,817.12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运营风险补偿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生产成本合计 98,476 元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6%</w:t>
            </w:r>
          </w:p>
        </w:tc>
        <w:tc>
          <w:tcPr>
            <w:tcW w:type="dxa" w:w="158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5,908.56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经营期望合计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17,725.68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板块三：项目总报价核算</w:t>
      </w:r>
    </w:p>
    <w:p>
      <w:pPr>
        <w:spacing w:before="120" w:after="120"/>
        <w:jc w:val="center"/>
      </w:pPr>
      <w:r>
        <w:rPr>
          <w:rFonts w:ascii="楷体" w:hAnsi="楷体" w:eastAsia="楷体"/>
          <w:b/>
          <w:color w:val="8B0000"/>
          <w:sz w:val="24"/>
        </w:rPr>
        <w:t>项目总报价 ＝ 98,476 ＋ 17,725.68 ＝ 116,201.68 元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双客户均分后，单客户报价：58,100.84 元。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五、配套履约收款计划（与定价体系绑定）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所有回款节点绑定对应交付成果，物料采购节点单独约定，物料到货或开通随阶段确认。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启动款30%：合同签署生效，团队进场启动调研；如需提前采购物料，物料预付款单独列明。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需求定稿款20%：需求/技术规格文档双方签字冻结，项目范围确认完成。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设计定稿款20%：方案、图纸或原型、详细设计评审通过，需求范围锁定。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验收尾款25%：项目成果交付上线、整体验收通过，物料与授权交付到位。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质保结清款5%：试运行周期结束，交付工作全部完成，无遗留问题。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补充调价约定：物料、人工市场价格波动超过双方约定阈值，可重新更新生产成本表，经营期望按新基数重新核算。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六、体系落地总结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二分量化定价法为通用项目定价框架，不限于软件行业，本文档仅采用软件定制项目作为实操演示。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生产成本统一覆盖人力成本、办公均摊成本、物料与外部采购成本，全部依托公开基准或真实采购价据实量化；经营利润、风险补偿坦诚单列、公开可协商。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彻底摒弃传统打包报价、隐形溢价、垄断定价模式，做到成本有据、定价透明、期望坦诚、履约可控，充分保障客户与合伙人的公平权益。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