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40"/>
        </w:rPr>
        <w:t>分类量化定价法</w:t>
      </w:r>
    </w:p>
    <w:p>
      <w:pPr>
        <w:spacing w:after="360"/>
        <w:jc w:val="center"/>
      </w:pPr>
      <w:r>
        <w:rPr>
          <w:rFonts w:ascii="楷体" w:hAnsi="楷体" w:eastAsia="楷体"/>
          <w:color w:val="555555"/>
          <w:sz w:val="24"/>
        </w:rPr>
        <w:t>标准文档（通用版 · 软件项目实操示例）</w:t>
      </w: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一、分类量化定价法 核心概念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1. 方法全称与简称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方法全称：分类量化定价法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对外简称：量化定价法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2. 核心底层逻辑</w:t>
      </w:r>
    </w:p>
    <w:p>
      <w:pPr>
        <w:spacing w:before="120" w:after="120"/>
        <w:jc w:val="center"/>
      </w:pPr>
      <w:r>
        <w:rPr>
          <w:rFonts w:ascii="楷体" w:hAnsi="楷体" w:eastAsia="楷体"/>
          <w:b/>
          <w:color w:val="8B0000"/>
          <w:sz w:val="24"/>
        </w:rPr>
        <w:t>总报价 ＝ Σ（各分类量化金额）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本体系严格执行「分类隔离原则」：将总报价拆解为多个独立分类，每个分类据实量化、独立列示，分类之间不打包、不嵌套、不隐藏。分类数量不固定，按项目实际需要设置，常见分类包括但不限于：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分类一 · 客观生产成本：据实、可核验、无利润、无溢价。项目交付必需的全部刚性投入，涵盖人力类成本与物料/外部采购类成本，全部依据公开市场基准或真实采购价量化。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分类二 · 基础经营利润：坦诚、单列、可协商。企业组织管理、项目统筹、技术沉淀的合理回报，不掺杂在人力单价或物料单价中。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分类三 · 运营风险补偿：坦诚、单列、可协商。对冲需求变更、工期波动、人工与物料价格波动、市场环境变化等风险，可约定触发条件，未发生风险可部分返还。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以上三类为本次软件实操案例所采用的分类；其他行业项目可根据实际情况增减分类（如税费、质保金、知识产权授权费等），每新增一个分类均须独立量化、单独列示。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3. 体系价值主张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2"/>
        </w:rPr>
        <w:t>量化成本不虚报，分类明价不套路。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所有定价参数、人力基准价、物料采购价、利润率、风险系数均有依据，客户与合伙人均可自主核验，直观判断每一类报价的公允性；支持纯人力、纯物料、人力＋物料混合项目，从机制上杜绝暴利、垄断与暗箱报价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4. 适用范围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本方法为通用项目定价框架，不限于软件行业。适用于全行业交付型项目：定制技术开发、工程施工、设备集成、外包服务、系统运维等。本文档底部仅选取软件定制项目作为实操演示，方法本身可迁移至任意行业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适配单客户独立项目、多方联合共建分摊成本等业务模式。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5. 核心数据依据来源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实操案例（软件示例）参考以下公开数据源，其他行业使用时可替换为本行业公开市场基准、原材料报价或行业造价定额：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《2025年中国软件行业基准数据（CSBMK®-202510）》，北京软件造价评估技术创新联盟发布（工信部、电子标准研究院指导）。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人社部全国IT岗位薪酬市场裸价均值（公共招聘市场大数据统计，不含企业利润溢价）。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物料类：云服务器、软件授权、硬件采购取厂商公开挂牌裸价或渠道采购成交价。</w:t>
      </w: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二、项目全量成本项通用定义（人力＋物料）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1. 客观生产成本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2"/>
        </w:rPr>
        <w:t>【人力生产成本】（可按不同行业替换岗位）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需求对接岗：需求调研、业务访谈、输出需求/技术规格说明书、边界确认、多方对齐。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方案/设计岗：方案设计、图纸或原型、详细拆解、方案评审、变更管控。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实施/开发岗：现场实施、制作、编码、单元测试、模块落地调试。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交付运维岗：部署、上线调试、交付期故障排查、现场保障。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办公均摊成本：项目配套场地、设备、网络、工具、行政运维等日均固定均摊，按项目工期据实核算。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2"/>
        </w:rPr>
        <w:t>【物料/外部采购生产成本】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硬件设备、原材料、零配件。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云资源、服务器、数据库、存储租赁。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第三方商业组件、SDK、版权授权。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API接口、平台服务、各类订阅服务。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外部分包劳务或外包服务。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2"/>
        </w:rPr>
        <w:t>物料成本规则：按实际采购裸价计入，不额外加价；如需我方代为采购管理，管理成本计入人力岗位工作量，不在物料单价上浮。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2. 其他分类定义（利润、风险等，坦诚、可协商）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基础经营利润：企业组织管理、项目统筹、技术或工艺沉淀的合理回报。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运营风险补偿：对冲需求变更、工期波动、人工价格波动、物料涨价、市场环境变化等风险。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注：以上为常见分类，项目可根据实际需要增减（如税费、质保金、知识产权授权费等），每个分类均须独立量化、单独列示。</w:t>
      </w: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三、基准单价表（软件实操示例用，带来源）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说明：以下为本文档软件实操案例配套基准价，更换行业时岗位、基准价格与数据源同步替换。人力价格为市场裸成本原价（无利润、无溢价），物料为公开采购裸价。人力项支持项目单独协商折扣，物料一般按实际采购裸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成本岗位/类目</w:t>
            </w:r>
          </w:p>
        </w:tc>
        <w:tc>
          <w:tcPr>
            <w:tcW w:type="dxa" w:w="2154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核心工作/资源描述</w:t>
            </w:r>
          </w:p>
        </w:tc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市场基准原价</w:t>
            </w:r>
          </w:p>
        </w:tc>
        <w:tc>
          <w:tcPr>
            <w:tcW w:type="dxa" w:w="1984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数据参考来源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项目协商折扣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项目实际结算单价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需求对接岗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需求调研、业务梳理、输出需求规格说明书、双边需求对齐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420 元/人天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CSBMK2025软件造价基准＋人社部IT岗位薪酬均值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可自定义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原价×协商折扣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产品设计岗</w:t>
            </w:r>
          </w:p>
        </w:tc>
        <w:tc>
          <w:tcPr>
            <w:tcW w:type="dxa" w:w="215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原型设计、概要/详细设计、需求拆解、方案评审、变更管控</w:t>
            </w:r>
          </w:p>
        </w:tc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520 元/人天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CSBMK2025软件造价基准＋人社部IT岗位薪酬均值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可自定义</w:t>
            </w:r>
          </w:p>
        </w:tc>
        <w:tc>
          <w:tcPr>
            <w:tcW w:type="dxa" w:w="113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原价×协商折扣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高级开发岗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核心编码、模块开发、单元测试、联调优化、功能落地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680 元/人天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CSBMK2025软件造价基准＋人社部高端开发岗位市场价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可自定义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原价×协商折扣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交付运维岗</w:t>
            </w:r>
          </w:p>
        </w:tc>
        <w:tc>
          <w:tcPr>
            <w:tcW w:type="dxa" w:w="215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环境配置、服务器部署、上线调试、交付期运维保障、故障排查</w:t>
            </w:r>
          </w:p>
        </w:tc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380 元/人天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CSBMK2025软件运维造价基准＋人社部运维岗位薪酬均值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可自定义</w:t>
            </w:r>
          </w:p>
        </w:tc>
        <w:tc>
          <w:tcPr>
            <w:tcW w:type="dxa" w:w="113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原价×协商折扣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办公均摊成本（日均）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项目配套场地、设备、网络、工具、行政运维固定均摊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80 元/人天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软件行业中小企业项目运营成本公开均值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100%（刚性成本，无折扣）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80 元/人天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物料：云服务器＋数据库</w:t>
            </w:r>
          </w:p>
        </w:tc>
        <w:tc>
          <w:tcPr>
            <w:tcW w:type="dxa" w:w="215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项目周期内云主机、数据库、存储资源租赁裸成本</w:t>
            </w:r>
          </w:p>
        </w:tc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12000 元/项目周期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云厂商官网公开标价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一般100%</w:t>
            </w:r>
          </w:p>
        </w:tc>
        <w:tc>
          <w:tcPr>
            <w:tcW w:type="dxa" w:w="113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实际采购裸价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物料：第三方组件授权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商用开发组件、SDK版权授权，项目周期内费用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3000 元/项目周期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软件厂商公开报价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按渠道采购价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实际采购裸价</w:t>
            </w:r>
          </w:p>
        </w:tc>
      </w:tr>
    </w:tbl>
    <w:p>
      <w:pPr>
        <w:spacing w:after="40"/>
      </w:pP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四、软件生产实操案例（同行业双客户基线共建）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1. 项目背景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甲乙两家同行业不同机构，需同款业务软件，需求重合度90%，差异化需求10%。采用分类量化定价法，共建90%共性需求基线，仅10%需求差异化定制，分摊固定设计成本；项目包含人力开发成本＋云服务器、第三方组件物料采购成本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本案例仅用于演示分类量化定价法的计算流程，该定价模型可迁移至工程、设备、服务类项目。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2. 项目预估工作量与物料清单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共建基线总人力人天：143天（含需求、产品、开发、运维）。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新增协同沟通人天：15天（已纳入对应岗位工作量）。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物料：云资源整套周期裸价12000元；第三方组件授权裸价3000元。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3. 统一报价汇总表（全分类同表列示，逐项可展开）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本表将所有分类（客观生产成本、基础经营利润、运营风险补偿）合并于一张汇总表，自上而下从明细到小计到总报价，一目了然。各明细行均可展开追溯：人力项可展开至岗位人天排期，物料项可展开至采购清单，利润与风险项可展开至系数取值依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分类</w:t>
            </w:r>
          </w:p>
        </w:tc>
        <w:tc>
          <w:tcPr>
            <w:tcW w:type="dxa" w:w="1474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项目明细</w:t>
            </w:r>
          </w:p>
        </w:tc>
        <w:tc>
          <w:tcPr>
            <w:tcW w:type="dxa" w:w="850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基准单价(元)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折扣</w:t>
            </w:r>
          </w:p>
        </w:tc>
        <w:tc>
          <w:tcPr>
            <w:tcW w:type="dxa" w:w="850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结算单价(元)</w:t>
            </w:r>
          </w:p>
        </w:tc>
        <w:tc>
          <w:tcPr>
            <w:tcW w:type="dxa" w:w="737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金额(元)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来源/计算说明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客观生产成本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人力·需求对接岗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420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0.9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30人天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11,340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CSBMK2025＋人社部均值</w:t>
            </w:r>
          </w:p>
        </w:tc>
      </w:tr>
      <w:tr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客观生产成本</w:t>
            </w:r>
          </w:p>
        </w:tc>
        <w:tc>
          <w:tcPr>
            <w:tcW w:type="dxa" w:w="147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人力·产品设计岗</w:t>
            </w:r>
          </w:p>
        </w:tc>
        <w:tc>
          <w:tcPr>
            <w:tcW w:type="dxa" w:w="85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520</w:t>
            </w:r>
          </w:p>
        </w:tc>
        <w:tc>
          <w:tcPr>
            <w:tcW w:type="dxa" w:w="56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0.9</w:t>
            </w:r>
          </w:p>
        </w:tc>
        <w:tc>
          <w:tcPr>
            <w:tcW w:type="dxa" w:w="85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468</w:t>
            </w:r>
          </w:p>
        </w:tc>
        <w:tc>
          <w:tcPr>
            <w:tcW w:type="dxa" w:w="73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25人天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11,700</w:t>
            </w:r>
          </w:p>
        </w:tc>
        <w:tc>
          <w:tcPr>
            <w:tcW w:type="dxa" w:w="1701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CSBMK2025＋人社部均值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客观生产成本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人力·高级开发岗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680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0.9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612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70人天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42,840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CSBMK2025＋人社部均值</w:t>
            </w:r>
          </w:p>
        </w:tc>
      </w:tr>
      <w:tr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客观生产成本</w:t>
            </w:r>
          </w:p>
        </w:tc>
        <w:tc>
          <w:tcPr>
            <w:tcW w:type="dxa" w:w="147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人力·交付运维岗</w:t>
            </w:r>
          </w:p>
        </w:tc>
        <w:tc>
          <w:tcPr>
            <w:tcW w:type="dxa" w:w="85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380</w:t>
            </w:r>
          </w:p>
        </w:tc>
        <w:tc>
          <w:tcPr>
            <w:tcW w:type="dxa" w:w="56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0.9</w:t>
            </w:r>
          </w:p>
        </w:tc>
        <w:tc>
          <w:tcPr>
            <w:tcW w:type="dxa" w:w="85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342</w:t>
            </w:r>
          </w:p>
        </w:tc>
        <w:tc>
          <w:tcPr>
            <w:tcW w:type="dxa" w:w="73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18人天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6,156</w:t>
            </w:r>
          </w:p>
        </w:tc>
        <w:tc>
          <w:tcPr>
            <w:tcW w:type="dxa" w:w="1701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CSBMK2025＋人社部均值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客观生产成本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办公均摊成本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80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1.0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80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143人天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11,440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行业运营成本公开均值</w:t>
            </w:r>
          </w:p>
        </w:tc>
      </w:tr>
      <w:tr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客观生产成本</w:t>
            </w:r>
          </w:p>
        </w:tc>
        <w:tc>
          <w:tcPr>
            <w:tcW w:type="dxa" w:w="147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物料·云服务器＋数据库</w:t>
            </w:r>
          </w:p>
        </w:tc>
        <w:tc>
          <w:tcPr>
            <w:tcW w:type="dxa" w:w="85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56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85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73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1项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12,000</w:t>
            </w:r>
          </w:p>
        </w:tc>
        <w:tc>
          <w:tcPr>
            <w:tcW w:type="dxa" w:w="1701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云厂商官网公开标价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客观生产成本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物料·第三方组件授权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1项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3,000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软件厂商公开报价</w:t>
            </w:r>
          </w:p>
        </w:tc>
      </w:tr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【小计】</w:t>
            </w:r>
          </w:p>
        </w:tc>
        <w:tc>
          <w:tcPr>
            <w:tcW w:type="dxa" w:w="147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客观生产成本合计</w:t>
            </w:r>
          </w:p>
        </w:tc>
        <w:tc>
          <w:tcPr>
            <w:tcW w:type="dxa" w:w="85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—</w:t>
            </w:r>
          </w:p>
        </w:tc>
        <w:tc>
          <w:tcPr>
            <w:tcW w:type="dxa" w:w="567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—</w:t>
            </w:r>
          </w:p>
        </w:tc>
        <w:tc>
          <w:tcPr>
            <w:tcW w:type="dxa" w:w="85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—</w:t>
            </w:r>
          </w:p>
        </w:tc>
        <w:tc>
          <w:tcPr>
            <w:tcW w:type="dxa" w:w="737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—</w:t>
            </w:r>
          </w:p>
        </w:tc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98,476</w:t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以上7项求和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基础经营利润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分类二·基础经营利润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12%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11,817.12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生产成本合计×12%</w:t>
            </w:r>
          </w:p>
        </w:tc>
      </w:tr>
      <w:tr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运营风险补偿</w:t>
            </w:r>
          </w:p>
        </w:tc>
        <w:tc>
          <w:tcPr>
            <w:tcW w:type="dxa" w:w="147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分类三·运营风险补偿</w:t>
            </w:r>
          </w:p>
        </w:tc>
        <w:tc>
          <w:tcPr>
            <w:tcW w:type="dxa" w:w="85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56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85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73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6%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5,908.56</w:t>
            </w:r>
          </w:p>
        </w:tc>
        <w:tc>
          <w:tcPr>
            <w:tcW w:type="dxa" w:w="1701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生产成本合计×6%</w:t>
            </w:r>
          </w:p>
        </w:tc>
      </w:tr>
      <w:tr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【总报价】</w:t>
            </w:r>
          </w:p>
        </w:tc>
        <w:tc>
          <w:tcPr>
            <w:tcW w:type="dxa" w:w="1474"/>
            <w:shd w:val="clear" w:color="auto" w:fill="1F3A5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项目总报价</w:t>
            </w:r>
          </w:p>
        </w:tc>
        <w:tc>
          <w:tcPr>
            <w:tcW w:type="dxa" w:w="850"/>
            <w:shd w:val="clear" w:color="auto" w:fill="1F3A5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—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—</w:t>
            </w:r>
          </w:p>
        </w:tc>
        <w:tc>
          <w:tcPr>
            <w:tcW w:type="dxa" w:w="850"/>
            <w:shd w:val="clear" w:color="auto" w:fill="1F3A5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—</w:t>
            </w:r>
          </w:p>
        </w:tc>
        <w:tc>
          <w:tcPr>
            <w:tcW w:type="dxa" w:w="737"/>
            <w:shd w:val="clear" w:color="auto" w:fill="1F3A5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—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116,201.68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生产成本＋利润＋风险</w:t>
            </w:r>
          </w:p>
        </w:tc>
      </w:tr>
    </w:tbl>
    <w:p>
      <w:pPr>
        <w:spacing w:after="40"/>
      </w:pP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双客户均分后，单客户报价：58,100.84 元。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说明：利润率12%与风险补偿系数6%为软件定制行业公允区间示例值，可根据项目规模、合作深度协商调整；物料采购价随市场波动，超出约定阈值时同步更新本表。</w:t>
      </w: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五、配套履约收款计划（与定价体系绑定）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所有回款节点绑定对应交付成果，物料采购节点单独约定，物料到货或开通随阶段确认。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启动款30%：合同签署生效，团队进场启动调研；如需提前采购物料，物料预付款单独列明。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需求定稿款20%：需求/技术规格文档双方签字冻结，项目范围确认完成。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设计定稿款20%：方案、图纸或原型、详细设计评审通过，需求范围锁定。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验收尾款25%：项目成果交付上线、整体验收通过，物料与授权交付到位。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质保结清款5%：试运行周期结束，交付工作全部完成，无遗留问题。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补充调价约定：物料、人工市场价格波动超过双方约定阈值，可重新更新生产成本表，各分类按新基数重新核算。</w:t>
      </w: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六、体系落地总结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分类量化定价法为通用项目定价框架，不限于软件行业，本文档仅采用软件定制项目作为实操演示。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生产成本统一覆盖人力成本、办公均摊成本、物料与外部采购成本，全部依托公开基准或真实采购价据实量化；经营利润、运营风险补偿等各分类均独立列示、公开可协商。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2"/>
        </w:rPr>
        <w:t>彻底摒弃传统打包报价、隐形溢价、垄断定价模式，做到成本有据、分类透明、期望坦诚、履约可控，充分保障客户与合伙人的公平权益。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