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分类量化定价法</w:t>
      </w:r>
    </w:p>
    <w:p>
      <w:pPr>
        <w:spacing w:after="360"/>
        <w:jc w:val="center"/>
      </w:pPr>
      <w:r>
        <w:rPr>
          <w:rFonts w:ascii="楷体" w:hAnsi="楷体" w:eastAsia="楷体"/>
          <w:color w:val="555555"/>
          <w:sz w:val="24"/>
        </w:rPr>
        <w:t>标准文档（通用版 · 软件项目实操示例）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一、分类量化定价法 核心概念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方法全称与简称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方法全称：分类量化定价法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对外简称：量化定价法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核心底层逻辑</w:t>
      </w:r>
    </w:p>
    <w:p>
      <w:pPr>
        <w:spacing w:before="120" w:after="120"/>
        <w:jc w:val="center"/>
      </w:pPr>
      <w:r>
        <w:rPr>
          <w:rFonts w:ascii="楷体" w:hAnsi="楷体" w:eastAsia="楷体"/>
          <w:b/>
          <w:color w:val="8B0000"/>
          <w:sz w:val="24"/>
        </w:rPr>
        <w:t>总报价 ＝ Σ（各分类量化金额）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本体系严格执行「分类隔离原则」：将总报价拆解为多个独立分类，每个分类据实量化、独立列示，分类之间不打包、不嵌套、不隐藏。分类数量不固定，按项目实际需要设置，常见分类包括但不限于：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分类一 · 客观生产成本：据实、可核验。项目交付必需的全部刚性投入，以采购方实际支付的市场成交价为准，涵盖一切需从市场获取的资源与服务（人力、物料、外包等均为常见形式），上游利润结构不影响采购方成本认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分类二 · 基础经营利润：坦诚、单列、可协商。企业组织管理、项目统筹、技术沉淀的合理回报，不掺杂在人力单价或物料单价中。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分类三 · 运营风险补偿：坦诚、单列、可协商。对冲需求变更、工期波动、人工与物料价格波动、市场环境变化等风险，可约定触发条件，未发生风险可部分返还。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以上三类为本次软件实操案例所采用的分类；其他行业项目可根据实际情况增减分类（如税费、质保金、知识产权授权费等），每新增一个分类均须独立量化、单独列示。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体系价值主张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量化成本不虚报，分类明价不套路。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定价参数、人力基准价、物料采购价、利润率、风险系数均有依据，客户与合伙人均可自主核验，直观判断每一类报价的公允性；支持纯人力、纯物料、人力＋物料混合项目，从机制上杜绝暴利、垄断与暗箱报价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4. 适用范围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方法为通用项目定价框架，不限于软件行业。适用于全行业交付型项目：定制技术开发、工程施工、设备集成、外包服务、系统运维等。本文档底部仅选取软件定制项目作为实操演示，方法本身可迁移至任意行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适配单客户独立项目、多方联合共建分摊成本等业务模式。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5. 核心数据依据来源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实操案例（软件示例）参考以下公开数据源，其他行业使用时可替换为本行业公开市场基准、原材料报价或行业造价定额：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《2025年中国软件行业基准数据（CSBMK®-202510）》，北京软件造价评估技术创新联盟发布（工信部、电子标准研究院指导）。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人社部全国IT岗位薪酬市场裸价均值（公共招聘市场大数据统计，不含企业利润溢价）。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物料类：云服务器、软件授权、硬件采购取厂商公开挂牌裸价或渠道采购成交价。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二、客观生产成本通用定义（采购方实际支出为准）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核心定义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客观生产成本，是指采购方为获取项目所需资源或服务而实际支付的市场价格。该价格已包含上游各层级供应商的利润、税费与流通成本，但对采购方而言，成交价即为刚性成本，无需、也不应剥离上游利润结构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举例：采购芯片，市场售价10000元，即使售卖方利润率高达98%，采购方的客观生产成本仍为10000元。上游利润属于售卖方的经营分类，不影响采购方的成本认定。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因此，客观生产成本的唯一计量标准是「采购方实际成交价」，与上游成本结构无关。人力、物料仅是客观生产成本的两类常见形式，并非全部。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常见形式举例（不限于以下两类）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【形式一 · 人力成本】（可按不同行业替换岗位）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需求对接岗：需求调研、业务访谈、输出需求/技术规格说明书、边界确认、多方对齐。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方案/设计岗：方案设计、图纸或原型、详细拆解、方案评审、变更管控。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实施/开发岗：现场实施、制作、编码、单元测试、模块落地调试。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交付运维岗：部署、上线调试、交付期故障排查、现场保障。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办公均摊成本：项目配套场地、设备、网络、工具、行政运维等日均固定均摊，按项目工期据实核算。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【形式二 · 物料/外部采购成本】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硬件设备、原材料、零配件（如芯片、服务器、网络设备等）。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云资源、服务器、数据库、存储租赁。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第三方商业组件、SDK、版权授权。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API接口、平台服务、各类订阅服务。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外部分包劳务或外包服务。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采购规则：所有物料与外购服务均按实际采购成交价计入，不额外加价；如需我方代为采购管理，管理成本计入人力岗位工作量，不在物料单价上浮。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其他分类定义（利润、风险等，坦诚、可协商）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基础经营利润：采购方企业组织管理、项目统筹、技术或工艺沉淀的合理回报。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运营风险补偿：对冲需求变更、工期波动、人工价格波动、物料涨价、市场环境变化等风险。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注：以上为常见分类，项目可根据实际需要增减（如税费、质保金、知识产权授权费等），每个分类均须独立量化、单独列示。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三、基准单价表（软件实操示例用，带来源）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以下为本文档软件实操案例配套基准价，更换行业时岗位、基准价格与数据源同步替换。表中价格均为采购方视角的市场成交价（含上游供应方利润），人力项支持项目单独协商折扣，物料一般按实际采购裸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成本岗位/类目</w:t>
            </w:r>
          </w:p>
        </w:tc>
        <w:tc>
          <w:tcPr>
            <w:tcW w:type="dxa" w:w="215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核心工作/资源描述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市场基准原价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数据参考来源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项目协商折扣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项目实际结算单价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需求对接岗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需求调研、业务梳理、输出需求规格说明书、双边需求对齐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产品设计岗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原型设计、概要/详细设计、需求拆解、方案评审、变更管控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CSBMK2025软件造价基准＋人社部IT岗位薪酬均值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高级开发岗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核心编码、模块开发、单元测试、联调优化、功能落地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CSBMK2025软件造价基准＋人社部高端开发岗位市场价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交付运维岗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环境配置、服务器部署、上线调试、交付期运维保障、故障排查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 元/人天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CSBMK2025软件运维造价基准＋人社部运维岗位薪酬均值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可自定义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原价×协商折扣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办公均摊成本（日均）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项目配套场地、设备、网络、工具、行政运维固定均摊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软件行业中小企业项目运营成本公开均值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100%（刚性成本，无折扣）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 元/人天</w:t>
            </w:r>
          </w:p>
        </w:tc>
      </w:tr>
      <w:tr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物料：云服务器＋数据库</w:t>
            </w:r>
          </w:p>
        </w:tc>
        <w:tc>
          <w:tcPr>
            <w:tcW w:type="dxa" w:w="215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项目周期内云主机、数据库、存储资源租赁裸成本</w:t>
            </w:r>
          </w:p>
        </w:tc>
        <w:tc>
          <w:tcPr>
            <w:tcW w:type="dxa" w:w="124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12000 元/项目周期</w:t>
            </w:r>
          </w:p>
        </w:tc>
        <w:tc>
          <w:tcPr>
            <w:tcW w:type="dxa" w:w="198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一般100%</w:t>
            </w:r>
          </w:p>
        </w:tc>
        <w:tc>
          <w:tcPr>
            <w:tcW w:type="dxa" w:w="113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物料：第三方组件授权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商用开发组件、SDK版权授权，项目周期内费用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3000 元/项目周期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按渠道采购价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实际采购裸价</w:t>
            </w:r>
          </w:p>
        </w:tc>
      </w:tr>
    </w:tbl>
    <w:p>
      <w:pPr>
        <w:spacing w:after="40"/>
      </w:pP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四、软件生产实操案例（同行业双客户基线共建）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1. 项目背景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甲乙两家同行业不同机构，需同款业务软件，需求重合度90%，差异化需求10%。采用分类量化定价法，共建90%共性需求基线，仅10%需求差异化定制，分摊固定设计成本；项目包含人力开发成本＋云服务器、第三方组件物料采购成本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本案例仅用于演示分类量化定价法的计算流程，该定价模型可迁移至工程、设备、服务类项目。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2. 项目预估工作量与物料清单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共建基线总人力人天：143天（含需求、产品、开发、运维）。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新增协同沟通人天：15天（已纳入对应岗位工作量）。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物料：云资源整套周期裸价12000元；第三方组件授权裸价3000元。</w:t>
      </w:r>
    </w:p>
    <w:p>
      <w:pPr>
        <w:spacing w:before="200" w:after="120"/>
      </w:pPr>
      <w:r>
        <w:rPr>
          <w:rFonts w:ascii="黑体" w:hAnsi="黑体" w:eastAsia="黑体"/>
          <w:b/>
          <w:color w:val="2C5A8A"/>
          <w:sz w:val="26"/>
        </w:rPr>
        <w:t>3. 统一报价汇总表（全分类同表列示，逐项可展开）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本表将所有分类（客观生产成本、基础经营利润、运营风险补偿）合并于一张汇总表，自上而下从明细到小计到总报价，一目了然。各明细行均可展开追溯：人力项可展开至岗位人天排期，物料项可展开至采购清单，利润与风险项可展开至系数取值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项目明细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基准单价(元)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折扣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结算单价(元)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金额(元)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来源/计算说明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人力·需求对接岗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11,340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人力·产品设计岗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520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468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25人天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11,700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人力·高级开发岗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70人天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42,840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人力·交付运维岗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380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0.9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342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18人天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6,156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CSBMK2025＋人社部均值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办公均摊成本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1.0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143人天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11,440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行业运营成本公开均值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物料·云服务器＋数据库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12,000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云厂商官网公开标价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客观生产成本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物料·第三方组件授权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1项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软件厂商公开报价</w:t>
            </w:r>
          </w:p>
        </w:tc>
      </w:tr>
      <w:tr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【小计】</w:t>
            </w:r>
          </w:p>
        </w:tc>
        <w:tc>
          <w:tcPr>
            <w:tcW w:type="dxa" w:w="1474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客观生产成本合计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56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85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737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—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98,476</w:t>
            </w:r>
          </w:p>
        </w:tc>
        <w:tc>
          <w:tcPr>
            <w:tcW w:type="dxa" w:w="1701"/>
            <w:shd w:val="clear" w:color="auto" w:fill="D6E4F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以上7项求和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基础经营利润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分类二·基础经营利润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12%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11,817.12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生产成本合计×12%</w:t>
            </w:r>
          </w:p>
        </w:tc>
      </w:tr>
      <w:tr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运营风险补偿</w:t>
            </w:r>
          </w:p>
        </w:tc>
        <w:tc>
          <w:tcPr>
            <w:tcW w:type="dxa" w:w="1474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分类三·运营风险补偿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56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85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737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6%</w:t>
            </w:r>
          </w:p>
        </w:tc>
        <w:tc>
          <w:tcPr>
            <w:tcW w:type="dxa" w:w="1020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5,908.56</w:t>
            </w:r>
          </w:p>
        </w:tc>
        <w:tc>
          <w:tcPr>
            <w:tcW w:type="dxa" w:w="1701"/>
            <w:shd w:val="clear" w:color="auto" w:fill="F2F5F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9"/>
              </w:rPr>
              <w:t>生产成本合计×6%</w:t>
            </w:r>
          </w:p>
        </w:tc>
      </w:tr>
      <w:tr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【总报价】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项目总报价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737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—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116,201.68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生产成本＋利润＋风险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双客户均分后，单客户报价：58,100.84 元。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说明：利润率12%与风险补偿系数6%为软件定制行业公允区间示例值，可根据项目规模、合作深度协商调整；物料采购价随市场波动，超出约定阈值时同步更新本表。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五、配套履约收款计划（与定价体系绑定）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所有回款节点绑定对应交付成果，物料采购节点单独约定，物料到货或开通随阶段确认。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启动款30%：合同签署生效，团队进场启动调研；如需提前采购物料，物料预付款单独列明。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需求定稿款20%：需求/技术规格文档双方签字冻结，项目范围确认完成。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设计定稿款20%：方案、图纸或原型、详细设计评审通过，需求范围锁定。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验收尾款25%：项目成果交付上线、整体验收通过，物料与授权交付到位。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2"/>
        </w:rPr>
        <w:t>质保结清款5%：试运行周期结束，交付工作全部完成，无遗留问题。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补充调价约定：物料、人工市场价格波动超过双方约定阈值，可重新更新生产成本表，各分类按新基数重新核算。</w:t>
      </w:r>
    </w:p>
    <w:p>
      <w:pPr>
        <w:spacing w:before="280" w:after="160"/>
      </w:pPr>
      <w:r>
        <w:rPr>
          <w:rFonts w:ascii="黑体" w:hAnsi="黑体" w:eastAsia="黑体"/>
          <w:b/>
          <w:color w:val="1F3A5F"/>
          <w:sz w:val="30"/>
        </w:rPr>
        <w:t>六、体系落地总结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分类量化定价法为通用项目定价框架，不限于软件行业，本文档仅采用软件定制项目作为实操演示。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客观生产成本以采购方实际成交价为准，覆盖人力、物料、外包等一切需从市场获取的资源与服务，上游利润结构不影响采购方成本认定；经营利润、运营风险补偿等各分类均独立列示、公开可协商。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2"/>
        </w:rPr>
        <w:t>彻底摒弃传统打包报价、隐形溢价、垄断定价模式，做到成本有据、分类透明、期望坦诚、履约可控，充分保障客户与合伙人的公平权益。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