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分类量化定价法</w:t>
      </w:r>
    </w:p>
    <w:p>
      <w:pPr>
        <w:spacing w:after="360"/>
        <w:jc w:val="center"/>
      </w:pPr>
      <w:r>
        <w:rPr>
          <w:rFonts w:ascii="楷体" w:hAnsi="楷体" w:eastAsia="楷体"/>
          <w:color w:val="555555"/>
          <w:sz w:val="24"/>
        </w:rPr>
        <w:t>标准文档（通用版 · 软件项目实操示例）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一、分类量化定价法 核心概念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方法全称与简称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方法全称：分类量化定价法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对外简称：量化定价法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核心底层逻辑</w:t>
      </w:r>
    </w:p>
    <w:p>
      <w:pPr>
        <w:spacing w:before="120" w:after="120"/>
        <w:jc w:val="center"/>
      </w:pPr>
      <w:r>
        <w:rPr>
          <w:rFonts w:ascii="楷体" w:hAnsi="楷体" w:eastAsia="楷体"/>
          <w:b/>
          <w:color w:val="8B0000"/>
          <w:sz w:val="24"/>
        </w:rPr>
        <w:t>总报价 ＝ Σ（各分类量化金额）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本体系严格执行「分类隔离原则」：将总报价拆解为多个独立分类，每个分类据实量化、独立列示，分类之间不打包、不嵌套、不隐藏。分类数量不固定，按项目实际需要设置，常见分类包括但不限于：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分类一 · 客观生产成本：据实、可核验。项目交付必需的全部刚性投入，以采购方实际支付的市场成交价为准，涵盖一切需从市场获取的资源与服务（人力、物料、外包等均为常见形式），上游利润结构不影响采购方成本认定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分类二 · 基础经营利润：坦诚、单列、可协商。企业组织管理、项目统筹、技术沉淀的合理回报，不掺杂在人力单价或物料单价中。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分类三 · 运营风险补偿：坦诚、单列、可协商。对冲需求变更、工期波动、人工与物料价格波动、市场环境变化等风险，可约定触发条件，未发生风险可部分返还。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以上三类为本次软件实操案例所采用的分类；其他行业项目可根据实际情况增减分类（如税费、质保金、知识产权授权费等），每新增一个分类均须独立量化、单独列示。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体系价值主张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量化成本不虚报，分类明价不套路。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定价参数、人力基准价、物料采购价、利润率、风险系数均有依据，客户与合伙人均可自主核验，直观判断每一类报价的公允性；支持纯人力、纯物料、人力＋物料混合项目，从机制上杜绝暴利、垄断与暗箱报价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4. 适用范围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方法为通用项目定价框架，不限于软件行业。适用于全行业交付型项目：定制技术开发、工程施工、设备集成、外包服务、系统运维等。本文档底部仅选取软件定制项目作为实操演示，方法本身可迁移至任意行业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适配单客户独立项目、多方联合共建分摊成本等业务模式。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5. 核心数据依据来源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实操案例（软件示例）参考以下公开数据源，其他行业使用时可替换为本行业公开市场基准、原材料报价或行业造价定额：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《2025年中国软件行业基准数据（CSBMK®-202510）》，北京软件造价评估技术创新联盟发布（工信部、电子标准研究院指导）。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人社部全国IT岗位薪酬市场裸价均值（公共招聘市场大数据统计，不含企业利润溢价）。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物料类：云服务器、软件授权、硬件采购取厂商公开挂牌裸价或渠道采购成交价。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二、客观生产成本通用定义（采购方实际支出为准）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核心定义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客观生产成本，是指采购方为获取项目所需资源或服务而实际支付的市场价格。该价格已包含上游各层级供应商的利润、税费与流通成本，但对采购方而言，成交价即为刚性成本，无需、也不应剥离上游利润结构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举例：采购芯片，市场售价10000元，即使售卖方利润率高达98%，采购方的客观生产成本仍为10000元。上游利润属于售卖方的经营分类，不影响采购方的成本认定。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因此，客观生产成本的唯一计量标准是「采购方实际成交价」，与上游成本结构无关。人力、物料仅是客观生产成本的两类常见形式，并非全部。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常见形式举例（不限于以下两类）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【形式一 · 人力成本】（可按不同行业替换岗位）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需求对接岗：需求调研、业务访谈、输出需求/技术规格说明书、边界确认、多方对齐。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方案/设计岗：方案设计、图纸或原型、详细拆解、方案评审、变更管控。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实施/开发岗：现场实施、制作、编码、单元测试、模块落地调试。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交付运维岗：部署、上线调试、交付期故障排查、现场保障。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办公均摊成本：项目配套场地、设备、网络、工具、行政运维等日均固定均摊，按项目工期据实核算。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【形式二 · 物料/外部采购成本】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硬件设备、原材料、零配件（如芯片、服务器、网络设备等）。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云资源、服务器、数据库、存储租赁。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第三方商业组件、SDK、版权授权。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API接口、平台服务、各类订阅服务。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外部分包劳务或外包服务。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采购规则：所有物料与外购服务均按实际采购成交价计入，不额外加价；如需我方代为采购管理，管理成本计入人力岗位工作量，不在物料单价上浮。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其他分类定义（利润、风险等，坦诚、可协商）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基础经营利润：采购方企业组织管理、项目统筹、技术或工艺沉淀的合理回报。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运营风险补偿：对冲需求变更、工期波动、人工价格波动、物料涨价、市场环境变化等风险。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注：以上为常见分类，项目可根据实际需要增减（如税费、质保金、知识产权授权费等），每个分类均须独立量化、单独列示。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三、基准单价表（软件实操示例用，带来源）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以下为本文档软件实操案例配套基准价，更换行业时岗位、基准价格与数据源同步替换。表中价格均为采购方视角的市场成交价（含上游供应方利润），人力项支持项目单独协商折扣，物料一般按实际采购裸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成本岗位/类目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核心工作/资源描述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市场基准原价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数据参考来源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项目协商折扣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项目实际结算单价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需求对接岗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需求调研、业务梳理、输出需求规格说明书、双边需求对齐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产品设计岗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原型设计、概要/详细设计、需求拆解、方案评审、变更管控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520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高级开发岗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核心编码、模块开发、单元测试、联调优化、功能落地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CSBMK2025软件造价基准＋人社部高端开发岗位市场价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交付运维岗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环境配置、服务器部署、上线调试、交付期运维保障、故障排查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CSBMK2025软件运维造价基准＋人社部运维岗位薪酬均值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办公均摊成本（日均）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项目配套场地、设备、网络、工具、行政运维固定均摊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软件行业中小企业项目运营成本公开均值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100%（刚性成本，无折扣）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物料：云服务器＋数据库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项目周期内云主机、数据库、存储资源租赁裸成本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12000 元/项目周期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云厂商官网公开标价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一般100%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物料：第三方组件授权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商用开发组件、SDK版权授权，项目周期内费用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3000 元/项目周期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软件厂商公开报价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按渠道采购价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四、软件生产实操案例（三分量化定价法示例）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项目背景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甲乙两家同行业不同机构，需同款业务软件，需求重合度90%，差异化需求10%。采用分类量化定价法，共建90%共性需求基线，仅10%需求差异化定制，分摊固定设计成本。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本案例采用「三分量化定价法」，即报价拆分为三个独立分类：分类一·客观生产成本、分类二·基础经营利润、分类三·运营风险补偿。以下逐项量化展示。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本案例仅用于演示分类量化定价法的计算流程，该定价模型可迁移至工程、设备、服务类项目。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项目预估工作量与物料清单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共建基线总人力人天：143天（含需求、产品、开发、运维）。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新增协同沟通人天：15天（已纳入对应岗位工作量）。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物料：云资源整套周期裸价12000元；第三方组件授权裸价3000元。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三分量化报价汇总表（每一项均含成本、利润、风险三分）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表为三分量化定价法核心展示：每一项成本均独立计算其对应的基础经营利润（该项成本×12%）与运营风险补偿（该项成本×6%），三分同维、逐项列示，最后一行汇总。利润率与风险率为软件定制行业公允区间示例值，可协商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项目明细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客观生产成本(元)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基础经营利润(元)</w:t>
              <w:br/>
              <w:t>利润率12%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运营风险补偿(元)</w:t>
              <w:br/>
              <w:t>风险率6%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分项合计(元)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人力·需求对接岗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30人天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11,340.00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1,360.80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680.40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13,381.20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人力·产品设计岗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25人天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11,700.00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1,404.00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702.00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13,806.00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人力·高级开发岗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70人天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42,840.00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5,140.80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2,570.40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50,551.20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人力·交付运维岗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18人天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6,156.00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738.72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369.36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7,264.08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143人天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11,440.00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1,372.80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686.40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13,499.20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物料·云服务器＋数据库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1项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12,000.00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1,440.00</w:t>
            </w:r>
          </w:p>
        </w:tc>
        <w:tc>
          <w:tcPr>
            <w:tcW w:type="dxa" w:w="136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720.00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14,160.00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物料·第三方组件授权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3,000.00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360.00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180.00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3,540.00</w:t>
            </w:r>
          </w:p>
        </w:tc>
      </w:tr>
      <w:tr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合计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98,476.00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11,817.12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5,908.56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116,201.68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双客户均分后，单客户报价：58,100.84 元。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利润率12%与风险率6%适用于每一项成本，逐项计算后求和，与按总成本统一计算结果一致。物料采购价随市场波动，超出约定阈值时同步更新本表；项目验收后若未发生重大风险，风险补偿可按协议比例返还客户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总报价校验：98,476.00（生产成本）＋ 11,817.12（经营利润）＋ 5,908.56（风险补偿）＝ 116,201.68 元，与汇总表一致。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五、配套履约收款计划（与定价体系绑定）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所有回款节点绑定对应交付成果，物料采购节点单独约定，物料到货或开通随阶段确认。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启动款30%：合同签署生效，团队进场启动调研；如需提前采购物料，物料预付款单独列明。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需求定稿款20%：需求/技术规格文档双方签字冻结，项目范围确认完成。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设计定稿款20%：方案、图纸或原型、详细设计评审通过，需求范围锁定。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验收尾款25%：项目成果交付上线、整体验收通过，物料与授权交付到位。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质保结清款5%：试运行周期结束，交付工作全部完成，无遗留问题。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补充调价约定：物料、人工市场价格波动超过双方约定阈值，可重新更新生产成本表，各分类按新基数重新核算。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六、体系落地总结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分类量化定价法为通用项目定价框架，不限于软件行业，本文档仅采用软件定制项目作为实操演示。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客观生产成本以采购方实际成交价为准，覆盖人力、物料、外包等一切需从市场获取的资源与服务，上游利润结构不影响采购方成本认定；经营利润、运营风险补偿等各分类均独立列示、公开可协商。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彻底摒弃传统打包报价、隐形溢价、垄断定价模式，做到成本有据、分类透明、期望坦诚、履约可控，充分保障客户与合伙人的公平权益。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