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黑体" w:hAnsi="黑体" w:eastAsia="黑体"/>
          <w:b/>
          <w:color w:val="000000"/>
          <w:sz w:val="32"/>
        </w:rPr>
        <w:t>软件项目人天量化诚意报价表</w:t>
      </w:r>
    </w:p>
    <w:p>
      <w:pPr>
        <w:spacing w:after="120"/>
        <w:jc w:val="center"/>
      </w:pPr>
      <w:r>
        <w:rPr>
          <w:rFonts w:ascii="楷体" w:hAnsi="楷体" w:eastAsia="楷体"/>
          <w:color w:val="000000"/>
          <w:sz w:val="21"/>
        </w:rPr>
        <w:t>（婚恋小程序项目）</w:t>
      </w:r>
    </w:p>
    <w:p>
      <w:pPr>
        <w:spacing w:before="120" w:after="60"/>
      </w:pPr>
      <w:r>
        <w:rPr>
          <w:rFonts w:ascii="黑体" w:hAnsi="黑体" w:eastAsia="黑体"/>
          <w:b/>
          <w:color w:val="000000"/>
          <w:sz w:val="24"/>
        </w:rPr>
        <w:t>一、定价规则说明</w:t>
      </w:r>
    </w:p>
    <w:p>
      <w:pPr>
        <w:spacing w:line="288" w:lineRule="auto"/>
        <w:ind w:firstLine="420"/>
      </w:pPr>
      <w:r>
        <w:rPr>
          <w:rFonts w:ascii="宋体" w:hAnsi="宋体" w:eastAsia="宋体"/>
          <w:color w:val="000000"/>
          <w:sz w:val="21"/>
        </w:rPr>
        <w:t>采用三分量化定价法，分项合计=客观生产成本×1.18（12%基础利润+6%风险补偿）。需求对接+产品设计打包收500元，差额让利计入开发岗，各阶段付款完成度100%。数据依据：CSBMK2025软件造价基准、人社部IT薪酬均值。</w:t>
      </w:r>
    </w:p>
    <w:p>
      <w:pPr>
        <w:spacing w:before="120" w:after="60"/>
      </w:pPr>
      <w:r>
        <w:rPr>
          <w:rFonts w:ascii="黑体" w:hAnsi="黑体" w:eastAsia="黑体"/>
          <w:b/>
          <w:color w:val="000000"/>
          <w:sz w:val="24"/>
        </w:rPr>
        <w:t>二、人天量化报价明细表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</w:tblGrid>
      <w:tr>
        <w:trPr>
          <w:tblHeader/>
          <w:cantSplit/>
        </w:trPr>
        <w:tc>
          <w:tcPr>
            <w:tcW w:type="dxa" w:w="113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项目明细</w:t>
            </w:r>
          </w:p>
        </w:tc>
        <w:tc>
          <w:tcPr>
            <w:tcW w:type="dxa" w:w="680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基准单价</w:t>
              <w:br/>
              <w:t>(元/人天)</w:t>
            </w:r>
          </w:p>
        </w:tc>
        <w:tc>
          <w:tcPr>
            <w:tcW w:type="dxa" w:w="567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数量</w:t>
              <w:br/>
              <w:t>(人天)</w:t>
            </w:r>
          </w:p>
        </w:tc>
        <w:tc>
          <w:tcPr>
            <w:tcW w:type="dxa" w:w="737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客观生产</w:t>
              <w:br/>
              <w:t>成本(元)</w:t>
            </w:r>
          </w:p>
        </w:tc>
        <w:tc>
          <w:tcPr>
            <w:tcW w:type="dxa" w:w="737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基础经营</w:t>
              <w:br/>
              <w:t>利润12%(元)</w:t>
            </w:r>
          </w:p>
        </w:tc>
        <w:tc>
          <w:tcPr>
            <w:tcW w:type="dxa" w:w="737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运营风险</w:t>
              <w:br/>
              <w:t>补偿6%(元)</w:t>
            </w:r>
          </w:p>
        </w:tc>
        <w:tc>
          <w:tcPr>
            <w:tcW w:type="dxa" w:w="737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分项合计</w:t>
              <w:br/>
              <w:t>(元)</w:t>
            </w:r>
          </w:p>
        </w:tc>
        <w:tc>
          <w:tcPr>
            <w:tcW w:type="dxa" w:w="737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我方诚意</w:t>
              <w:br/>
              <w:t>报价(元)</w:t>
            </w:r>
          </w:p>
        </w:tc>
        <w:tc>
          <w:tcPr>
            <w:tcW w:type="dxa" w:w="510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付款</w:t>
              <w:br/>
              <w:t>完成度</w:t>
            </w:r>
          </w:p>
        </w:tc>
        <w:tc>
          <w:tcPr>
            <w:tcW w:type="dxa" w:w="737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交付周期</w:t>
            </w:r>
          </w:p>
        </w:tc>
        <w:tc>
          <w:tcPr>
            <w:tcW w:type="dxa" w:w="1701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备注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人力·需求对接岗</w:t>
            </w:r>
          </w:p>
        </w:tc>
        <w:tc>
          <w:tcPr>
            <w:tcW w:type="dxa" w:w="680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420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737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840.00</w:t>
            </w:r>
          </w:p>
        </w:tc>
        <w:tc>
          <w:tcPr>
            <w:tcW w:type="dxa" w:w="737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100.80</w:t>
            </w:r>
          </w:p>
        </w:tc>
        <w:tc>
          <w:tcPr>
            <w:tcW w:type="dxa" w:w="737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50.40</w:t>
            </w:r>
          </w:p>
        </w:tc>
        <w:tc>
          <w:tcPr>
            <w:tcW w:type="dxa" w:w="737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991.20</w:t>
            </w:r>
          </w:p>
        </w:tc>
        <w:tc>
          <w:tcPr>
            <w:tcW w:type="dxa" w:w="737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打包合并计费</w:t>
            </w:r>
          </w:p>
        </w:tc>
        <w:tc>
          <w:tcPr>
            <w:tcW w:type="dxa" w:w="510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100%</w:t>
            </w:r>
          </w:p>
        </w:tc>
        <w:tc>
          <w:tcPr>
            <w:tcW w:type="dxa" w:w="737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项目全程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需求调研、业务梳理、需求对齐、文档确认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人力·产品设计岗</w:t>
            </w:r>
          </w:p>
        </w:tc>
        <w:tc>
          <w:tcPr>
            <w:tcW w:type="dxa" w:w="680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520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737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1040.00</w:t>
            </w:r>
          </w:p>
        </w:tc>
        <w:tc>
          <w:tcPr>
            <w:tcW w:type="dxa" w:w="737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124.80</w:t>
            </w:r>
          </w:p>
        </w:tc>
        <w:tc>
          <w:tcPr>
            <w:tcW w:type="dxa" w:w="737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62.40</w:t>
            </w:r>
          </w:p>
        </w:tc>
        <w:tc>
          <w:tcPr>
            <w:tcW w:type="dxa" w:w="737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1227.20</w:t>
            </w:r>
          </w:p>
        </w:tc>
        <w:tc>
          <w:tcPr>
            <w:tcW w:type="dxa" w:w="737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打包合并计费</w:t>
            </w:r>
          </w:p>
        </w:tc>
        <w:tc>
          <w:tcPr>
            <w:tcW w:type="dxa" w:w="510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100%</w:t>
            </w:r>
          </w:p>
        </w:tc>
        <w:tc>
          <w:tcPr>
            <w:tcW w:type="dxa" w:w="737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1-2天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周期取决于客户配合度，输出原型+详细设计方案，需求冻结，变更单独计费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人力·高级开发岗</w:t>
            </w:r>
          </w:p>
        </w:tc>
        <w:tc>
          <w:tcPr>
            <w:tcW w:type="dxa" w:w="680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680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737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4080.00</w:t>
            </w:r>
          </w:p>
        </w:tc>
        <w:tc>
          <w:tcPr>
            <w:tcW w:type="dxa" w:w="737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489.60</w:t>
            </w:r>
          </w:p>
        </w:tc>
        <w:tc>
          <w:tcPr>
            <w:tcW w:type="dxa" w:w="737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244.80</w:t>
            </w:r>
          </w:p>
        </w:tc>
        <w:tc>
          <w:tcPr>
            <w:tcW w:type="dxa" w:w="737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4814.40</w:t>
            </w:r>
          </w:p>
        </w:tc>
        <w:tc>
          <w:tcPr>
            <w:tcW w:type="dxa" w:w="737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整体让利</w:t>
            </w:r>
          </w:p>
        </w:tc>
        <w:tc>
          <w:tcPr>
            <w:tcW w:type="dxa" w:w="510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100%</w:t>
            </w:r>
          </w:p>
        </w:tc>
        <w:tc>
          <w:tcPr>
            <w:tcW w:type="dxa" w:w="737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6天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含项目全部开发工作，交付完整可编译源码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人力·交付运维岗</w:t>
            </w:r>
          </w:p>
        </w:tc>
        <w:tc>
          <w:tcPr>
            <w:tcW w:type="dxa" w:w="680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380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737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</w:t>
            </w:r>
          </w:p>
        </w:tc>
        <w:tc>
          <w:tcPr>
            <w:tcW w:type="dxa" w:w="737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</w:t>
            </w:r>
          </w:p>
        </w:tc>
        <w:tc>
          <w:tcPr>
            <w:tcW w:type="dxa" w:w="737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</w:t>
            </w:r>
          </w:p>
        </w:tc>
        <w:tc>
          <w:tcPr>
            <w:tcW w:type="dxa" w:w="737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</w:t>
            </w:r>
          </w:p>
        </w:tc>
        <w:tc>
          <w:tcPr>
            <w:tcW w:type="dxa" w:w="737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0（赠送）</w:t>
            </w:r>
          </w:p>
        </w:tc>
        <w:tc>
          <w:tcPr>
            <w:tcW w:type="dxa" w:w="510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100%</w:t>
            </w:r>
          </w:p>
        </w:tc>
        <w:tc>
          <w:tcPr>
            <w:tcW w:type="dxa" w:w="737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项目周期内全程运维保障免费赠送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办公均摊成本</w:t>
            </w:r>
          </w:p>
        </w:tc>
        <w:tc>
          <w:tcPr>
            <w:tcW w:type="dxa" w:w="680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80</w:t>
            </w:r>
          </w:p>
        </w:tc>
        <w:tc>
          <w:tcPr>
            <w:tcW w:type="dxa" w:w="567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737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480.00</w:t>
            </w:r>
          </w:p>
        </w:tc>
        <w:tc>
          <w:tcPr>
            <w:tcW w:type="dxa" w:w="737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57.60</w:t>
            </w:r>
          </w:p>
        </w:tc>
        <w:tc>
          <w:tcPr>
            <w:tcW w:type="dxa" w:w="737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28.80</w:t>
            </w:r>
          </w:p>
        </w:tc>
        <w:tc>
          <w:tcPr>
            <w:tcW w:type="dxa" w:w="737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566.40</w:t>
            </w:r>
          </w:p>
        </w:tc>
        <w:tc>
          <w:tcPr>
            <w:tcW w:type="dxa" w:w="737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整体让利</w:t>
            </w:r>
          </w:p>
        </w:tc>
        <w:tc>
          <w:tcPr>
            <w:tcW w:type="dxa" w:w="510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100%</w:t>
            </w:r>
          </w:p>
        </w:tc>
        <w:tc>
          <w:tcPr>
            <w:tcW w:type="dxa" w:w="737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随开发周期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场地、设备、网络、工具等刚性配套成本，无额外加价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2F2F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项目合计</w:t>
            </w:r>
          </w:p>
        </w:tc>
        <w:tc>
          <w:tcPr>
            <w:tcW w:type="dxa" w:w="680"/>
            <w:shd w:val="clear" w:color="auto" w:fill="F2F2F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—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—</w:t>
            </w:r>
          </w:p>
        </w:tc>
        <w:tc>
          <w:tcPr>
            <w:tcW w:type="dxa" w:w="737"/>
            <w:shd w:val="clear" w:color="auto" w:fill="F2F2F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6440.00</w:t>
            </w:r>
          </w:p>
        </w:tc>
        <w:tc>
          <w:tcPr>
            <w:tcW w:type="dxa" w:w="737"/>
            <w:shd w:val="clear" w:color="auto" w:fill="F2F2F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772.80</w:t>
            </w:r>
          </w:p>
        </w:tc>
        <w:tc>
          <w:tcPr>
            <w:tcW w:type="dxa" w:w="737"/>
            <w:shd w:val="clear" w:color="auto" w:fill="F2F2F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386.40</w:t>
            </w:r>
          </w:p>
        </w:tc>
        <w:tc>
          <w:tcPr>
            <w:tcW w:type="dxa" w:w="737"/>
            <w:shd w:val="clear" w:color="auto" w:fill="F2F2F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8500.00</w:t>
            </w:r>
          </w:p>
        </w:tc>
        <w:tc>
          <w:tcPr>
            <w:tcW w:type="dxa" w:w="737"/>
            <w:shd w:val="clear" w:color="auto" w:fill="F2F2F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3500.00</w:t>
            </w:r>
          </w:p>
        </w:tc>
        <w:tc>
          <w:tcPr>
            <w:tcW w:type="dxa" w:w="510"/>
            <w:shd w:val="clear" w:color="auto" w:fill="F2F2F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100%</w:t>
            </w:r>
          </w:p>
        </w:tc>
        <w:tc>
          <w:tcPr>
            <w:tcW w:type="dxa" w:w="737"/>
            <w:shd w:val="clear" w:color="auto" w:fill="F2F2F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—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市场标准总价8500元；需求对接+产品设计打包收取500元，剩余让利全部计入开发岗，特惠总价3500元</w:t>
            </w:r>
          </w:p>
        </w:tc>
      </w:tr>
    </w:tbl>
    <w:p>
      <w:pPr>
        <w:spacing w:before="120" w:after="60"/>
      </w:pPr>
      <w:r>
        <w:rPr>
          <w:rFonts w:ascii="黑体" w:hAnsi="黑体" w:eastAsia="黑体"/>
          <w:b/>
          <w:color w:val="000000"/>
          <w:sz w:val="24"/>
        </w:rPr>
        <w:t>三、补充说明</w:t>
      </w:r>
    </w:p>
    <w:p>
      <w:pPr>
        <w:spacing w:line="312" w:lineRule="auto"/>
        <w:ind w:firstLine="420"/>
      </w:pPr>
      <w:r>
        <w:rPr>
          <w:rFonts w:ascii="宋体" w:hAnsi="宋体" w:eastAsia="宋体"/>
          <w:sz w:val="22"/>
        </w:rPr>
        <w:t>后台开发为赠送项，不计入本报价人天与成本；上线流程同步赠送，交付进度取决于客户资质完备情况；赠送ICP/EDI经营许可证代办（价值4500元），可选半年代运营服务（我方审核运营内容）。</w:t>
      </w:r>
    </w:p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