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cantSplit/>
        </w:trPr>
        <w:tc>
          <w:tcPr>
            <w:tcW w:type="dxa" w:w="1984"/>
            <w:gridSpan w:val="12"/>
            <w:shd w:val="clear" w:color="auto" w:fill="4472C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color w:val="FFFFFF"/>
                <w:sz w:val="24"/>
              </w:rPr>
              <w:t>婚恋小程序项目 · 人天量化诚意报价明细表</w:t>
            </w:r>
          </w:p>
        </w:tc>
      </w:tr>
      <w:tr>
        <w:trPr>
          <w:cantSplit/>
        </w:trPr>
        <w:tc>
          <w:tcPr>
            <w:tcW w:type="dxa" w:w="1984"/>
            <w:gridSpan w:val="12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定价规则：采用三分量化定价法，分项合计=客观生产成本×1.18（12%基础利润+6%风险补偿）。需求对接+产品设计打包收500元，差额让利计入开发岗，各阶段付款完成度100%。数据依据：CSBMK2025软件造价基准、人社部IT薪酬均值。</w:t>
            </w:r>
          </w:p>
        </w:tc>
      </w:tr>
      <w:tr>
        <w:trPr>
          <w:cantSplit/>
          <w:tblHeader/>
        </w:trPr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项目明细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基准单价</w:t>
              <w:br/>
              <w:t>(元/人天)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数量</w:t>
              <w:br/>
              <w:t>(人天)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客观生产</w:t>
              <w:br/>
              <w:t>成本(元)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基础经营</w:t>
              <w:br/>
              <w:t>利润12%(元)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运营风险</w:t>
              <w:br/>
              <w:t>补偿6%(元)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分项合计</w:t>
              <w:br/>
              <w:t>(元)</w:t>
            </w:r>
          </w:p>
        </w:tc>
        <w:tc>
          <w:tcPr>
            <w:tcW w:type="dxa" w:w="68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折扣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我方诚意</w:t>
              <w:br/>
              <w:t>报价(元)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付款</w:t>
              <w:br/>
              <w:t>完成度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交付周期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人力·需求对接岗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840.00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100.80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50.40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991.20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打包计费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打包合并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项目全程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需求调研、业务梳理、需求对齐、文档确认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人力·产品设计岗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520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1040.00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124.80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1227.20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打包计费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打包合并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1-2天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周期取决于客户配合度，输出原型+详细设计方案，需求冻结，变更单独计费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人力·高级开发岗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680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4080.00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489.60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244.80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4814.40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约5.6折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整体让利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含项目全部开发工作，交付完整可编译源码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人力·交付运维岗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380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赠送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0（赠送）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项目周期内全程运维保障免费赠送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办公均摊成本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480.00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57.60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28.80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566.40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约5.6折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整体让利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随开发周期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场地、设备、网络、工具等刚性配套成本，无额外加价</w:t>
            </w:r>
          </w:p>
        </w:tc>
      </w:tr>
      <w:tr>
        <w:trPr>
          <w:cantSplit/>
        </w:trPr>
        <w:tc>
          <w:tcPr>
            <w:tcW w:type="dxa" w:w="130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项目合计</w:t>
            </w:r>
          </w:p>
        </w:tc>
        <w:tc>
          <w:tcPr>
            <w:tcW w:type="dxa" w:w="79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56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79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6440.00</w:t>
            </w:r>
          </w:p>
        </w:tc>
        <w:tc>
          <w:tcPr>
            <w:tcW w:type="dxa" w:w="79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772.80</w:t>
            </w:r>
          </w:p>
        </w:tc>
        <w:tc>
          <w:tcPr>
            <w:tcW w:type="dxa" w:w="79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386.40</w:t>
            </w:r>
          </w:p>
        </w:tc>
        <w:tc>
          <w:tcPr>
            <w:tcW w:type="dxa" w:w="79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8500.00</w:t>
            </w:r>
          </w:p>
        </w:tc>
        <w:tc>
          <w:tcPr>
            <w:tcW w:type="dxa" w:w="680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约4.1折</w:t>
            </w:r>
          </w:p>
        </w:tc>
        <w:tc>
          <w:tcPr>
            <w:tcW w:type="dxa" w:w="79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3500.00</w:t>
            </w:r>
          </w:p>
        </w:tc>
        <w:tc>
          <w:tcPr>
            <w:tcW w:type="dxa" w:w="56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73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198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市场标准总价8500元；需求对接+产品设计打包收取500元，剩余让利全部计入开发岗，特惠总价3500元</w:t>
            </w:r>
          </w:p>
        </w:tc>
      </w:tr>
      <w:tr>
        <w:trPr>
          <w:cantSplit/>
        </w:trPr>
        <w:tc>
          <w:tcPr>
            <w:tcW w:type="dxa" w:w="1984"/>
            <w:gridSpan w:val="12"/>
            <w:shd w:val="clear" w:color="auto" w:fill="FFF2CC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补充说明：后台开发为赠送项，不计入本报价人天与成本；上线流程同步赠送，交付进度取决于客户资质完备情况；赠送ICP/EDI经营许可证代办（价值4500元），可选半年代运营服务（我方审核运营内容）。</w:t>
            </w:r>
          </w:p>
        </w:tc>
      </w:tr>
      <w:tr>
        <w:trPr>
          <w:cantSplit/>
        </w:trPr>
        <w:tc>
          <w:tcPr>
            <w:tcW w:type="dxa" w:w="1984"/>
            <w:gridSpan w:val="12"/>
            <w:shd w:val="clear" w:color="auto" w:fill="E2EFD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注：上述表格为项目实例，折算为一个项目25个页面，平均每个页面（含功能）150元，后续增加新功能变更可约定此价格。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