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A5096" w14:textId="6DF1EA01" w:rsidR="00EA7F66" w:rsidRPr="00927266" w:rsidRDefault="00EA7F66" w:rsidP="003E3B10">
      <w:pPr>
        <w:pStyle w:val="Heading1"/>
      </w:pPr>
      <w:r>
        <w:t xml:space="preserve">Intro Pitch: </w:t>
      </w:r>
      <w:r w:rsidR="00804F68">
        <w:br/>
      </w:r>
      <w:r w:rsidRPr="00927266">
        <w:rPr>
          <w:rStyle w:val="Emphasis"/>
          <w:rFonts w:ascii="Arial" w:hAnsi="Arial" w:cs="Arial"/>
          <w:sz w:val="20"/>
          <w:szCs w:val="20"/>
        </w:rPr>
        <w:t>How Manpower Can Win with Internal Career Mobility</w:t>
      </w:r>
    </w:p>
    <w:p w14:paraId="53928167" w14:textId="77777777" w:rsidR="00EA7F66" w:rsidRPr="00927266" w:rsidRDefault="00EA7F66" w:rsidP="003E3B10">
      <w:r w:rsidRPr="00927266">
        <w:t xml:space="preserve">“Our approach is built on the proven </w:t>
      </w:r>
      <w:r w:rsidRPr="00927266">
        <w:rPr>
          <w:rStyle w:val="Strong"/>
          <w:rFonts w:eastAsiaTheme="majorEastAsia"/>
        </w:rPr>
        <w:t>Playing to Win</w:t>
      </w:r>
      <w:r w:rsidRPr="00927266">
        <w:t xml:space="preserve"> logic:</w:t>
      </w:r>
    </w:p>
    <w:p w14:paraId="367B3073" w14:textId="77777777" w:rsidR="00EA7F66" w:rsidRPr="00927266" w:rsidRDefault="00EA7F66" w:rsidP="003E3B10">
      <w:r w:rsidRPr="00927266">
        <w:rPr>
          <w:rStyle w:val="Strong"/>
          <w:rFonts w:eastAsiaTheme="majorEastAsia"/>
        </w:rPr>
        <w:t xml:space="preserve">Where to </w:t>
      </w:r>
      <w:proofErr w:type="gramStart"/>
      <w:r w:rsidRPr="00927266">
        <w:rPr>
          <w:rStyle w:val="Strong"/>
          <w:rFonts w:eastAsiaTheme="majorEastAsia"/>
        </w:rPr>
        <w:t>play</w:t>
      </w:r>
      <w:r w:rsidRPr="00927266">
        <w:t>:</w:t>
      </w:r>
      <w:proofErr w:type="gramEnd"/>
      <w:r w:rsidRPr="00927266">
        <w:t xml:space="preserve"> internal career mobility for large, complex employers — the space where billions are lost annually to unwanted attrition and inefficient redeployment.</w:t>
      </w:r>
    </w:p>
    <w:p w14:paraId="2EFE7210" w14:textId="77777777" w:rsidR="00EA7F66" w:rsidRPr="00927266" w:rsidRDefault="00EA7F66" w:rsidP="003E3B10">
      <w:r w:rsidRPr="00927266">
        <w:rPr>
          <w:rStyle w:val="Strong"/>
          <w:rFonts w:eastAsiaTheme="majorEastAsia"/>
        </w:rPr>
        <w:t>How to win</w:t>
      </w:r>
      <w:r w:rsidRPr="00927266">
        <w:t xml:space="preserve">: by combining Manpower’s </w:t>
      </w:r>
      <w:r w:rsidRPr="00927266">
        <w:rPr>
          <w:rStyle w:val="Emphasis"/>
          <w:rFonts w:eastAsiaTheme="majorEastAsia"/>
        </w:rPr>
        <w:t>unique assets</w:t>
      </w:r>
      <w:r w:rsidRPr="00927266">
        <w:t xml:space="preserve"> — the predictive power of </w:t>
      </w:r>
      <w:r w:rsidRPr="00927266">
        <w:rPr>
          <w:rStyle w:val="Strong"/>
          <w:rFonts w:eastAsiaTheme="majorEastAsia"/>
        </w:rPr>
        <w:t>MEOS</w:t>
      </w:r>
      <w:r w:rsidRPr="00927266">
        <w:t xml:space="preserve"> (forward-looking demand signals) and the execution muscle of </w:t>
      </w:r>
      <w:r w:rsidRPr="00927266">
        <w:rPr>
          <w:rStyle w:val="Strong"/>
          <w:rFonts w:eastAsiaTheme="majorEastAsia"/>
        </w:rPr>
        <w:t>TAPFIN</w:t>
      </w:r>
      <w:r w:rsidRPr="00927266">
        <w:t xml:space="preserve"> (SLA-driven redeployment, supplier networks, and compliance governance) — into a disruptive, outcome-first mobility service.</w:t>
      </w:r>
    </w:p>
    <w:p w14:paraId="726A91D2" w14:textId="77777777" w:rsidR="00EA7F66" w:rsidRPr="00927266" w:rsidRDefault="00EA7F66" w:rsidP="003E3B10">
      <w:r w:rsidRPr="00927266">
        <w:t xml:space="preserve">The </w:t>
      </w:r>
      <w:r w:rsidRPr="00927266">
        <w:rPr>
          <w:rStyle w:val="Strong"/>
          <w:rFonts w:eastAsiaTheme="majorEastAsia"/>
        </w:rPr>
        <w:t>most underserved Job-to-be-Done for employers</w:t>
      </w:r>
      <w:r w:rsidRPr="00927266">
        <w:t xml:space="preserve"> is: </w:t>
      </w:r>
      <w:r w:rsidRPr="00927266">
        <w:rPr>
          <w:rStyle w:val="Emphasis"/>
          <w:rFonts w:eastAsiaTheme="majorEastAsia"/>
        </w:rPr>
        <w:t>‘Help me retain and redeploy my at-risk talent predictably and prove the financial ROI, so I can stop losing millions to churn and external hiring costs.’</w:t>
      </w:r>
      <w:r w:rsidRPr="00927266">
        <w:br/>
        <w:t xml:space="preserve">The </w:t>
      </w:r>
      <w:r w:rsidRPr="00927266">
        <w:rPr>
          <w:rStyle w:val="Strong"/>
          <w:rFonts w:eastAsiaTheme="majorEastAsia"/>
        </w:rPr>
        <w:t>most underserved Job-to-be-Done for employees</w:t>
      </w:r>
      <w:r w:rsidRPr="00927266">
        <w:t xml:space="preserve"> is: </w:t>
      </w:r>
      <w:r w:rsidRPr="00927266">
        <w:rPr>
          <w:rStyle w:val="Emphasis"/>
          <w:rFonts w:eastAsiaTheme="majorEastAsia"/>
        </w:rPr>
        <w:t>‘Help me see a clear, trustworthy path to my next role, with transparent odds and guaranteed outcomes, so I don’t feel I have to leave the company to grow.’</w:t>
      </w:r>
    </w:p>
    <w:p w14:paraId="7D692676" w14:textId="77777777" w:rsidR="00EA7F66" w:rsidRPr="00927266" w:rsidRDefault="00EA7F66" w:rsidP="003E3B10">
      <w:r w:rsidRPr="00927266">
        <w:t xml:space="preserve">Most current solutions — HR platforms, internal job boards, or learning portals — fail at these jobs. They show data, but they don’t </w:t>
      </w:r>
      <w:r w:rsidRPr="00927266">
        <w:rPr>
          <w:rStyle w:val="Strong"/>
          <w:rFonts w:eastAsiaTheme="majorEastAsia"/>
        </w:rPr>
        <w:t>change outcomes</w:t>
      </w:r>
      <w:r w:rsidRPr="00927266">
        <w:t>.</w:t>
      </w:r>
      <w:r w:rsidRPr="00927266">
        <w:br/>
        <w:t xml:space="preserve">Manpower can win here because only we can combine </w:t>
      </w:r>
      <w:r w:rsidRPr="00927266">
        <w:rPr>
          <w:rStyle w:val="Strong"/>
          <w:rFonts w:eastAsiaTheme="majorEastAsia"/>
        </w:rPr>
        <w:t>radar (MEOS)</w:t>
      </w:r>
      <w:r w:rsidRPr="00927266">
        <w:t xml:space="preserve"> with </w:t>
      </w:r>
      <w:r w:rsidRPr="00927266">
        <w:rPr>
          <w:rStyle w:val="Strong"/>
          <w:rFonts w:eastAsiaTheme="majorEastAsia"/>
        </w:rPr>
        <w:t>engine (TAPFIN)</w:t>
      </w:r>
      <w:r w:rsidRPr="00927266">
        <w:t xml:space="preserve"> to deliver what others cannot: </w:t>
      </w:r>
      <w:r w:rsidRPr="00927266">
        <w:rPr>
          <w:rStyle w:val="Emphasis"/>
          <w:rFonts w:eastAsiaTheme="majorEastAsia"/>
        </w:rPr>
        <w:t>a promise-to-placement pipeline that is measurable, compliant, and scalable across industries and geographies.</w:t>
      </w:r>
      <w:r w:rsidRPr="00927266">
        <w:t>”</w:t>
      </w:r>
    </w:p>
    <w:p w14:paraId="45F582C4" w14:textId="77777777" w:rsidR="00EA7F66" w:rsidRPr="00927266" w:rsidRDefault="00540BB4" w:rsidP="003E3B10">
      <w:r w:rsidRPr="00540BB4">
        <w:rPr>
          <w:noProof/>
          <w14:ligatures w14:val="standardContextual"/>
        </w:rPr>
        <w:pict w14:anchorId="73B147BF">
          <v:rect id="_x0000_i1036" alt="" style="width:468pt;height:.05pt;mso-width-percent:0;mso-height-percent:0;mso-width-percent:0;mso-height-percent:0" o:hralign="center" o:hrstd="t" o:hr="t" fillcolor="#a0a0a0" stroked="f"/>
        </w:pict>
      </w:r>
    </w:p>
    <w:p w14:paraId="76A66374" w14:textId="77777777" w:rsidR="00EA7F66" w:rsidRPr="00927266" w:rsidRDefault="00EA7F66" w:rsidP="003E3B10">
      <w:r w:rsidRPr="00927266">
        <w:rPr>
          <w:rFonts w:ascii="Apple Color Emoji" w:hAnsi="Apple Color Emoji" w:cs="Apple Color Emoji"/>
        </w:rPr>
        <w:t>⚡</w:t>
      </w:r>
      <w:r w:rsidRPr="00927266">
        <w:t xml:space="preserve"> This gives you:</w:t>
      </w:r>
    </w:p>
    <w:p w14:paraId="68425991" w14:textId="77777777" w:rsidR="00EA7F66" w:rsidRPr="00927266" w:rsidRDefault="00EA7F66" w:rsidP="003E3B10">
      <w:r w:rsidRPr="00927266">
        <w:t xml:space="preserve">A </w:t>
      </w:r>
      <w:r w:rsidRPr="00927266">
        <w:rPr>
          <w:rStyle w:val="Strong"/>
          <w:rFonts w:eastAsiaTheme="majorEastAsia"/>
        </w:rPr>
        <w:t>strategic framing</w:t>
      </w:r>
      <w:r w:rsidRPr="00927266">
        <w:t xml:space="preserve"> (where to play, how to win).</w:t>
      </w:r>
    </w:p>
    <w:p w14:paraId="5472F640" w14:textId="77777777" w:rsidR="00EA7F66" w:rsidRPr="00927266" w:rsidRDefault="00EA7F66" w:rsidP="003E3B10">
      <w:r w:rsidRPr="00927266">
        <w:t xml:space="preserve">The </w:t>
      </w:r>
      <w:r w:rsidRPr="00927266">
        <w:rPr>
          <w:rStyle w:val="Strong"/>
          <w:rFonts w:eastAsiaTheme="majorEastAsia"/>
        </w:rPr>
        <w:t>two underserved JTBDs</w:t>
      </w:r>
      <w:r w:rsidRPr="00927266">
        <w:t xml:space="preserve"> (one for employers, one for employees).</w:t>
      </w:r>
    </w:p>
    <w:p w14:paraId="595DE8A3" w14:textId="77777777" w:rsidR="00EA7F66" w:rsidRDefault="00EA7F66" w:rsidP="003E3B10">
      <w:r w:rsidRPr="00927266">
        <w:t xml:space="preserve">A sharp articulation of </w:t>
      </w:r>
      <w:r w:rsidRPr="00927266">
        <w:rPr>
          <w:rStyle w:val="Strong"/>
          <w:rFonts w:eastAsiaTheme="majorEastAsia"/>
        </w:rPr>
        <w:t>why Manpower is uniquely positioned</w:t>
      </w:r>
      <w:r w:rsidRPr="00927266">
        <w:t>.</w:t>
      </w:r>
    </w:p>
    <w:p w14:paraId="2951A03E" w14:textId="77777777" w:rsidR="00160E6D" w:rsidRDefault="00160E6D" w:rsidP="00160E6D">
      <w:pPr>
        <w:pStyle w:val="Heading1"/>
      </w:pPr>
      <w:r>
        <w:br w:type="column"/>
      </w:r>
      <w:r>
        <w:lastRenderedPageBreak/>
        <w:t xml:space="preserve">MEOS </w:t>
      </w:r>
      <w:r w:rsidRPr="00160E6D">
        <w:t>and</w:t>
      </w:r>
      <w:r>
        <w:t xml:space="preserve"> TAPFIN – The RADAR and the ENGINE to success</w:t>
      </w:r>
    </w:p>
    <w:p w14:paraId="12E128DB" w14:textId="394864D9" w:rsidR="00160E6D" w:rsidRPr="005F01B9" w:rsidRDefault="00160E6D" w:rsidP="00160E6D">
      <w:pPr>
        <w:pStyle w:val="NormalWeb"/>
        <w:rPr>
          <w:rFonts w:ascii="Arial" w:hAnsi="Arial" w:cs="Arial"/>
          <w:sz w:val="18"/>
          <w:szCs w:val="18"/>
        </w:rPr>
      </w:pPr>
      <w:r w:rsidRPr="005F01B9">
        <w:rPr>
          <w:rStyle w:val="relative"/>
          <w:rFonts w:ascii="Arial" w:eastAsiaTheme="majorEastAsia" w:hAnsi="Arial" w:cs="Arial"/>
          <w:sz w:val="18"/>
          <w:szCs w:val="18"/>
        </w:rPr>
        <w:t xml:space="preserve">ManpowerGroup </w:t>
      </w:r>
      <w:r w:rsidRPr="005F01B9">
        <w:rPr>
          <w:rStyle w:val="Strong"/>
          <w:rFonts w:ascii="Arial" w:eastAsiaTheme="majorEastAsia" w:hAnsi="Arial" w:cs="Arial"/>
          <w:sz w:val="18"/>
          <w:szCs w:val="18"/>
        </w:rPr>
        <w:t>does prominently highlight</w:t>
      </w:r>
      <w:r w:rsidRPr="005F01B9">
        <w:rPr>
          <w:rStyle w:val="relative"/>
          <w:rFonts w:ascii="Arial" w:eastAsiaTheme="majorEastAsia" w:hAnsi="Arial" w:cs="Arial"/>
          <w:sz w:val="18"/>
          <w:szCs w:val="18"/>
        </w:rPr>
        <w:t xml:space="preserve"> both </w:t>
      </w:r>
      <w:r w:rsidRPr="005F01B9">
        <w:rPr>
          <w:rStyle w:val="Strong"/>
          <w:rFonts w:ascii="Arial" w:eastAsiaTheme="majorEastAsia" w:hAnsi="Arial" w:cs="Arial"/>
          <w:sz w:val="18"/>
          <w:szCs w:val="18"/>
        </w:rPr>
        <w:t>MEOS</w:t>
      </w:r>
      <w:r w:rsidRPr="005F01B9">
        <w:rPr>
          <w:rStyle w:val="relative"/>
          <w:rFonts w:ascii="Arial" w:eastAsiaTheme="majorEastAsia" w:hAnsi="Arial" w:cs="Arial"/>
          <w:sz w:val="18"/>
          <w:szCs w:val="18"/>
        </w:rPr>
        <w:t xml:space="preserve"> and </w:t>
      </w:r>
      <w:r w:rsidRPr="005F01B9">
        <w:rPr>
          <w:rStyle w:val="Strong"/>
          <w:rFonts w:ascii="Arial" w:eastAsiaTheme="majorEastAsia" w:hAnsi="Arial" w:cs="Arial"/>
          <w:sz w:val="18"/>
          <w:szCs w:val="18"/>
        </w:rPr>
        <w:t>TAPFIN</w:t>
      </w:r>
      <w:r w:rsidRPr="005F01B9">
        <w:rPr>
          <w:rStyle w:val="relative"/>
          <w:rFonts w:ascii="Arial" w:eastAsiaTheme="majorEastAsia" w:hAnsi="Arial" w:cs="Arial"/>
          <w:sz w:val="18"/>
          <w:szCs w:val="18"/>
        </w:rPr>
        <w:t xml:space="preserve"> as distinctive, strategic assets in its global value proposition.</w:t>
      </w:r>
    </w:p>
    <w:p w14:paraId="228339FC" w14:textId="77777777" w:rsidR="00160E6D" w:rsidRPr="005F01B9" w:rsidRDefault="00160E6D" w:rsidP="00160E6D">
      <w:pPr>
        <w:pStyle w:val="Heading3"/>
        <w:rPr>
          <w:rFonts w:cs="Arial"/>
          <w:sz w:val="18"/>
          <w:szCs w:val="18"/>
        </w:rPr>
      </w:pPr>
      <w:r w:rsidRPr="005F01B9">
        <w:rPr>
          <w:rFonts w:cs="Arial"/>
          <w:sz w:val="18"/>
          <w:szCs w:val="18"/>
        </w:rPr>
        <w:t>MEOS in Manpower’s Global Value Proposition</w:t>
      </w:r>
    </w:p>
    <w:p w14:paraId="1F544786" w14:textId="77777777" w:rsidR="00160E6D" w:rsidRPr="005F01B9" w:rsidRDefault="00160E6D" w:rsidP="00160E6D">
      <w:pPr>
        <w:pStyle w:val="NormalWeb"/>
        <w:numPr>
          <w:ilvl w:val="0"/>
          <w:numId w:val="16"/>
        </w:numPr>
        <w:rPr>
          <w:rFonts w:ascii="Arial" w:hAnsi="Arial" w:cs="Arial"/>
          <w:sz w:val="18"/>
          <w:szCs w:val="18"/>
        </w:rPr>
      </w:pPr>
      <w:r w:rsidRPr="005F01B9">
        <w:rPr>
          <w:rStyle w:val="relative"/>
          <w:rFonts w:ascii="Arial" w:eastAsiaTheme="majorEastAsia" w:hAnsi="Arial" w:cs="Arial"/>
          <w:sz w:val="18"/>
          <w:szCs w:val="18"/>
        </w:rPr>
        <w:t xml:space="preserve">On ManpowerGroup’s main </w:t>
      </w:r>
      <w:r w:rsidRPr="005F01B9">
        <w:rPr>
          <w:rStyle w:val="Strong"/>
          <w:rFonts w:ascii="Arial" w:eastAsiaTheme="majorEastAsia" w:hAnsi="Arial" w:cs="Arial"/>
          <w:sz w:val="18"/>
          <w:szCs w:val="18"/>
        </w:rPr>
        <w:t>Talent Solutions</w:t>
      </w:r>
      <w:r w:rsidRPr="005F01B9">
        <w:rPr>
          <w:rStyle w:val="relative"/>
          <w:rFonts w:ascii="Arial" w:eastAsiaTheme="majorEastAsia" w:hAnsi="Arial" w:cs="Arial"/>
          <w:sz w:val="18"/>
          <w:szCs w:val="18"/>
        </w:rPr>
        <w:t xml:space="preserve"> page, </w:t>
      </w:r>
      <w:r w:rsidRPr="005F01B9">
        <w:rPr>
          <w:rStyle w:val="Strong"/>
          <w:rFonts w:ascii="Arial" w:eastAsiaTheme="majorEastAsia" w:hAnsi="Arial" w:cs="Arial"/>
          <w:sz w:val="18"/>
          <w:szCs w:val="18"/>
        </w:rPr>
        <w:t>MEOS</w:t>
      </w:r>
      <w:r w:rsidRPr="005F01B9">
        <w:rPr>
          <w:rStyle w:val="relative"/>
          <w:rFonts w:ascii="Arial" w:eastAsiaTheme="majorEastAsia" w:hAnsi="Arial" w:cs="Arial"/>
          <w:sz w:val="18"/>
          <w:szCs w:val="18"/>
        </w:rPr>
        <w:t xml:space="preserve"> (Employment Outlook Survey) is listed under "Insights and Intelligence," alongside other flagship intelligence offerings like “Talent Shortage” and “Global Talent Barometer.”</w:t>
      </w:r>
      <w:r w:rsidRPr="005F01B9">
        <w:rPr>
          <w:rFonts w:ascii="Arial" w:hAnsi="Arial" w:cs="Arial"/>
          <w:sz w:val="18"/>
          <w:szCs w:val="18"/>
        </w:rPr>
        <w:t xml:space="preserve"> </w:t>
      </w:r>
      <w:hyperlink r:id="rId5" w:tgtFrame="_blank" w:history="1">
        <w:r w:rsidRPr="005F01B9">
          <w:rPr>
            <w:rStyle w:val="max-w-full"/>
            <w:rFonts w:ascii="Arial" w:hAnsi="Arial" w:cs="Arial"/>
            <w:color w:val="0000FF"/>
            <w:sz w:val="18"/>
            <w:szCs w:val="18"/>
            <w:u w:val="single"/>
          </w:rPr>
          <w:t>investor.manpowergroup.com</w:t>
        </w:r>
        <w:r w:rsidRPr="005F01B9">
          <w:rPr>
            <w:rStyle w:val="-me-1"/>
            <w:rFonts w:ascii="Arial" w:eastAsiaTheme="majorEastAsia" w:hAnsi="Arial" w:cs="Arial"/>
            <w:color w:val="0000FF"/>
            <w:sz w:val="18"/>
            <w:szCs w:val="18"/>
            <w:u w:val="single"/>
          </w:rPr>
          <w:t>+15</w:t>
        </w:r>
        <w:r w:rsidRPr="005F01B9">
          <w:rPr>
            <w:rStyle w:val="max-w-full"/>
            <w:rFonts w:ascii="Arial" w:hAnsi="Arial" w:cs="Arial"/>
            <w:color w:val="0000FF"/>
            <w:sz w:val="18"/>
            <w:szCs w:val="18"/>
            <w:u w:val="single"/>
          </w:rPr>
          <w:t>manpowergroup.com</w:t>
        </w:r>
        <w:r w:rsidRPr="005F01B9">
          <w:rPr>
            <w:rStyle w:val="-me-1"/>
            <w:rFonts w:ascii="Arial" w:eastAsiaTheme="majorEastAsia" w:hAnsi="Arial" w:cs="Arial"/>
            <w:color w:val="0000FF"/>
            <w:sz w:val="18"/>
            <w:szCs w:val="18"/>
            <w:u w:val="single"/>
          </w:rPr>
          <w:t>+15</w:t>
        </w:r>
        <w:r w:rsidRPr="005F01B9">
          <w:rPr>
            <w:rStyle w:val="max-w-full"/>
            <w:rFonts w:ascii="Arial" w:hAnsi="Arial" w:cs="Arial"/>
            <w:color w:val="0000FF"/>
            <w:sz w:val="18"/>
            <w:szCs w:val="18"/>
            <w:u w:val="single"/>
          </w:rPr>
          <w:t>manpowergroup.com</w:t>
        </w:r>
        <w:r w:rsidRPr="005F01B9">
          <w:rPr>
            <w:rStyle w:val="-me-1"/>
            <w:rFonts w:ascii="Arial" w:eastAsiaTheme="majorEastAsia" w:hAnsi="Arial" w:cs="Arial"/>
            <w:color w:val="0000FF"/>
            <w:sz w:val="18"/>
            <w:szCs w:val="18"/>
            <w:u w:val="single"/>
          </w:rPr>
          <w:t>+15</w:t>
        </w:r>
      </w:hyperlink>
    </w:p>
    <w:p w14:paraId="7F48A463" w14:textId="77777777" w:rsidR="00160E6D" w:rsidRPr="005F01B9" w:rsidRDefault="00160E6D" w:rsidP="00160E6D">
      <w:pPr>
        <w:pStyle w:val="NormalWeb"/>
        <w:numPr>
          <w:ilvl w:val="0"/>
          <w:numId w:val="16"/>
        </w:numPr>
        <w:rPr>
          <w:rFonts w:ascii="Arial" w:hAnsi="Arial" w:cs="Arial"/>
          <w:sz w:val="18"/>
          <w:szCs w:val="18"/>
        </w:rPr>
      </w:pPr>
      <w:r w:rsidRPr="005F01B9">
        <w:rPr>
          <w:rStyle w:val="relative"/>
          <w:rFonts w:ascii="Arial" w:eastAsiaTheme="majorEastAsia" w:hAnsi="Arial" w:cs="Arial"/>
          <w:sz w:val="18"/>
          <w:szCs w:val="18"/>
        </w:rPr>
        <w:t xml:space="preserve">This placement makes the MEOS a </w:t>
      </w:r>
      <w:r w:rsidRPr="005F01B9">
        <w:rPr>
          <w:rStyle w:val="Strong"/>
          <w:rFonts w:ascii="Arial" w:eastAsiaTheme="majorEastAsia" w:hAnsi="Arial" w:cs="Arial"/>
          <w:sz w:val="18"/>
          <w:szCs w:val="18"/>
        </w:rPr>
        <w:t>frontline strategic asset</w:t>
      </w:r>
      <w:r w:rsidRPr="005F01B9">
        <w:rPr>
          <w:rStyle w:val="relative"/>
          <w:rFonts w:ascii="Arial" w:eastAsiaTheme="majorEastAsia" w:hAnsi="Arial" w:cs="Arial"/>
          <w:sz w:val="18"/>
          <w:szCs w:val="18"/>
        </w:rPr>
        <w:t xml:space="preserve"> — not buried in research, but integral to how Manpower positions its thought leadership and advisory capabilities.</w:t>
      </w:r>
    </w:p>
    <w:p w14:paraId="008FC223" w14:textId="77777777" w:rsidR="00160E6D" w:rsidRPr="005F01B9" w:rsidRDefault="00160E6D" w:rsidP="00160E6D">
      <w:pPr>
        <w:pStyle w:val="Heading3"/>
        <w:rPr>
          <w:rFonts w:cs="Arial"/>
          <w:sz w:val="18"/>
          <w:szCs w:val="18"/>
        </w:rPr>
      </w:pPr>
      <w:r w:rsidRPr="005F01B9">
        <w:rPr>
          <w:rFonts w:cs="Arial"/>
          <w:sz w:val="18"/>
          <w:szCs w:val="18"/>
        </w:rPr>
        <w:t>TAPFIN’s Prominence and Recognition</w:t>
      </w:r>
    </w:p>
    <w:p w14:paraId="26176A05" w14:textId="77777777" w:rsidR="00160E6D" w:rsidRPr="005F01B9" w:rsidRDefault="00160E6D" w:rsidP="00160E6D">
      <w:pPr>
        <w:pStyle w:val="NormalWeb"/>
        <w:numPr>
          <w:ilvl w:val="0"/>
          <w:numId w:val="17"/>
        </w:numPr>
        <w:rPr>
          <w:rFonts w:ascii="Arial" w:hAnsi="Arial" w:cs="Arial"/>
          <w:sz w:val="18"/>
          <w:szCs w:val="18"/>
        </w:rPr>
      </w:pPr>
      <w:r w:rsidRPr="005F01B9">
        <w:rPr>
          <w:rStyle w:val="Strong"/>
          <w:rFonts w:ascii="Arial" w:eastAsiaTheme="majorEastAsia" w:hAnsi="Arial" w:cs="Arial"/>
          <w:sz w:val="18"/>
          <w:szCs w:val="18"/>
        </w:rPr>
        <w:t>TAPFIN is explicitly branded</w:t>
      </w:r>
      <w:r w:rsidRPr="005F01B9">
        <w:rPr>
          <w:rStyle w:val="relative"/>
          <w:rFonts w:ascii="Arial" w:eastAsiaTheme="majorEastAsia" w:hAnsi="Arial" w:cs="Arial"/>
          <w:sz w:val="18"/>
          <w:szCs w:val="18"/>
        </w:rPr>
        <w:t xml:space="preserve"> as the Group’s global </w:t>
      </w:r>
      <w:r w:rsidRPr="005F01B9">
        <w:rPr>
          <w:rStyle w:val="Strong"/>
          <w:rFonts w:ascii="Arial" w:eastAsiaTheme="majorEastAsia" w:hAnsi="Arial" w:cs="Arial"/>
          <w:sz w:val="18"/>
          <w:szCs w:val="18"/>
        </w:rPr>
        <w:t>Managed Service Provider (MSP)</w:t>
      </w:r>
      <w:r w:rsidRPr="005F01B9">
        <w:rPr>
          <w:rStyle w:val="relative"/>
          <w:rFonts w:ascii="Arial" w:eastAsiaTheme="majorEastAsia" w:hAnsi="Arial" w:cs="Arial"/>
          <w:sz w:val="18"/>
          <w:szCs w:val="18"/>
        </w:rPr>
        <w:t xml:space="preserve"> offering in Talent Solutions, placed prominently at the top of their service listing.</w:t>
      </w:r>
      <w:r w:rsidRPr="005F01B9">
        <w:rPr>
          <w:rFonts w:ascii="Arial" w:hAnsi="Arial" w:cs="Arial"/>
          <w:sz w:val="18"/>
          <w:szCs w:val="18"/>
        </w:rPr>
        <w:t xml:space="preserve"> </w:t>
      </w:r>
      <w:hyperlink r:id="rId6" w:tgtFrame="_blank" w:history="1">
        <w:r w:rsidRPr="005F01B9">
          <w:rPr>
            <w:rStyle w:val="max-w-full"/>
            <w:rFonts w:ascii="Arial" w:hAnsi="Arial" w:cs="Arial"/>
            <w:color w:val="0000FF"/>
            <w:sz w:val="18"/>
            <w:szCs w:val="18"/>
            <w:u w:val="single"/>
          </w:rPr>
          <w:t>manpowergroup.com</w:t>
        </w:r>
      </w:hyperlink>
    </w:p>
    <w:p w14:paraId="6B4B0939" w14:textId="77777777" w:rsidR="00160E6D" w:rsidRPr="005F01B9" w:rsidRDefault="00160E6D" w:rsidP="00160E6D">
      <w:pPr>
        <w:pStyle w:val="NormalWeb"/>
        <w:numPr>
          <w:ilvl w:val="0"/>
          <w:numId w:val="17"/>
        </w:numPr>
        <w:rPr>
          <w:rFonts w:ascii="Arial" w:hAnsi="Arial" w:cs="Arial"/>
          <w:sz w:val="18"/>
          <w:szCs w:val="18"/>
        </w:rPr>
      </w:pPr>
      <w:r w:rsidRPr="005F01B9">
        <w:rPr>
          <w:rStyle w:val="relative"/>
          <w:rFonts w:ascii="Arial" w:eastAsiaTheme="majorEastAsia" w:hAnsi="Arial" w:cs="Arial"/>
          <w:sz w:val="18"/>
          <w:szCs w:val="18"/>
        </w:rPr>
        <w:t xml:space="preserve">In January 2020, ManpowerGroup launched its </w:t>
      </w:r>
      <w:r w:rsidRPr="005F01B9">
        <w:rPr>
          <w:rStyle w:val="Strong"/>
          <w:rFonts w:ascii="Arial" w:eastAsiaTheme="majorEastAsia" w:hAnsi="Arial" w:cs="Arial"/>
          <w:sz w:val="18"/>
          <w:szCs w:val="18"/>
        </w:rPr>
        <w:t>“Talent Solutions”</w:t>
      </w:r>
      <w:r w:rsidRPr="005F01B9">
        <w:rPr>
          <w:rStyle w:val="relative"/>
          <w:rFonts w:ascii="Arial" w:eastAsiaTheme="majorEastAsia" w:hAnsi="Arial" w:cs="Arial"/>
          <w:sz w:val="18"/>
          <w:szCs w:val="18"/>
        </w:rPr>
        <w:t xml:space="preserve"> brand specifically to integrate TAPFIN (MSP), RPO, and Right Management — signaling TAPFIN’s central strategic role.</w:t>
      </w:r>
      <w:r w:rsidRPr="005F01B9">
        <w:rPr>
          <w:rFonts w:ascii="Arial" w:hAnsi="Arial" w:cs="Arial"/>
          <w:sz w:val="18"/>
          <w:szCs w:val="18"/>
        </w:rPr>
        <w:t xml:space="preserve"> </w:t>
      </w:r>
      <w:hyperlink r:id="rId7" w:tgtFrame="_blank" w:history="1">
        <w:r w:rsidRPr="005F01B9">
          <w:rPr>
            <w:rStyle w:val="max-w-full"/>
            <w:rFonts w:ascii="Arial" w:hAnsi="Arial" w:cs="Arial"/>
            <w:color w:val="0000FF"/>
            <w:sz w:val="18"/>
            <w:szCs w:val="18"/>
            <w:u w:val="single"/>
          </w:rPr>
          <w:t>investor.manpowergroup.com</w:t>
        </w:r>
        <w:r w:rsidRPr="005F01B9">
          <w:rPr>
            <w:rStyle w:val="-me-1"/>
            <w:rFonts w:ascii="Arial" w:eastAsiaTheme="majorEastAsia" w:hAnsi="Arial" w:cs="Arial"/>
            <w:color w:val="0000FF"/>
            <w:sz w:val="18"/>
            <w:szCs w:val="18"/>
            <w:u w:val="single"/>
          </w:rPr>
          <w:t>+15</w:t>
        </w:r>
        <w:r w:rsidRPr="005F01B9">
          <w:rPr>
            <w:rStyle w:val="max-w-full"/>
            <w:rFonts w:ascii="Arial" w:hAnsi="Arial" w:cs="Arial"/>
            <w:color w:val="0000FF"/>
            <w:sz w:val="18"/>
            <w:szCs w:val="18"/>
            <w:u w:val="single"/>
          </w:rPr>
          <w:t>manpowergroup.com</w:t>
        </w:r>
        <w:r w:rsidRPr="005F01B9">
          <w:rPr>
            <w:rStyle w:val="-me-1"/>
            <w:rFonts w:ascii="Arial" w:eastAsiaTheme="majorEastAsia" w:hAnsi="Arial" w:cs="Arial"/>
            <w:color w:val="0000FF"/>
            <w:sz w:val="18"/>
            <w:szCs w:val="18"/>
            <w:u w:val="single"/>
          </w:rPr>
          <w:t>+15</w:t>
        </w:r>
        <w:r w:rsidRPr="005F01B9">
          <w:rPr>
            <w:rStyle w:val="max-w-full"/>
            <w:rFonts w:ascii="Arial" w:hAnsi="Arial" w:cs="Arial"/>
            <w:color w:val="0000FF"/>
            <w:sz w:val="18"/>
            <w:szCs w:val="18"/>
            <w:u w:val="single"/>
          </w:rPr>
          <w:t>techrseries.com</w:t>
        </w:r>
        <w:r w:rsidRPr="005F01B9">
          <w:rPr>
            <w:rStyle w:val="-me-1"/>
            <w:rFonts w:ascii="Arial" w:eastAsiaTheme="majorEastAsia" w:hAnsi="Arial" w:cs="Arial"/>
            <w:color w:val="0000FF"/>
            <w:sz w:val="18"/>
            <w:szCs w:val="18"/>
            <w:u w:val="single"/>
          </w:rPr>
          <w:t>+15</w:t>
        </w:r>
      </w:hyperlink>
    </w:p>
    <w:p w14:paraId="38ADB905" w14:textId="77777777" w:rsidR="00160E6D" w:rsidRPr="005F01B9" w:rsidRDefault="00160E6D" w:rsidP="00160E6D">
      <w:pPr>
        <w:pStyle w:val="NormalWeb"/>
        <w:numPr>
          <w:ilvl w:val="0"/>
          <w:numId w:val="17"/>
        </w:numPr>
        <w:rPr>
          <w:rFonts w:ascii="Arial" w:hAnsi="Arial" w:cs="Arial"/>
          <w:sz w:val="18"/>
          <w:szCs w:val="18"/>
        </w:rPr>
      </w:pPr>
      <w:r w:rsidRPr="005F01B9">
        <w:rPr>
          <w:rStyle w:val="relative"/>
          <w:rFonts w:ascii="Arial" w:eastAsiaTheme="majorEastAsia" w:hAnsi="Arial" w:cs="Arial"/>
          <w:sz w:val="18"/>
          <w:szCs w:val="18"/>
        </w:rPr>
        <w:t>TAPFIN’s market leadership is regularly reinforced:</w:t>
      </w:r>
    </w:p>
    <w:p w14:paraId="7B9FC6DC" w14:textId="77777777" w:rsidR="00160E6D" w:rsidRPr="005F01B9" w:rsidRDefault="00160E6D" w:rsidP="00160E6D">
      <w:pPr>
        <w:pStyle w:val="NormalWeb"/>
        <w:numPr>
          <w:ilvl w:val="1"/>
          <w:numId w:val="17"/>
        </w:numPr>
        <w:rPr>
          <w:rFonts w:ascii="Arial" w:hAnsi="Arial" w:cs="Arial"/>
          <w:sz w:val="18"/>
          <w:szCs w:val="18"/>
        </w:rPr>
      </w:pPr>
      <w:r w:rsidRPr="005F01B9">
        <w:rPr>
          <w:rStyle w:val="relative"/>
          <w:rFonts w:ascii="Arial" w:eastAsiaTheme="majorEastAsia" w:hAnsi="Arial" w:cs="Arial"/>
          <w:sz w:val="18"/>
          <w:szCs w:val="18"/>
        </w:rPr>
        <w:t xml:space="preserve">Recognized as a </w:t>
      </w:r>
      <w:r w:rsidRPr="005F01B9">
        <w:rPr>
          <w:rStyle w:val="Strong"/>
          <w:rFonts w:ascii="Arial" w:eastAsiaTheme="majorEastAsia" w:hAnsi="Arial" w:cs="Arial"/>
          <w:sz w:val="18"/>
          <w:szCs w:val="18"/>
        </w:rPr>
        <w:t>Global Leader</w:t>
      </w:r>
      <w:r w:rsidRPr="005F01B9">
        <w:rPr>
          <w:rStyle w:val="relative"/>
          <w:rFonts w:ascii="Arial" w:eastAsiaTheme="majorEastAsia" w:hAnsi="Arial" w:cs="Arial"/>
          <w:sz w:val="18"/>
          <w:szCs w:val="18"/>
        </w:rPr>
        <w:t xml:space="preserve"> in Everest Group’s MSP assessments — </w:t>
      </w:r>
      <w:r w:rsidRPr="005F01B9">
        <w:rPr>
          <w:rStyle w:val="Strong"/>
          <w:rFonts w:ascii="Arial" w:eastAsiaTheme="majorEastAsia" w:hAnsi="Arial" w:cs="Arial"/>
          <w:sz w:val="18"/>
          <w:szCs w:val="18"/>
        </w:rPr>
        <w:t>11 consecutive years</w:t>
      </w:r>
      <w:r w:rsidRPr="005F01B9">
        <w:rPr>
          <w:rStyle w:val="relative"/>
          <w:rFonts w:ascii="Arial" w:eastAsiaTheme="majorEastAsia" w:hAnsi="Arial" w:cs="Arial"/>
          <w:sz w:val="18"/>
          <w:szCs w:val="18"/>
        </w:rPr>
        <w:t xml:space="preserve"> (as of 2024), including Star Performer status.</w:t>
      </w:r>
      <w:r w:rsidRPr="005F01B9">
        <w:rPr>
          <w:rFonts w:ascii="Arial" w:hAnsi="Arial" w:cs="Arial"/>
          <w:sz w:val="18"/>
          <w:szCs w:val="18"/>
        </w:rPr>
        <w:t xml:space="preserve"> </w:t>
      </w:r>
      <w:hyperlink r:id="rId8" w:tgtFrame="_blank" w:history="1">
        <w:r w:rsidRPr="005F01B9">
          <w:rPr>
            <w:rStyle w:val="max-w-full"/>
            <w:rFonts w:ascii="Arial" w:hAnsi="Arial" w:cs="Arial"/>
            <w:color w:val="0000FF"/>
            <w:sz w:val="18"/>
            <w:szCs w:val="18"/>
            <w:u w:val="single"/>
          </w:rPr>
          <w:t>prnewswire.com</w:t>
        </w:r>
      </w:hyperlink>
      <w:hyperlink r:id="rId9" w:tgtFrame="_blank" w:history="1">
        <w:r w:rsidRPr="005F01B9">
          <w:rPr>
            <w:rStyle w:val="max-w-full"/>
            <w:rFonts w:ascii="Arial" w:hAnsi="Arial" w:cs="Arial"/>
            <w:color w:val="0000FF"/>
            <w:sz w:val="18"/>
            <w:szCs w:val="18"/>
            <w:u w:val="single"/>
          </w:rPr>
          <w:t>prnewswire.com</w:t>
        </w:r>
        <w:r w:rsidRPr="005F01B9">
          <w:rPr>
            <w:rStyle w:val="-me-1"/>
            <w:rFonts w:ascii="Arial" w:eastAsiaTheme="majorEastAsia" w:hAnsi="Arial" w:cs="Arial"/>
            <w:color w:val="0000FF"/>
            <w:sz w:val="18"/>
            <w:szCs w:val="18"/>
            <w:u w:val="single"/>
          </w:rPr>
          <w:t>+5</w:t>
        </w:r>
        <w:r w:rsidRPr="005F01B9">
          <w:rPr>
            <w:rStyle w:val="max-w-full"/>
            <w:rFonts w:ascii="Arial" w:hAnsi="Arial" w:cs="Arial"/>
            <w:color w:val="0000FF"/>
            <w:sz w:val="18"/>
            <w:szCs w:val="18"/>
            <w:u w:val="single"/>
          </w:rPr>
          <w:t>investor.manpowergroup.com</w:t>
        </w:r>
        <w:r w:rsidRPr="005F01B9">
          <w:rPr>
            <w:rStyle w:val="-me-1"/>
            <w:rFonts w:ascii="Arial" w:eastAsiaTheme="majorEastAsia" w:hAnsi="Arial" w:cs="Arial"/>
            <w:color w:val="0000FF"/>
            <w:sz w:val="18"/>
            <w:szCs w:val="18"/>
            <w:u w:val="single"/>
          </w:rPr>
          <w:t>+5</w:t>
        </w:r>
        <w:r w:rsidRPr="005F01B9">
          <w:rPr>
            <w:rStyle w:val="max-w-full"/>
            <w:rFonts w:ascii="Arial" w:hAnsi="Arial" w:cs="Arial"/>
            <w:color w:val="0000FF"/>
            <w:sz w:val="18"/>
            <w:szCs w:val="18"/>
            <w:u w:val="single"/>
          </w:rPr>
          <w:t>manpowergroup.com</w:t>
        </w:r>
        <w:r w:rsidRPr="005F01B9">
          <w:rPr>
            <w:rStyle w:val="-me-1"/>
            <w:rFonts w:ascii="Arial" w:eastAsiaTheme="majorEastAsia" w:hAnsi="Arial" w:cs="Arial"/>
            <w:color w:val="0000FF"/>
            <w:sz w:val="18"/>
            <w:szCs w:val="18"/>
            <w:u w:val="single"/>
          </w:rPr>
          <w:t>+5</w:t>
        </w:r>
      </w:hyperlink>
    </w:p>
    <w:p w14:paraId="3B9CE227" w14:textId="77777777" w:rsidR="00160E6D" w:rsidRPr="005F01B9" w:rsidRDefault="00160E6D" w:rsidP="00160E6D">
      <w:pPr>
        <w:pStyle w:val="NormalWeb"/>
        <w:numPr>
          <w:ilvl w:val="1"/>
          <w:numId w:val="17"/>
        </w:numPr>
        <w:rPr>
          <w:rFonts w:ascii="Arial" w:hAnsi="Arial" w:cs="Arial"/>
          <w:sz w:val="18"/>
          <w:szCs w:val="18"/>
        </w:rPr>
      </w:pPr>
      <w:r w:rsidRPr="005F01B9">
        <w:rPr>
          <w:rStyle w:val="relative"/>
          <w:rFonts w:ascii="Arial" w:eastAsiaTheme="majorEastAsia" w:hAnsi="Arial" w:cs="Arial"/>
          <w:sz w:val="18"/>
          <w:szCs w:val="18"/>
        </w:rPr>
        <w:t xml:space="preserve">Awarded </w:t>
      </w:r>
      <w:r w:rsidRPr="005F01B9">
        <w:rPr>
          <w:rStyle w:val="Strong"/>
          <w:rFonts w:ascii="Arial" w:eastAsiaTheme="majorEastAsia" w:hAnsi="Arial" w:cs="Arial"/>
          <w:sz w:val="18"/>
          <w:szCs w:val="18"/>
        </w:rPr>
        <w:t>Global Leader</w:t>
      </w:r>
      <w:r w:rsidRPr="005F01B9">
        <w:rPr>
          <w:rStyle w:val="relative"/>
          <w:rFonts w:ascii="Arial" w:eastAsiaTheme="majorEastAsia" w:hAnsi="Arial" w:cs="Arial"/>
          <w:sz w:val="18"/>
          <w:szCs w:val="18"/>
        </w:rPr>
        <w:t xml:space="preserve"> in Everest’s MSP evaluations </w:t>
      </w:r>
      <w:r w:rsidRPr="005F01B9">
        <w:rPr>
          <w:rStyle w:val="Strong"/>
          <w:rFonts w:ascii="Arial" w:eastAsiaTheme="majorEastAsia" w:hAnsi="Arial" w:cs="Arial"/>
          <w:sz w:val="18"/>
          <w:szCs w:val="18"/>
        </w:rPr>
        <w:t>for 10 consecutive years</w:t>
      </w:r>
      <w:r w:rsidRPr="005F01B9">
        <w:rPr>
          <w:rStyle w:val="relative"/>
          <w:rFonts w:ascii="Arial" w:eastAsiaTheme="majorEastAsia" w:hAnsi="Arial" w:cs="Arial"/>
          <w:sz w:val="18"/>
          <w:szCs w:val="18"/>
        </w:rPr>
        <w:t xml:space="preserve"> by 2023.</w:t>
      </w:r>
      <w:r w:rsidRPr="005F01B9">
        <w:rPr>
          <w:rFonts w:ascii="Arial" w:hAnsi="Arial" w:cs="Arial"/>
          <w:sz w:val="18"/>
          <w:szCs w:val="18"/>
        </w:rPr>
        <w:t xml:space="preserve"> </w:t>
      </w:r>
      <w:hyperlink r:id="rId10" w:tgtFrame="_blank" w:history="1">
        <w:r w:rsidRPr="005F01B9">
          <w:rPr>
            <w:rStyle w:val="max-w-full"/>
            <w:rFonts w:ascii="Arial" w:hAnsi="Arial" w:cs="Arial"/>
            <w:color w:val="0000FF"/>
            <w:sz w:val="18"/>
            <w:szCs w:val="18"/>
            <w:u w:val="single"/>
          </w:rPr>
          <w:t>manpowergroup.com</w:t>
        </w:r>
      </w:hyperlink>
    </w:p>
    <w:p w14:paraId="0C9CD228" w14:textId="77777777" w:rsidR="00160E6D" w:rsidRPr="005F01B9" w:rsidRDefault="00160E6D" w:rsidP="00160E6D">
      <w:pPr>
        <w:pStyle w:val="NormalWeb"/>
        <w:numPr>
          <w:ilvl w:val="1"/>
          <w:numId w:val="17"/>
        </w:numPr>
        <w:rPr>
          <w:rFonts w:ascii="Arial" w:hAnsi="Arial" w:cs="Arial"/>
          <w:sz w:val="18"/>
          <w:szCs w:val="18"/>
        </w:rPr>
      </w:pPr>
      <w:r w:rsidRPr="005F01B9">
        <w:rPr>
          <w:rStyle w:val="relative"/>
          <w:rFonts w:ascii="Arial" w:eastAsiaTheme="majorEastAsia" w:hAnsi="Arial" w:cs="Arial"/>
          <w:sz w:val="18"/>
          <w:szCs w:val="18"/>
        </w:rPr>
        <w:t xml:space="preserve">Described by clients as standout in </w:t>
      </w:r>
      <w:r w:rsidRPr="005F01B9">
        <w:rPr>
          <w:rStyle w:val="Strong"/>
          <w:rFonts w:ascii="Arial" w:eastAsiaTheme="majorEastAsia" w:hAnsi="Arial" w:cs="Arial"/>
          <w:sz w:val="18"/>
          <w:szCs w:val="18"/>
        </w:rPr>
        <w:t>value delivered, technology innovation (</w:t>
      </w:r>
      <w:proofErr w:type="spellStart"/>
      <w:r w:rsidRPr="005F01B9">
        <w:rPr>
          <w:rStyle w:val="Strong"/>
          <w:rFonts w:ascii="Arial" w:eastAsiaTheme="majorEastAsia" w:hAnsi="Arial" w:cs="Arial"/>
          <w:sz w:val="18"/>
          <w:szCs w:val="18"/>
        </w:rPr>
        <w:t>Inte</w:t>
      </w:r>
      <w:proofErr w:type="spellEnd"/>
      <w:r w:rsidRPr="005F01B9">
        <w:rPr>
          <w:rStyle w:val="Strong"/>
          <w:rFonts w:ascii="Arial" w:eastAsiaTheme="majorEastAsia" w:hAnsi="Arial" w:cs="Arial"/>
          <w:sz w:val="18"/>
          <w:szCs w:val="18"/>
        </w:rPr>
        <w:t>l</w:t>
      </w:r>
      <w:proofErr w:type="spellStart"/>
      <w:r w:rsidRPr="005F01B9">
        <w:rPr>
          <w:rStyle w:val="Strong"/>
          <w:rFonts w:ascii="Arial" w:eastAsiaTheme="majorEastAsia" w:hAnsi="Arial" w:cs="Arial"/>
          <w:sz w:val="18"/>
          <w:szCs w:val="18"/>
        </w:rPr>
        <w:t>liReach BI),</w:t>
      </w:r>
      <w:proofErr w:type="spellEnd"/>
      <w:r w:rsidRPr="005F01B9">
        <w:rPr>
          <w:rStyle w:val="Strong"/>
          <w:rFonts w:ascii="Arial" w:eastAsiaTheme="majorEastAsia" w:hAnsi="Arial" w:cs="Arial"/>
          <w:sz w:val="18"/>
          <w:szCs w:val="18"/>
        </w:rPr>
        <w:t xml:space="preserve"> global footprint, and analytics capabilities</w:t>
      </w:r>
      <w:r w:rsidRPr="005F01B9">
        <w:rPr>
          <w:rStyle w:val="relative"/>
          <w:rFonts w:ascii="Arial" w:eastAsiaTheme="majorEastAsia" w:hAnsi="Arial" w:cs="Arial"/>
          <w:sz w:val="18"/>
          <w:szCs w:val="18"/>
        </w:rPr>
        <w:t>.</w:t>
      </w:r>
      <w:r w:rsidRPr="005F01B9">
        <w:rPr>
          <w:rFonts w:ascii="Arial" w:hAnsi="Arial" w:cs="Arial"/>
          <w:sz w:val="18"/>
          <w:szCs w:val="18"/>
        </w:rPr>
        <w:t xml:space="preserve"> </w:t>
      </w:r>
      <w:hyperlink r:id="rId11" w:tgtFrame="_blank" w:history="1">
        <w:r w:rsidRPr="005F01B9">
          <w:rPr>
            <w:rStyle w:val="max-w-full"/>
            <w:rFonts w:ascii="Arial" w:hAnsi="Arial" w:cs="Arial"/>
            <w:color w:val="0000FF"/>
            <w:sz w:val="18"/>
            <w:szCs w:val="18"/>
            <w:u w:val="single"/>
          </w:rPr>
          <w:t>manpowergroup.com</w:t>
        </w:r>
        <w:r w:rsidRPr="005F01B9">
          <w:rPr>
            <w:rStyle w:val="-me-1"/>
            <w:rFonts w:ascii="Arial" w:eastAsiaTheme="majorEastAsia" w:hAnsi="Arial" w:cs="Arial"/>
            <w:color w:val="0000FF"/>
            <w:sz w:val="18"/>
            <w:szCs w:val="18"/>
            <w:u w:val="single"/>
          </w:rPr>
          <w:t>+4</w:t>
        </w:r>
        <w:r w:rsidRPr="005F01B9">
          <w:rPr>
            <w:rStyle w:val="max-w-full"/>
            <w:rFonts w:ascii="Arial" w:hAnsi="Arial" w:cs="Arial"/>
            <w:color w:val="0000FF"/>
            <w:sz w:val="18"/>
            <w:szCs w:val="18"/>
            <w:u w:val="single"/>
          </w:rPr>
          <w:t>manpowergroup.com</w:t>
        </w:r>
        <w:r w:rsidRPr="005F01B9">
          <w:rPr>
            <w:rStyle w:val="-me-1"/>
            <w:rFonts w:ascii="Arial" w:eastAsiaTheme="majorEastAsia" w:hAnsi="Arial" w:cs="Arial"/>
            <w:color w:val="0000FF"/>
            <w:sz w:val="18"/>
            <w:szCs w:val="18"/>
            <w:u w:val="single"/>
          </w:rPr>
          <w:t>+4</w:t>
        </w:r>
        <w:r w:rsidRPr="005F01B9">
          <w:rPr>
            <w:rStyle w:val="max-w-full"/>
            <w:rFonts w:ascii="Arial" w:hAnsi="Arial" w:cs="Arial"/>
            <w:color w:val="0000FF"/>
            <w:sz w:val="18"/>
            <w:szCs w:val="18"/>
            <w:u w:val="single"/>
          </w:rPr>
          <w:t>prnewswire.com</w:t>
        </w:r>
        <w:r w:rsidRPr="005F01B9">
          <w:rPr>
            <w:rStyle w:val="-me-1"/>
            <w:rFonts w:ascii="Arial" w:eastAsiaTheme="majorEastAsia" w:hAnsi="Arial" w:cs="Arial"/>
            <w:color w:val="0000FF"/>
            <w:sz w:val="18"/>
            <w:szCs w:val="18"/>
            <w:u w:val="single"/>
          </w:rPr>
          <w:t>+4</w:t>
        </w:r>
      </w:hyperlink>
    </w:p>
    <w:p w14:paraId="119A1F7B" w14:textId="77777777" w:rsidR="00160E6D" w:rsidRPr="005F01B9" w:rsidRDefault="00160E6D" w:rsidP="00160E6D">
      <w:pPr>
        <w:pStyle w:val="Heading3"/>
        <w:rPr>
          <w:rFonts w:cs="Arial"/>
          <w:sz w:val="18"/>
          <w:szCs w:val="18"/>
        </w:rPr>
      </w:pPr>
      <w:r w:rsidRPr="005F01B9">
        <w:rPr>
          <w:rFonts w:cs="Arial"/>
          <w:sz w:val="18"/>
          <w:szCs w:val="18"/>
        </w:rPr>
        <w:t>Summary</w:t>
      </w:r>
    </w:p>
    <w:p w14:paraId="60B67857" w14:textId="77777777" w:rsidR="00160E6D" w:rsidRPr="005F01B9" w:rsidRDefault="00160E6D" w:rsidP="00160E6D">
      <w:pPr>
        <w:pStyle w:val="NormalWeb"/>
        <w:numPr>
          <w:ilvl w:val="0"/>
          <w:numId w:val="18"/>
        </w:numPr>
        <w:rPr>
          <w:rFonts w:ascii="Arial" w:hAnsi="Arial" w:cs="Arial"/>
          <w:sz w:val="18"/>
          <w:szCs w:val="18"/>
        </w:rPr>
      </w:pPr>
      <w:r w:rsidRPr="005F01B9">
        <w:rPr>
          <w:rStyle w:val="Strong"/>
          <w:rFonts w:ascii="Arial" w:eastAsiaTheme="majorEastAsia" w:hAnsi="Arial" w:cs="Arial"/>
          <w:sz w:val="18"/>
          <w:szCs w:val="18"/>
        </w:rPr>
        <w:t>MEOS</w:t>
      </w:r>
      <w:r w:rsidRPr="005F01B9">
        <w:rPr>
          <w:rFonts w:ascii="Arial" w:hAnsi="Arial" w:cs="Arial"/>
          <w:sz w:val="18"/>
          <w:szCs w:val="18"/>
        </w:rPr>
        <w:t xml:space="preserve"> is showcased as a core source of labor market intelligence and insight, used to inform strategies and position Manpower as a data-driven authority.</w:t>
      </w:r>
    </w:p>
    <w:p w14:paraId="53338675" w14:textId="77777777" w:rsidR="00160E6D" w:rsidRPr="005F01B9" w:rsidRDefault="00160E6D" w:rsidP="00160E6D">
      <w:pPr>
        <w:pStyle w:val="NormalWeb"/>
        <w:numPr>
          <w:ilvl w:val="0"/>
          <w:numId w:val="18"/>
        </w:numPr>
        <w:rPr>
          <w:rFonts w:ascii="Arial" w:hAnsi="Arial" w:cs="Arial"/>
          <w:sz w:val="18"/>
          <w:szCs w:val="18"/>
        </w:rPr>
      </w:pPr>
      <w:r w:rsidRPr="005F01B9">
        <w:rPr>
          <w:rStyle w:val="Strong"/>
          <w:rFonts w:ascii="Arial" w:eastAsiaTheme="majorEastAsia" w:hAnsi="Arial" w:cs="Arial"/>
          <w:sz w:val="18"/>
          <w:szCs w:val="18"/>
        </w:rPr>
        <w:t>TAPFIN</w:t>
      </w:r>
      <w:r w:rsidRPr="005F01B9">
        <w:rPr>
          <w:rFonts w:ascii="Arial" w:hAnsi="Arial" w:cs="Arial"/>
          <w:sz w:val="18"/>
          <w:szCs w:val="18"/>
        </w:rPr>
        <w:t xml:space="preserve"> is featured front-and-center as the MSP backbone of Talent Solutions, continuously earning external validation through leadership rankings and awards.</w:t>
      </w:r>
    </w:p>
    <w:p w14:paraId="7ABA2312" w14:textId="77777777" w:rsidR="00160E6D" w:rsidRPr="005F01B9" w:rsidRDefault="00160E6D" w:rsidP="00160E6D">
      <w:pPr>
        <w:pStyle w:val="NormalWeb"/>
        <w:rPr>
          <w:rFonts w:ascii="Arial" w:hAnsi="Arial" w:cs="Arial"/>
          <w:sz w:val="18"/>
          <w:szCs w:val="18"/>
        </w:rPr>
      </w:pPr>
      <w:r w:rsidRPr="005F01B9">
        <w:rPr>
          <w:rFonts w:ascii="Arial" w:hAnsi="Arial" w:cs="Arial"/>
          <w:sz w:val="18"/>
          <w:szCs w:val="18"/>
          <w:highlight w:val="yellow"/>
        </w:rPr>
        <w:t xml:space="preserve">Together, they form the dual pillars — one providing </w:t>
      </w:r>
      <w:r w:rsidRPr="005F01B9">
        <w:rPr>
          <w:rStyle w:val="Strong"/>
          <w:rFonts w:ascii="Arial" w:eastAsiaTheme="majorEastAsia" w:hAnsi="Arial" w:cs="Arial"/>
          <w:sz w:val="18"/>
          <w:szCs w:val="18"/>
          <w:highlight w:val="yellow"/>
        </w:rPr>
        <w:t>forward-looking market insight</w:t>
      </w:r>
      <w:r w:rsidRPr="005F01B9">
        <w:rPr>
          <w:rFonts w:ascii="Arial" w:hAnsi="Arial" w:cs="Arial"/>
          <w:sz w:val="18"/>
          <w:szCs w:val="18"/>
          <w:highlight w:val="yellow"/>
        </w:rPr>
        <w:t xml:space="preserve">, the other delivering </w:t>
      </w:r>
      <w:r w:rsidRPr="005F01B9">
        <w:rPr>
          <w:rStyle w:val="Strong"/>
          <w:rFonts w:ascii="Arial" w:eastAsiaTheme="majorEastAsia" w:hAnsi="Arial" w:cs="Arial"/>
          <w:sz w:val="18"/>
          <w:szCs w:val="18"/>
          <w:highlight w:val="yellow"/>
        </w:rPr>
        <w:t>executional excellence</w:t>
      </w:r>
      <w:r w:rsidRPr="005F01B9">
        <w:rPr>
          <w:rFonts w:ascii="Arial" w:hAnsi="Arial" w:cs="Arial"/>
          <w:sz w:val="18"/>
          <w:szCs w:val="18"/>
          <w:highlight w:val="yellow"/>
        </w:rPr>
        <w:t xml:space="preserve"> — that underpin Manpower’s differentiated value proposition globally.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2008"/>
        <w:gridCol w:w="2169"/>
        <w:gridCol w:w="2897"/>
        <w:gridCol w:w="2839"/>
      </w:tblGrid>
      <w:tr w:rsidR="00A71C3D" w:rsidRPr="005F01B9" w14:paraId="62AD5009" w14:textId="77777777" w:rsidTr="00A71C3D">
        <w:trPr>
          <w:tblHeader/>
        </w:trPr>
        <w:tc>
          <w:tcPr>
            <w:tcW w:w="1838" w:type="dxa"/>
            <w:shd w:val="clear" w:color="auto" w:fill="E8E8E8" w:themeFill="background2"/>
            <w:hideMark/>
          </w:tcPr>
          <w:p w14:paraId="5C5A3AE2" w14:textId="77777777" w:rsidR="005F01B9" w:rsidRPr="005F01B9" w:rsidRDefault="005F01B9" w:rsidP="005F01B9">
            <w:pPr>
              <w:spacing w:before="0" w:beforeAutospacing="0" w:after="0" w:afterAutospacing="0"/>
              <w:rPr>
                <w:b/>
                <w:bCs/>
                <w:sz w:val="16"/>
                <w:szCs w:val="16"/>
              </w:rPr>
            </w:pPr>
            <w:r w:rsidRPr="005F01B9">
              <w:rPr>
                <w:b/>
                <w:bCs/>
                <w:sz w:val="16"/>
                <w:szCs w:val="16"/>
              </w:rPr>
              <w:t>Pillar</w:t>
            </w:r>
          </w:p>
        </w:tc>
        <w:tc>
          <w:tcPr>
            <w:tcW w:w="2169" w:type="dxa"/>
            <w:shd w:val="clear" w:color="auto" w:fill="E8E8E8" w:themeFill="background2"/>
            <w:hideMark/>
          </w:tcPr>
          <w:p w14:paraId="0C91C7FF" w14:textId="77777777" w:rsidR="005F01B9" w:rsidRPr="005F01B9" w:rsidRDefault="005F01B9" w:rsidP="005F01B9">
            <w:pPr>
              <w:spacing w:before="0" w:beforeAutospacing="0" w:after="0" w:afterAutospacing="0"/>
              <w:rPr>
                <w:b/>
                <w:bCs/>
                <w:sz w:val="16"/>
                <w:szCs w:val="16"/>
              </w:rPr>
            </w:pPr>
            <w:r w:rsidRPr="005F01B9">
              <w:rPr>
                <w:b/>
                <w:bCs/>
                <w:sz w:val="16"/>
                <w:szCs w:val="16"/>
              </w:rPr>
              <w:t>What it is</w:t>
            </w:r>
          </w:p>
        </w:tc>
        <w:tc>
          <w:tcPr>
            <w:tcW w:w="0" w:type="auto"/>
            <w:shd w:val="clear" w:color="auto" w:fill="E8E8E8" w:themeFill="background2"/>
            <w:hideMark/>
          </w:tcPr>
          <w:p w14:paraId="4FB23796" w14:textId="77777777" w:rsidR="005F01B9" w:rsidRPr="005F01B9" w:rsidRDefault="005F01B9" w:rsidP="005F01B9">
            <w:pPr>
              <w:spacing w:before="0" w:beforeAutospacing="0" w:after="0" w:afterAutospacing="0"/>
              <w:rPr>
                <w:b/>
                <w:bCs/>
                <w:sz w:val="16"/>
                <w:szCs w:val="16"/>
              </w:rPr>
            </w:pPr>
            <w:r w:rsidRPr="005F01B9">
              <w:rPr>
                <w:b/>
                <w:bCs/>
                <w:sz w:val="16"/>
                <w:szCs w:val="16"/>
              </w:rPr>
              <w:t>Unique Strengths</w:t>
            </w:r>
          </w:p>
        </w:tc>
        <w:tc>
          <w:tcPr>
            <w:tcW w:w="0" w:type="auto"/>
            <w:shd w:val="clear" w:color="auto" w:fill="E8E8E8" w:themeFill="background2"/>
            <w:hideMark/>
          </w:tcPr>
          <w:p w14:paraId="030B46F1" w14:textId="77777777" w:rsidR="005F01B9" w:rsidRPr="005F01B9" w:rsidRDefault="005F01B9" w:rsidP="005F01B9">
            <w:pPr>
              <w:spacing w:before="0" w:beforeAutospacing="0" w:after="0" w:afterAutospacing="0"/>
              <w:rPr>
                <w:b/>
                <w:bCs/>
                <w:sz w:val="16"/>
                <w:szCs w:val="16"/>
              </w:rPr>
            </w:pPr>
            <w:r w:rsidRPr="005F01B9">
              <w:rPr>
                <w:b/>
                <w:bCs/>
                <w:sz w:val="16"/>
                <w:szCs w:val="16"/>
              </w:rPr>
              <w:t>Role in Internal Mobility</w:t>
            </w:r>
          </w:p>
        </w:tc>
      </w:tr>
      <w:tr w:rsidR="00A71C3D" w:rsidRPr="005F01B9" w14:paraId="36FBF47F" w14:textId="77777777" w:rsidTr="00A71C3D">
        <w:tc>
          <w:tcPr>
            <w:tcW w:w="1838" w:type="dxa"/>
            <w:hideMark/>
          </w:tcPr>
          <w:p w14:paraId="2DE443DD" w14:textId="77777777" w:rsidR="005F01B9" w:rsidRPr="005F01B9" w:rsidRDefault="005F01B9" w:rsidP="005F01B9">
            <w:pPr>
              <w:spacing w:before="0" w:beforeAutospacing="0" w:after="0" w:afterAutospacing="0"/>
              <w:rPr>
                <w:sz w:val="16"/>
                <w:szCs w:val="16"/>
              </w:rPr>
            </w:pPr>
            <w:r w:rsidRPr="005F01B9">
              <w:rPr>
                <w:b/>
                <w:bCs/>
                <w:sz w:val="16"/>
                <w:szCs w:val="16"/>
              </w:rPr>
              <w:t xml:space="preserve">MEOS – The </w:t>
            </w:r>
            <w:proofErr w:type="gramStart"/>
            <w:r w:rsidRPr="005F01B9">
              <w:rPr>
                <w:b/>
                <w:bCs/>
                <w:sz w:val="16"/>
                <w:szCs w:val="16"/>
              </w:rPr>
              <w:t>Radar</w:t>
            </w:r>
            <w:r w:rsidRPr="005F01B9">
              <w:rPr>
                <w:i/>
                <w:iCs/>
                <w:sz w:val="16"/>
                <w:szCs w:val="16"/>
              </w:rPr>
              <w:t>(</w:t>
            </w:r>
            <w:proofErr w:type="gramEnd"/>
            <w:r w:rsidRPr="005F01B9">
              <w:rPr>
                <w:i/>
                <w:iCs/>
                <w:sz w:val="16"/>
                <w:szCs w:val="16"/>
              </w:rPr>
              <w:t>Manpower Employment Outlook Survey)</w:t>
            </w:r>
          </w:p>
        </w:tc>
        <w:tc>
          <w:tcPr>
            <w:tcW w:w="2169" w:type="dxa"/>
            <w:hideMark/>
          </w:tcPr>
          <w:p w14:paraId="290C308E" w14:textId="77777777" w:rsidR="005F01B9" w:rsidRPr="005F01B9" w:rsidRDefault="005F01B9" w:rsidP="005F01B9">
            <w:pPr>
              <w:spacing w:before="0" w:beforeAutospacing="0" w:after="0" w:afterAutospacing="0"/>
              <w:rPr>
                <w:sz w:val="16"/>
                <w:szCs w:val="16"/>
              </w:rPr>
            </w:pPr>
            <w:r w:rsidRPr="005F01B9">
              <w:rPr>
                <w:sz w:val="16"/>
                <w:szCs w:val="16"/>
              </w:rPr>
              <w:t>Global quarterly survey of &gt;40,000 employers in 40+ countries, running since 1962</w:t>
            </w:r>
          </w:p>
        </w:tc>
        <w:tc>
          <w:tcPr>
            <w:tcW w:w="0" w:type="auto"/>
            <w:hideMark/>
          </w:tcPr>
          <w:p w14:paraId="53AF8510" w14:textId="77777777" w:rsidR="005F01B9" w:rsidRPr="005F01B9" w:rsidRDefault="005F01B9" w:rsidP="005F01B9">
            <w:pPr>
              <w:spacing w:before="0" w:beforeAutospacing="0" w:after="0" w:afterAutospacing="0"/>
              <w:rPr>
                <w:sz w:val="16"/>
                <w:szCs w:val="16"/>
              </w:rPr>
            </w:pPr>
            <w:r w:rsidRPr="005F01B9">
              <w:rPr>
                <w:sz w:val="16"/>
                <w:szCs w:val="16"/>
              </w:rPr>
              <w:t>- Forward-looking Net Employment Outlook (NEO)- Sector &amp; geographic hiring intentions- Talent Shortage indices- Trusted as a leading indicator by policymakers, media, corporates</w:t>
            </w:r>
          </w:p>
        </w:tc>
        <w:tc>
          <w:tcPr>
            <w:tcW w:w="0" w:type="auto"/>
            <w:hideMark/>
          </w:tcPr>
          <w:p w14:paraId="0F90899D" w14:textId="77777777" w:rsidR="005F01B9" w:rsidRPr="005F01B9" w:rsidRDefault="005F01B9" w:rsidP="005F01B9">
            <w:pPr>
              <w:spacing w:before="0" w:beforeAutospacing="0" w:after="0" w:afterAutospacing="0"/>
              <w:rPr>
                <w:sz w:val="16"/>
                <w:szCs w:val="16"/>
              </w:rPr>
            </w:pPr>
            <w:r w:rsidRPr="005F01B9">
              <w:rPr>
                <w:sz w:val="16"/>
                <w:szCs w:val="16"/>
              </w:rPr>
              <w:t xml:space="preserve">- Predicts which roles &amp; skills will be in demand- Anchors career pathways in </w:t>
            </w:r>
            <w:r w:rsidRPr="005F01B9">
              <w:rPr>
                <w:b/>
                <w:bCs/>
                <w:sz w:val="16"/>
                <w:szCs w:val="16"/>
              </w:rPr>
              <w:t>real market pull</w:t>
            </w:r>
            <w:r w:rsidRPr="005F01B9">
              <w:rPr>
                <w:sz w:val="16"/>
                <w:szCs w:val="16"/>
              </w:rPr>
              <w:t>, not guesswork- Builds trust by showing employees and employers credible demand forecasts</w:t>
            </w:r>
          </w:p>
        </w:tc>
      </w:tr>
      <w:tr w:rsidR="00A71C3D" w:rsidRPr="005F01B9" w14:paraId="2FA029E8" w14:textId="77777777" w:rsidTr="00A71C3D">
        <w:tc>
          <w:tcPr>
            <w:tcW w:w="1838" w:type="dxa"/>
            <w:hideMark/>
          </w:tcPr>
          <w:p w14:paraId="7ADF8945" w14:textId="77777777" w:rsidR="005F01B9" w:rsidRPr="005F01B9" w:rsidRDefault="005F01B9" w:rsidP="005F01B9">
            <w:pPr>
              <w:spacing w:before="0" w:beforeAutospacing="0" w:after="0" w:afterAutospacing="0"/>
              <w:rPr>
                <w:sz w:val="16"/>
                <w:szCs w:val="16"/>
              </w:rPr>
            </w:pPr>
            <w:r w:rsidRPr="005F01B9">
              <w:rPr>
                <w:b/>
                <w:bCs/>
                <w:sz w:val="16"/>
                <w:szCs w:val="16"/>
              </w:rPr>
              <w:t xml:space="preserve">TAPFIN – The </w:t>
            </w:r>
            <w:proofErr w:type="gramStart"/>
            <w:r w:rsidRPr="005F01B9">
              <w:rPr>
                <w:b/>
                <w:bCs/>
                <w:sz w:val="16"/>
                <w:szCs w:val="16"/>
              </w:rPr>
              <w:t>Engine</w:t>
            </w:r>
            <w:r w:rsidRPr="005F01B9">
              <w:rPr>
                <w:i/>
                <w:iCs/>
                <w:sz w:val="16"/>
                <w:szCs w:val="16"/>
              </w:rPr>
              <w:t>(</w:t>
            </w:r>
            <w:proofErr w:type="gramEnd"/>
            <w:r w:rsidRPr="005F01B9">
              <w:rPr>
                <w:i/>
                <w:iCs/>
                <w:sz w:val="16"/>
                <w:szCs w:val="16"/>
              </w:rPr>
              <w:t>ManpowerGroup’s Managed Service Provider platform)</w:t>
            </w:r>
          </w:p>
        </w:tc>
        <w:tc>
          <w:tcPr>
            <w:tcW w:w="2169" w:type="dxa"/>
            <w:hideMark/>
          </w:tcPr>
          <w:p w14:paraId="6CA213CD" w14:textId="77777777" w:rsidR="005F01B9" w:rsidRPr="005F01B9" w:rsidRDefault="005F01B9" w:rsidP="005F01B9">
            <w:pPr>
              <w:spacing w:before="0" w:beforeAutospacing="0" w:after="0" w:afterAutospacing="0"/>
              <w:rPr>
                <w:sz w:val="16"/>
                <w:szCs w:val="16"/>
              </w:rPr>
            </w:pPr>
            <w:r w:rsidRPr="005F01B9">
              <w:rPr>
                <w:sz w:val="16"/>
                <w:szCs w:val="16"/>
              </w:rPr>
              <w:t>Global MSP acquired via COMSYS in 2010; manages $20B+ contingent spend across 80+ countries</w:t>
            </w:r>
          </w:p>
        </w:tc>
        <w:tc>
          <w:tcPr>
            <w:tcW w:w="0" w:type="auto"/>
            <w:hideMark/>
          </w:tcPr>
          <w:p w14:paraId="20DE835B" w14:textId="77777777" w:rsidR="005F01B9" w:rsidRPr="005F01B9" w:rsidRDefault="005F01B9" w:rsidP="005F01B9">
            <w:pPr>
              <w:spacing w:before="0" w:beforeAutospacing="0" w:after="0" w:afterAutospacing="0"/>
              <w:rPr>
                <w:sz w:val="16"/>
                <w:szCs w:val="16"/>
              </w:rPr>
            </w:pPr>
            <w:r w:rsidRPr="005F01B9">
              <w:rPr>
                <w:sz w:val="16"/>
                <w:szCs w:val="16"/>
              </w:rPr>
              <w:t xml:space="preserve">- Global leader (11 years running, Everest Group)- SLA governance (time-to-fill, cost, compliance, retention)- Supplier network &amp; bench talent- Compliance automation (IR35, SoW, payroll risk)- </w:t>
            </w:r>
            <w:proofErr w:type="spellStart"/>
            <w:r w:rsidRPr="005F01B9">
              <w:rPr>
                <w:sz w:val="16"/>
                <w:szCs w:val="16"/>
              </w:rPr>
              <w:t>IntelliReach</w:t>
            </w:r>
            <w:proofErr w:type="spellEnd"/>
            <w:r w:rsidRPr="005F01B9">
              <w:rPr>
                <w:sz w:val="16"/>
                <w:szCs w:val="16"/>
              </w:rPr>
              <w:t xml:space="preserve"> BI analytics</w:t>
            </w:r>
          </w:p>
        </w:tc>
        <w:tc>
          <w:tcPr>
            <w:tcW w:w="0" w:type="auto"/>
            <w:hideMark/>
          </w:tcPr>
          <w:p w14:paraId="1361F27C" w14:textId="77777777" w:rsidR="005F01B9" w:rsidRPr="005F01B9" w:rsidRDefault="005F01B9" w:rsidP="005F01B9">
            <w:pPr>
              <w:spacing w:before="0" w:beforeAutospacing="0" w:after="0" w:afterAutospacing="0"/>
              <w:rPr>
                <w:sz w:val="16"/>
                <w:szCs w:val="16"/>
              </w:rPr>
            </w:pPr>
            <w:r w:rsidRPr="005F01B9">
              <w:rPr>
                <w:sz w:val="16"/>
                <w:szCs w:val="16"/>
              </w:rPr>
              <w:t xml:space="preserve">- Turns mobility pathways into </w:t>
            </w:r>
            <w:r w:rsidRPr="005F01B9">
              <w:rPr>
                <w:b/>
                <w:bCs/>
                <w:sz w:val="16"/>
                <w:szCs w:val="16"/>
              </w:rPr>
              <w:t>guaranteed outcomes</w:t>
            </w:r>
            <w:r w:rsidRPr="005F01B9">
              <w:rPr>
                <w:sz w:val="16"/>
                <w:szCs w:val="16"/>
              </w:rPr>
              <w:t>- SLA-backed redeployment (≤60 days)- Instant backfill for managers- Links training to placement guarantees- Ensures regulatory compliance across markets</w:t>
            </w:r>
          </w:p>
        </w:tc>
      </w:tr>
      <w:tr w:rsidR="00A71C3D" w:rsidRPr="005F01B9" w14:paraId="70E914D1" w14:textId="77777777" w:rsidTr="00A71C3D">
        <w:tc>
          <w:tcPr>
            <w:tcW w:w="1838" w:type="dxa"/>
            <w:hideMark/>
          </w:tcPr>
          <w:p w14:paraId="2E747F3A" w14:textId="77777777" w:rsidR="005F01B9" w:rsidRPr="005F01B9" w:rsidRDefault="005F01B9" w:rsidP="005F01B9">
            <w:pPr>
              <w:spacing w:before="0" w:beforeAutospacing="0" w:after="0" w:afterAutospacing="0"/>
              <w:rPr>
                <w:sz w:val="16"/>
                <w:szCs w:val="16"/>
              </w:rPr>
            </w:pPr>
            <w:r w:rsidRPr="005F01B9">
              <w:rPr>
                <w:b/>
                <w:bCs/>
                <w:sz w:val="16"/>
                <w:szCs w:val="16"/>
              </w:rPr>
              <w:t>Combined Advantage</w:t>
            </w:r>
          </w:p>
        </w:tc>
        <w:tc>
          <w:tcPr>
            <w:tcW w:w="2169" w:type="dxa"/>
            <w:hideMark/>
          </w:tcPr>
          <w:p w14:paraId="464194A9" w14:textId="77777777" w:rsidR="005F01B9" w:rsidRPr="005F01B9" w:rsidRDefault="005F01B9" w:rsidP="005F01B9">
            <w:pPr>
              <w:spacing w:before="0" w:beforeAutospacing="0" w:after="0" w:afterAutospacing="0"/>
              <w:rPr>
                <w:sz w:val="16"/>
                <w:szCs w:val="16"/>
              </w:rPr>
            </w:pPr>
            <w:r w:rsidRPr="005F01B9">
              <w:rPr>
                <w:sz w:val="16"/>
                <w:szCs w:val="16"/>
              </w:rPr>
              <w:t>Radar (predictive foresight) + Engine (execution muscle)</w:t>
            </w:r>
          </w:p>
        </w:tc>
        <w:tc>
          <w:tcPr>
            <w:tcW w:w="0" w:type="auto"/>
            <w:hideMark/>
          </w:tcPr>
          <w:p w14:paraId="5CF0E0E6" w14:textId="77777777" w:rsidR="005F01B9" w:rsidRPr="005F01B9" w:rsidRDefault="005F01B9" w:rsidP="005F01B9">
            <w:pPr>
              <w:spacing w:before="0" w:beforeAutospacing="0" w:after="0" w:afterAutospacing="0"/>
              <w:rPr>
                <w:sz w:val="16"/>
                <w:szCs w:val="16"/>
              </w:rPr>
            </w:pPr>
            <w:r w:rsidRPr="005F01B9">
              <w:rPr>
                <w:sz w:val="16"/>
                <w:szCs w:val="16"/>
              </w:rPr>
              <w:t xml:space="preserve">- Only player with both </w:t>
            </w:r>
            <w:r w:rsidRPr="005F01B9">
              <w:rPr>
                <w:b/>
                <w:bCs/>
                <w:sz w:val="16"/>
                <w:szCs w:val="16"/>
              </w:rPr>
              <w:t>market intelligence + delivery infrastructure</w:t>
            </w:r>
            <w:r w:rsidRPr="005F01B9">
              <w:rPr>
                <w:sz w:val="16"/>
                <w:szCs w:val="16"/>
              </w:rPr>
              <w:t>- Competitors either show data (HR tech) or fill roles (staffing), not both</w:t>
            </w:r>
          </w:p>
        </w:tc>
        <w:tc>
          <w:tcPr>
            <w:tcW w:w="0" w:type="auto"/>
            <w:hideMark/>
          </w:tcPr>
          <w:p w14:paraId="1FF0B8AA" w14:textId="77777777" w:rsidR="005F01B9" w:rsidRPr="005F01B9" w:rsidRDefault="005F01B9" w:rsidP="005F01B9">
            <w:pPr>
              <w:spacing w:before="0" w:beforeAutospacing="0" w:after="0" w:afterAutospacing="0"/>
              <w:rPr>
                <w:sz w:val="16"/>
                <w:szCs w:val="16"/>
              </w:rPr>
            </w:pPr>
            <w:r w:rsidRPr="005F01B9">
              <w:rPr>
                <w:sz w:val="16"/>
                <w:szCs w:val="16"/>
              </w:rPr>
              <w:t xml:space="preserve">- Creates a </w:t>
            </w:r>
            <w:r w:rsidRPr="005F01B9">
              <w:rPr>
                <w:b/>
                <w:bCs/>
                <w:sz w:val="16"/>
                <w:szCs w:val="16"/>
              </w:rPr>
              <w:t>Promise-to-Placement pipeline</w:t>
            </w:r>
            <w:r w:rsidRPr="005F01B9">
              <w:rPr>
                <w:sz w:val="16"/>
                <w:szCs w:val="16"/>
              </w:rPr>
              <w:t>- Guarantees measurable business impact (retention, savings, faster redeployment)- Builds the foundation for Internal Career Mobility-as-a-Service</w:t>
            </w:r>
          </w:p>
        </w:tc>
      </w:tr>
    </w:tbl>
    <w:p w14:paraId="52694031" w14:textId="2A67C2A3" w:rsidR="00160E6D" w:rsidRPr="00927266" w:rsidRDefault="00160E6D" w:rsidP="003E3B10"/>
    <w:p w14:paraId="3FB9DF06" w14:textId="7C505ABF" w:rsidR="003E3B10" w:rsidRDefault="003E3B10" w:rsidP="003E3B10">
      <w:pPr>
        <w:pStyle w:val="Heading1"/>
      </w:pPr>
      <w:r>
        <w:br w:type="column"/>
      </w:r>
      <w:r>
        <w:lastRenderedPageBreak/>
        <w:t>MEOS</w:t>
      </w:r>
    </w:p>
    <w:p w14:paraId="3CD1187F" w14:textId="77777777" w:rsidR="003E3B10" w:rsidRPr="003E3B10" w:rsidRDefault="003E3B10" w:rsidP="003E3B10">
      <w:pPr>
        <w:pStyle w:val="NormalWeb"/>
        <w:snapToGrid w:val="0"/>
        <w:spacing w:before="0" w:beforeAutospacing="0" w:after="0" w:afterAutospacing="0"/>
        <w:rPr>
          <w:rFonts w:ascii="Arial" w:hAnsi="Arial" w:cs="Arial"/>
        </w:rPr>
      </w:pPr>
      <w:r w:rsidRPr="003E3B10">
        <w:rPr>
          <w:rStyle w:val="Strong"/>
          <w:rFonts w:ascii="Arial" w:eastAsiaTheme="majorEastAsia" w:hAnsi="Arial" w:cs="Arial"/>
        </w:rPr>
        <w:t>In the context of Manpower’s Internal Mobility vision</w:t>
      </w:r>
      <w:r w:rsidRPr="003E3B10">
        <w:rPr>
          <w:rFonts w:ascii="Arial" w:hAnsi="Arial" w:cs="Arial"/>
        </w:rPr>
        <w:t>:</w:t>
      </w:r>
      <w:r w:rsidRPr="003E3B10">
        <w:rPr>
          <w:rFonts w:ascii="Arial" w:hAnsi="Arial" w:cs="Arial"/>
        </w:rPr>
        <w:br/>
        <w:t xml:space="preserve">MEOS acts as the </w:t>
      </w:r>
      <w:r w:rsidRPr="003E3B10">
        <w:rPr>
          <w:rStyle w:val="Strong"/>
          <w:rFonts w:ascii="Arial" w:eastAsiaTheme="majorEastAsia" w:hAnsi="Arial" w:cs="Arial"/>
          <w:color w:val="EE0000"/>
        </w:rPr>
        <w:t>RADAR</w:t>
      </w:r>
      <w:r w:rsidRPr="003E3B10">
        <w:rPr>
          <w:rFonts w:ascii="Arial" w:hAnsi="Arial" w:cs="Arial"/>
        </w:rPr>
        <w:t>: it tells which roles, industries, and geographies are heating up or cooling down, so internal mobility pathways aren’t based on guesswork but anchored in market demand.</w:t>
      </w:r>
    </w:p>
    <w:p w14:paraId="15DA3A9E" w14:textId="2D4EB671" w:rsidR="003E3B10" w:rsidRDefault="003E3B10" w:rsidP="003E3B10">
      <w:r>
        <w:t xml:space="preserve">Here’s how the </w:t>
      </w:r>
      <w:r>
        <w:rPr>
          <w:rStyle w:val="Strong"/>
          <w:rFonts w:eastAsiaTheme="majorEastAsia"/>
        </w:rPr>
        <w:t>ManpowerGroup Employment Outlook Survey (MEOS)</w:t>
      </w:r>
      <w:r>
        <w:t xml:space="preserve"> is conducted and run:</w:t>
      </w:r>
    </w:p>
    <w:p w14:paraId="6AC016AC" w14:textId="77777777" w:rsidR="003E3B10" w:rsidRPr="003E3B10" w:rsidRDefault="003E3B10" w:rsidP="003E3B10">
      <w:pPr>
        <w:pStyle w:val="Heading3"/>
        <w:snapToGrid w:val="0"/>
        <w:spacing w:before="120" w:beforeAutospacing="0" w:after="0" w:afterAutospacing="0"/>
        <w:contextualSpacing/>
        <w:rPr>
          <w:rFonts w:cs="Arial"/>
          <w:sz w:val="20"/>
          <w:szCs w:val="20"/>
        </w:rPr>
      </w:pPr>
      <w:r w:rsidRPr="003E3B10">
        <w:rPr>
          <w:sz w:val="20"/>
          <w:szCs w:val="20"/>
        </w:rPr>
        <w:t xml:space="preserve">1. </w:t>
      </w:r>
      <w:r w:rsidRPr="003E3B10">
        <w:rPr>
          <w:rStyle w:val="Strong"/>
          <w:rFonts w:cs="Arial"/>
          <w:b w:val="0"/>
          <w:bCs w:val="0"/>
          <w:sz w:val="20"/>
          <w:szCs w:val="20"/>
        </w:rPr>
        <w:t>History and Continuity</w:t>
      </w:r>
    </w:p>
    <w:p w14:paraId="6632ADE8" w14:textId="77777777" w:rsidR="003E3B10" w:rsidRPr="003E3B10" w:rsidRDefault="003E3B10" w:rsidP="003E3B10">
      <w:pPr>
        <w:pStyle w:val="NormalWeb"/>
        <w:numPr>
          <w:ilvl w:val="0"/>
          <w:numId w:val="3"/>
        </w:numPr>
        <w:snapToGrid w:val="0"/>
        <w:spacing w:before="120" w:beforeAutospacing="0" w:after="0" w:afterAutospacing="0"/>
        <w:contextualSpacing/>
        <w:rPr>
          <w:rFonts w:ascii="Arial" w:hAnsi="Arial" w:cs="Arial"/>
        </w:rPr>
      </w:pPr>
      <w:r w:rsidRPr="003E3B10">
        <w:rPr>
          <w:rFonts w:ascii="Arial" w:hAnsi="Arial" w:cs="Arial"/>
        </w:rPr>
        <w:t xml:space="preserve">MEOS has been conducted </w:t>
      </w:r>
      <w:r w:rsidRPr="003E3B10">
        <w:rPr>
          <w:rStyle w:val="Strong"/>
          <w:rFonts w:ascii="Arial" w:eastAsiaTheme="majorEastAsia" w:hAnsi="Arial" w:cs="Arial"/>
        </w:rPr>
        <w:t>quarterly since 1962</w:t>
      </w:r>
      <w:r w:rsidRPr="003E3B10">
        <w:rPr>
          <w:rFonts w:ascii="Arial" w:hAnsi="Arial" w:cs="Arial"/>
        </w:rPr>
        <w:t xml:space="preserve">, making it the </w:t>
      </w:r>
      <w:r w:rsidRPr="003E3B10">
        <w:rPr>
          <w:rStyle w:val="Strong"/>
          <w:rFonts w:ascii="Arial" w:eastAsiaTheme="majorEastAsia" w:hAnsi="Arial" w:cs="Arial"/>
        </w:rPr>
        <w:t>longest running employment survey of its kind</w:t>
      </w:r>
      <w:r w:rsidRPr="003E3B10">
        <w:rPr>
          <w:rFonts w:ascii="Arial" w:hAnsi="Arial" w:cs="Arial"/>
        </w:rPr>
        <w:t>.</w:t>
      </w:r>
    </w:p>
    <w:p w14:paraId="41468CED" w14:textId="77777777" w:rsidR="003E3B10" w:rsidRPr="003E3B10" w:rsidRDefault="003E3B10" w:rsidP="003E3B10">
      <w:pPr>
        <w:pStyle w:val="NormalWeb"/>
        <w:numPr>
          <w:ilvl w:val="0"/>
          <w:numId w:val="3"/>
        </w:numPr>
        <w:snapToGrid w:val="0"/>
        <w:spacing w:before="120" w:beforeAutospacing="0" w:after="0" w:afterAutospacing="0"/>
        <w:contextualSpacing/>
        <w:rPr>
          <w:rFonts w:ascii="Arial" w:hAnsi="Arial" w:cs="Arial"/>
        </w:rPr>
      </w:pPr>
      <w:r w:rsidRPr="003E3B10">
        <w:rPr>
          <w:rFonts w:ascii="Arial" w:hAnsi="Arial" w:cs="Arial"/>
        </w:rPr>
        <w:t xml:space="preserve">Its longevity means it provides </w:t>
      </w:r>
      <w:r w:rsidRPr="003E3B10">
        <w:rPr>
          <w:rStyle w:val="Strong"/>
          <w:rFonts w:ascii="Arial" w:eastAsiaTheme="majorEastAsia" w:hAnsi="Arial" w:cs="Arial"/>
        </w:rPr>
        <w:t>comparable time-series data</w:t>
      </w:r>
      <w:r w:rsidRPr="003E3B10">
        <w:rPr>
          <w:rFonts w:ascii="Arial" w:hAnsi="Arial" w:cs="Arial"/>
        </w:rPr>
        <w:t xml:space="preserve"> across economic cycles, downturns, and booms — a big reason why it is cited by media, policymakers, and central banks.</w:t>
      </w:r>
    </w:p>
    <w:p w14:paraId="71455565" w14:textId="77777777" w:rsidR="003E3B10" w:rsidRPr="003E3B10" w:rsidRDefault="003E3B10" w:rsidP="003E3B10">
      <w:pPr>
        <w:pStyle w:val="Heading3"/>
        <w:snapToGrid w:val="0"/>
        <w:spacing w:before="120" w:beforeAutospacing="0" w:after="0" w:afterAutospacing="0"/>
        <w:contextualSpacing/>
        <w:rPr>
          <w:rFonts w:cs="Arial"/>
          <w:sz w:val="20"/>
          <w:szCs w:val="20"/>
        </w:rPr>
      </w:pPr>
      <w:r w:rsidRPr="003E3B10">
        <w:rPr>
          <w:rFonts w:cs="Arial"/>
          <w:sz w:val="20"/>
          <w:szCs w:val="20"/>
        </w:rPr>
        <w:t xml:space="preserve">2. </w:t>
      </w:r>
      <w:r w:rsidRPr="003E3B10">
        <w:rPr>
          <w:rStyle w:val="Strong"/>
          <w:rFonts w:cs="Arial"/>
          <w:b w:val="0"/>
          <w:bCs w:val="0"/>
          <w:sz w:val="20"/>
          <w:szCs w:val="20"/>
        </w:rPr>
        <w:t>Survey Design</w:t>
      </w:r>
    </w:p>
    <w:p w14:paraId="0BE9F237" w14:textId="77777777" w:rsidR="003E3B10" w:rsidRPr="003E3B10" w:rsidRDefault="003E3B10" w:rsidP="003E3B10">
      <w:pPr>
        <w:pStyle w:val="NormalWeb"/>
        <w:numPr>
          <w:ilvl w:val="0"/>
          <w:numId w:val="4"/>
        </w:numPr>
        <w:snapToGrid w:val="0"/>
        <w:spacing w:before="120" w:beforeAutospacing="0" w:after="0" w:afterAutospacing="0"/>
        <w:contextualSpacing/>
        <w:rPr>
          <w:rFonts w:ascii="Arial" w:hAnsi="Arial" w:cs="Arial"/>
        </w:rPr>
      </w:pPr>
      <w:r w:rsidRPr="003E3B10">
        <w:rPr>
          <w:rStyle w:val="Strong"/>
          <w:rFonts w:ascii="Arial" w:eastAsiaTheme="majorEastAsia" w:hAnsi="Arial" w:cs="Arial"/>
        </w:rPr>
        <w:t>Question</w:t>
      </w:r>
      <w:r w:rsidRPr="003E3B10">
        <w:rPr>
          <w:rFonts w:ascii="Arial" w:hAnsi="Arial" w:cs="Arial"/>
        </w:rPr>
        <w:t>: Employers are asked a single standardized forward-looking question:</w:t>
      </w:r>
      <w:r w:rsidRPr="003E3B10">
        <w:rPr>
          <w:rFonts w:ascii="Arial" w:hAnsi="Arial" w:cs="Arial"/>
        </w:rPr>
        <w:br/>
      </w:r>
      <w:r w:rsidRPr="003E3B10">
        <w:rPr>
          <w:rStyle w:val="Emphasis"/>
          <w:rFonts w:ascii="Arial" w:eastAsiaTheme="majorEastAsia" w:hAnsi="Arial" w:cs="Arial"/>
        </w:rPr>
        <w:t>“How do you anticipate total employment at your location to change in the next three months compared to the current quarter?”</w:t>
      </w:r>
    </w:p>
    <w:p w14:paraId="28FDD876" w14:textId="77777777" w:rsidR="003E3B10" w:rsidRPr="003E3B10" w:rsidRDefault="003E3B10" w:rsidP="003E3B10">
      <w:pPr>
        <w:pStyle w:val="NormalWeb"/>
        <w:numPr>
          <w:ilvl w:val="0"/>
          <w:numId w:val="4"/>
        </w:numPr>
        <w:snapToGrid w:val="0"/>
        <w:spacing w:before="120" w:beforeAutospacing="0" w:after="0" w:afterAutospacing="0"/>
        <w:contextualSpacing/>
        <w:rPr>
          <w:rFonts w:ascii="Arial" w:hAnsi="Arial" w:cs="Arial"/>
        </w:rPr>
      </w:pPr>
      <w:r w:rsidRPr="003E3B10">
        <w:rPr>
          <w:rStyle w:val="Strong"/>
          <w:rFonts w:ascii="Arial" w:eastAsiaTheme="majorEastAsia" w:hAnsi="Arial" w:cs="Arial"/>
        </w:rPr>
        <w:t>Possible responses</w:t>
      </w:r>
      <w:r w:rsidRPr="003E3B10">
        <w:rPr>
          <w:rFonts w:ascii="Arial" w:hAnsi="Arial" w:cs="Arial"/>
        </w:rPr>
        <w:t>: Increase, Decrease, No Change, Don’t Know.</w:t>
      </w:r>
    </w:p>
    <w:p w14:paraId="2D65EE5A" w14:textId="77777777" w:rsidR="003E3B10" w:rsidRPr="003E3B10" w:rsidRDefault="003E3B10" w:rsidP="003E3B10">
      <w:pPr>
        <w:pStyle w:val="NormalWeb"/>
        <w:numPr>
          <w:ilvl w:val="0"/>
          <w:numId w:val="4"/>
        </w:numPr>
        <w:snapToGrid w:val="0"/>
        <w:spacing w:before="120" w:beforeAutospacing="0" w:after="0" w:afterAutospacing="0"/>
        <w:contextualSpacing/>
        <w:rPr>
          <w:rFonts w:ascii="Arial" w:hAnsi="Arial" w:cs="Arial"/>
        </w:rPr>
      </w:pPr>
      <w:r w:rsidRPr="003E3B10">
        <w:rPr>
          <w:rFonts w:ascii="Arial" w:hAnsi="Arial" w:cs="Arial"/>
        </w:rPr>
        <w:t xml:space="preserve">This simplicity makes the data </w:t>
      </w:r>
      <w:r w:rsidRPr="003E3B10">
        <w:rPr>
          <w:rStyle w:val="Strong"/>
          <w:rFonts w:ascii="Arial" w:eastAsiaTheme="majorEastAsia" w:hAnsi="Arial" w:cs="Arial"/>
        </w:rPr>
        <w:t>comparable across geographies, sectors, and time.</w:t>
      </w:r>
    </w:p>
    <w:p w14:paraId="501864C6" w14:textId="77777777" w:rsidR="003E3B10" w:rsidRPr="003E3B10" w:rsidRDefault="003E3B10" w:rsidP="003E3B10">
      <w:pPr>
        <w:pStyle w:val="Heading3"/>
        <w:snapToGrid w:val="0"/>
        <w:spacing w:before="120" w:beforeAutospacing="0" w:after="0" w:afterAutospacing="0"/>
        <w:contextualSpacing/>
        <w:rPr>
          <w:rFonts w:cs="Arial"/>
          <w:sz w:val="20"/>
          <w:szCs w:val="20"/>
        </w:rPr>
      </w:pPr>
      <w:r w:rsidRPr="003E3B10">
        <w:rPr>
          <w:rFonts w:cs="Arial"/>
          <w:sz w:val="20"/>
          <w:szCs w:val="20"/>
        </w:rPr>
        <w:t xml:space="preserve">3. </w:t>
      </w:r>
      <w:r w:rsidRPr="003E3B10">
        <w:rPr>
          <w:rStyle w:val="Strong"/>
          <w:rFonts w:cs="Arial"/>
          <w:b w:val="0"/>
          <w:bCs w:val="0"/>
          <w:sz w:val="20"/>
          <w:szCs w:val="20"/>
        </w:rPr>
        <w:t>Sample and Scale</w:t>
      </w:r>
    </w:p>
    <w:p w14:paraId="52DEE575" w14:textId="77777777" w:rsidR="003E3B10" w:rsidRPr="003E3B10" w:rsidRDefault="003E3B10" w:rsidP="003E3B10">
      <w:pPr>
        <w:pStyle w:val="NormalWeb"/>
        <w:numPr>
          <w:ilvl w:val="0"/>
          <w:numId w:val="5"/>
        </w:numPr>
        <w:snapToGrid w:val="0"/>
        <w:spacing w:before="120" w:beforeAutospacing="0" w:after="0" w:afterAutospacing="0"/>
        <w:contextualSpacing/>
        <w:rPr>
          <w:rFonts w:ascii="Arial" w:hAnsi="Arial" w:cs="Arial"/>
        </w:rPr>
      </w:pPr>
      <w:r w:rsidRPr="003E3B10">
        <w:rPr>
          <w:rFonts w:ascii="Arial" w:hAnsi="Arial" w:cs="Arial"/>
        </w:rPr>
        <w:t xml:space="preserve">Conducted with </w:t>
      </w:r>
      <w:r w:rsidRPr="003E3B10">
        <w:rPr>
          <w:rStyle w:val="Strong"/>
          <w:rFonts w:ascii="Arial" w:eastAsiaTheme="majorEastAsia" w:hAnsi="Arial" w:cs="Arial"/>
        </w:rPr>
        <w:t>~40,000 employers worldwide</w:t>
      </w:r>
      <w:r w:rsidRPr="003E3B10">
        <w:rPr>
          <w:rFonts w:ascii="Arial" w:hAnsi="Arial" w:cs="Arial"/>
        </w:rPr>
        <w:t xml:space="preserve"> each quarter.</w:t>
      </w:r>
    </w:p>
    <w:p w14:paraId="4C159810" w14:textId="77777777" w:rsidR="003E3B10" w:rsidRPr="003E3B10" w:rsidRDefault="003E3B10" w:rsidP="003E3B10">
      <w:pPr>
        <w:pStyle w:val="NormalWeb"/>
        <w:numPr>
          <w:ilvl w:val="0"/>
          <w:numId w:val="5"/>
        </w:numPr>
        <w:snapToGrid w:val="0"/>
        <w:spacing w:before="120" w:beforeAutospacing="0" w:after="0" w:afterAutospacing="0"/>
        <w:contextualSpacing/>
        <w:rPr>
          <w:rFonts w:ascii="Arial" w:hAnsi="Arial" w:cs="Arial"/>
        </w:rPr>
      </w:pPr>
      <w:r w:rsidRPr="003E3B10">
        <w:rPr>
          <w:rStyle w:val="Strong"/>
          <w:rFonts w:ascii="Arial" w:eastAsiaTheme="majorEastAsia" w:hAnsi="Arial" w:cs="Arial"/>
        </w:rPr>
        <w:t>Geographic coverage</w:t>
      </w:r>
      <w:r w:rsidRPr="003E3B10">
        <w:rPr>
          <w:rFonts w:ascii="Arial" w:hAnsi="Arial" w:cs="Arial"/>
        </w:rPr>
        <w:t>: 40+ countries and territories, across all major economic regions.</w:t>
      </w:r>
    </w:p>
    <w:p w14:paraId="7377807E" w14:textId="77777777" w:rsidR="003E3B10" w:rsidRPr="003E3B10" w:rsidRDefault="003E3B10" w:rsidP="003E3B10">
      <w:pPr>
        <w:pStyle w:val="NormalWeb"/>
        <w:numPr>
          <w:ilvl w:val="0"/>
          <w:numId w:val="5"/>
        </w:numPr>
        <w:snapToGrid w:val="0"/>
        <w:spacing w:before="120" w:beforeAutospacing="0" w:after="0" w:afterAutospacing="0"/>
        <w:contextualSpacing/>
        <w:rPr>
          <w:rFonts w:ascii="Arial" w:hAnsi="Arial" w:cs="Arial"/>
        </w:rPr>
      </w:pPr>
      <w:r w:rsidRPr="003E3B10">
        <w:rPr>
          <w:rStyle w:val="Strong"/>
          <w:rFonts w:ascii="Arial" w:eastAsiaTheme="majorEastAsia" w:hAnsi="Arial" w:cs="Arial"/>
        </w:rPr>
        <w:t>Sector coverage</w:t>
      </w:r>
      <w:r w:rsidRPr="003E3B10">
        <w:rPr>
          <w:rFonts w:ascii="Arial" w:hAnsi="Arial" w:cs="Arial"/>
        </w:rPr>
        <w:t>: Industry-level breakouts (IT, Finance, Manufacturing, Healthcare, etc.).</w:t>
      </w:r>
    </w:p>
    <w:p w14:paraId="4A894414" w14:textId="77777777" w:rsidR="003E3B10" w:rsidRPr="003E3B10" w:rsidRDefault="003E3B10" w:rsidP="003E3B10">
      <w:pPr>
        <w:pStyle w:val="NormalWeb"/>
        <w:numPr>
          <w:ilvl w:val="0"/>
          <w:numId w:val="5"/>
        </w:numPr>
        <w:snapToGrid w:val="0"/>
        <w:spacing w:before="120" w:beforeAutospacing="0" w:after="0" w:afterAutospacing="0"/>
        <w:contextualSpacing/>
        <w:rPr>
          <w:rFonts w:ascii="Arial" w:hAnsi="Arial" w:cs="Arial"/>
        </w:rPr>
      </w:pPr>
      <w:r w:rsidRPr="003E3B10">
        <w:rPr>
          <w:rFonts w:ascii="Arial" w:hAnsi="Arial" w:cs="Arial"/>
        </w:rPr>
        <w:t xml:space="preserve">Samples are </w:t>
      </w:r>
      <w:r w:rsidRPr="003E3B10">
        <w:rPr>
          <w:rStyle w:val="Strong"/>
          <w:rFonts w:ascii="Arial" w:eastAsiaTheme="majorEastAsia" w:hAnsi="Arial" w:cs="Arial"/>
        </w:rPr>
        <w:t>statistically representative</w:t>
      </w:r>
      <w:r w:rsidRPr="003E3B10">
        <w:rPr>
          <w:rFonts w:ascii="Arial" w:hAnsi="Arial" w:cs="Arial"/>
        </w:rPr>
        <w:t xml:space="preserve"> of the economy in each country.</w:t>
      </w:r>
    </w:p>
    <w:p w14:paraId="64CF01C9" w14:textId="77777777" w:rsidR="003E3B10" w:rsidRPr="003E3B10" w:rsidRDefault="003E3B10" w:rsidP="003E3B10">
      <w:pPr>
        <w:pStyle w:val="Heading3"/>
        <w:snapToGrid w:val="0"/>
        <w:spacing w:before="120" w:beforeAutospacing="0" w:after="0" w:afterAutospacing="0"/>
        <w:contextualSpacing/>
        <w:rPr>
          <w:rFonts w:cs="Arial"/>
          <w:sz w:val="20"/>
          <w:szCs w:val="20"/>
        </w:rPr>
      </w:pPr>
      <w:r w:rsidRPr="003E3B10">
        <w:rPr>
          <w:rFonts w:cs="Arial"/>
          <w:sz w:val="20"/>
          <w:szCs w:val="20"/>
        </w:rPr>
        <w:t xml:space="preserve">4. </w:t>
      </w:r>
      <w:r w:rsidRPr="003E3B10">
        <w:rPr>
          <w:rStyle w:val="Strong"/>
          <w:rFonts w:cs="Arial"/>
          <w:b w:val="0"/>
          <w:bCs w:val="0"/>
          <w:sz w:val="20"/>
          <w:szCs w:val="20"/>
        </w:rPr>
        <w:t>Methodology &amp; Index Calculation</w:t>
      </w:r>
    </w:p>
    <w:p w14:paraId="74847494" w14:textId="77777777" w:rsidR="003E3B10" w:rsidRPr="003E3B10" w:rsidRDefault="003E3B10" w:rsidP="003E3B10">
      <w:pPr>
        <w:pStyle w:val="NormalWeb"/>
        <w:numPr>
          <w:ilvl w:val="0"/>
          <w:numId w:val="6"/>
        </w:numPr>
        <w:snapToGrid w:val="0"/>
        <w:spacing w:before="120" w:beforeAutospacing="0" w:after="0" w:afterAutospacing="0"/>
        <w:contextualSpacing/>
        <w:rPr>
          <w:rFonts w:ascii="Arial" w:hAnsi="Arial" w:cs="Arial"/>
        </w:rPr>
      </w:pPr>
      <w:r w:rsidRPr="003E3B10">
        <w:rPr>
          <w:rStyle w:val="Strong"/>
          <w:rFonts w:ascii="Arial" w:eastAsiaTheme="majorEastAsia" w:hAnsi="Arial" w:cs="Arial"/>
        </w:rPr>
        <w:t>Net Employment Outlook (NEO)</w:t>
      </w:r>
      <w:r w:rsidRPr="003E3B10">
        <w:rPr>
          <w:rFonts w:ascii="Arial" w:hAnsi="Arial" w:cs="Arial"/>
        </w:rPr>
        <w:t xml:space="preserve"> = (% expecting increase) − (% expecting decrease).</w:t>
      </w:r>
    </w:p>
    <w:p w14:paraId="18793593" w14:textId="77777777" w:rsidR="003E3B10" w:rsidRPr="003E3B10" w:rsidRDefault="003E3B10" w:rsidP="003E3B10">
      <w:pPr>
        <w:pStyle w:val="NormalWeb"/>
        <w:numPr>
          <w:ilvl w:val="0"/>
          <w:numId w:val="6"/>
        </w:numPr>
        <w:snapToGrid w:val="0"/>
        <w:spacing w:before="120" w:beforeAutospacing="0" w:after="0" w:afterAutospacing="0"/>
        <w:contextualSpacing/>
        <w:rPr>
          <w:rFonts w:ascii="Arial" w:hAnsi="Arial" w:cs="Arial"/>
        </w:rPr>
      </w:pPr>
      <w:r w:rsidRPr="003E3B10">
        <w:rPr>
          <w:rFonts w:ascii="Arial" w:hAnsi="Arial" w:cs="Arial"/>
        </w:rPr>
        <w:t>Results are reported:</w:t>
      </w:r>
    </w:p>
    <w:p w14:paraId="7D08F9C7" w14:textId="77777777" w:rsidR="003E3B10" w:rsidRPr="003E3B10" w:rsidRDefault="003E3B10" w:rsidP="003E3B10">
      <w:pPr>
        <w:pStyle w:val="NormalWeb"/>
        <w:numPr>
          <w:ilvl w:val="1"/>
          <w:numId w:val="6"/>
        </w:numPr>
        <w:snapToGrid w:val="0"/>
        <w:spacing w:before="120" w:beforeAutospacing="0" w:after="0" w:afterAutospacing="0"/>
        <w:contextualSpacing/>
        <w:rPr>
          <w:rFonts w:ascii="Arial" w:hAnsi="Arial" w:cs="Arial"/>
        </w:rPr>
      </w:pPr>
      <w:r w:rsidRPr="003E3B10">
        <w:rPr>
          <w:rStyle w:val="Strong"/>
          <w:rFonts w:ascii="Arial" w:eastAsiaTheme="majorEastAsia" w:hAnsi="Arial" w:cs="Arial"/>
        </w:rPr>
        <w:t>Unadjusted</w:t>
      </w:r>
      <w:r w:rsidRPr="003E3B10">
        <w:rPr>
          <w:rFonts w:ascii="Arial" w:hAnsi="Arial" w:cs="Arial"/>
        </w:rPr>
        <w:t xml:space="preserve"> (raw percentages).</w:t>
      </w:r>
    </w:p>
    <w:p w14:paraId="5C633C08" w14:textId="77777777" w:rsidR="003E3B10" w:rsidRPr="003E3B10" w:rsidRDefault="003E3B10" w:rsidP="003E3B10">
      <w:pPr>
        <w:pStyle w:val="NormalWeb"/>
        <w:numPr>
          <w:ilvl w:val="1"/>
          <w:numId w:val="6"/>
        </w:numPr>
        <w:snapToGrid w:val="0"/>
        <w:spacing w:before="120" w:beforeAutospacing="0" w:after="0" w:afterAutospacing="0"/>
        <w:contextualSpacing/>
        <w:rPr>
          <w:rFonts w:ascii="Arial" w:hAnsi="Arial" w:cs="Arial"/>
        </w:rPr>
      </w:pPr>
      <w:r w:rsidRPr="003E3B10">
        <w:rPr>
          <w:rStyle w:val="Strong"/>
          <w:rFonts w:ascii="Arial" w:eastAsiaTheme="majorEastAsia" w:hAnsi="Arial" w:cs="Arial"/>
        </w:rPr>
        <w:t>Seasonally adjusted</w:t>
      </w:r>
      <w:r w:rsidRPr="003E3B10">
        <w:rPr>
          <w:rFonts w:ascii="Arial" w:hAnsi="Arial" w:cs="Arial"/>
        </w:rPr>
        <w:t xml:space="preserve"> (removing seasonal hiring effects, e.g., holiday retail hiring).</w:t>
      </w:r>
    </w:p>
    <w:p w14:paraId="6602D898" w14:textId="77777777" w:rsidR="003E3B10" w:rsidRPr="003E3B10" w:rsidRDefault="003E3B10" w:rsidP="003E3B10">
      <w:pPr>
        <w:pStyle w:val="NormalWeb"/>
        <w:numPr>
          <w:ilvl w:val="0"/>
          <w:numId w:val="6"/>
        </w:numPr>
        <w:snapToGrid w:val="0"/>
        <w:spacing w:before="120" w:beforeAutospacing="0" w:after="0" w:afterAutospacing="0"/>
        <w:contextualSpacing/>
        <w:rPr>
          <w:rFonts w:ascii="Arial" w:hAnsi="Arial" w:cs="Arial"/>
        </w:rPr>
      </w:pPr>
      <w:r w:rsidRPr="003E3B10">
        <w:rPr>
          <w:rFonts w:ascii="Arial" w:hAnsi="Arial" w:cs="Arial"/>
        </w:rPr>
        <w:t>This provides a clean signal of hiring intentions.</w:t>
      </w:r>
    </w:p>
    <w:p w14:paraId="1D09EA0F" w14:textId="77777777" w:rsidR="003E3B10" w:rsidRPr="003E3B10" w:rsidRDefault="003E3B10" w:rsidP="003E3B10">
      <w:pPr>
        <w:pStyle w:val="Heading3"/>
        <w:snapToGrid w:val="0"/>
        <w:spacing w:before="120" w:beforeAutospacing="0" w:after="0" w:afterAutospacing="0"/>
        <w:contextualSpacing/>
        <w:rPr>
          <w:rFonts w:cs="Arial"/>
          <w:sz w:val="20"/>
          <w:szCs w:val="20"/>
        </w:rPr>
      </w:pPr>
      <w:r w:rsidRPr="003E3B10">
        <w:rPr>
          <w:rFonts w:cs="Arial"/>
          <w:sz w:val="20"/>
          <w:szCs w:val="20"/>
        </w:rPr>
        <w:t xml:space="preserve">5. </w:t>
      </w:r>
      <w:r w:rsidRPr="003E3B10">
        <w:rPr>
          <w:rStyle w:val="Strong"/>
          <w:rFonts w:cs="Arial"/>
          <w:b w:val="0"/>
          <w:bCs w:val="0"/>
          <w:sz w:val="20"/>
          <w:szCs w:val="20"/>
        </w:rPr>
        <w:t>Publication &amp; Transparency</w:t>
      </w:r>
    </w:p>
    <w:p w14:paraId="20650EED" w14:textId="77777777" w:rsidR="003E3B10" w:rsidRPr="003E3B10" w:rsidRDefault="003E3B10" w:rsidP="003E3B10">
      <w:pPr>
        <w:pStyle w:val="NormalWeb"/>
        <w:numPr>
          <w:ilvl w:val="0"/>
          <w:numId w:val="7"/>
        </w:numPr>
        <w:snapToGrid w:val="0"/>
        <w:spacing w:before="120" w:beforeAutospacing="0" w:after="0" w:afterAutospacing="0"/>
        <w:contextualSpacing/>
        <w:rPr>
          <w:rFonts w:ascii="Arial" w:hAnsi="Arial" w:cs="Arial"/>
        </w:rPr>
      </w:pPr>
      <w:r w:rsidRPr="003E3B10">
        <w:rPr>
          <w:rFonts w:ascii="Arial" w:hAnsi="Arial" w:cs="Arial"/>
        </w:rPr>
        <w:t xml:space="preserve">Results are published </w:t>
      </w:r>
      <w:r w:rsidRPr="003E3B10">
        <w:rPr>
          <w:rStyle w:val="Strong"/>
          <w:rFonts w:ascii="Arial" w:eastAsiaTheme="majorEastAsia" w:hAnsi="Arial" w:cs="Arial"/>
        </w:rPr>
        <w:t>quarterly</w:t>
      </w:r>
      <w:r w:rsidRPr="003E3B10">
        <w:rPr>
          <w:rFonts w:ascii="Arial" w:hAnsi="Arial" w:cs="Arial"/>
        </w:rPr>
        <w:t xml:space="preserve"> on ManpowerGroup’s site and via press releases.</w:t>
      </w:r>
    </w:p>
    <w:p w14:paraId="5FFA6CE4" w14:textId="77777777" w:rsidR="003E3B10" w:rsidRPr="003E3B10" w:rsidRDefault="003E3B10" w:rsidP="003E3B10">
      <w:pPr>
        <w:pStyle w:val="NormalWeb"/>
        <w:numPr>
          <w:ilvl w:val="0"/>
          <w:numId w:val="7"/>
        </w:numPr>
        <w:snapToGrid w:val="0"/>
        <w:spacing w:before="120" w:beforeAutospacing="0" w:after="0" w:afterAutospacing="0"/>
        <w:contextualSpacing/>
        <w:rPr>
          <w:rFonts w:ascii="Arial" w:hAnsi="Arial" w:cs="Arial"/>
        </w:rPr>
      </w:pPr>
      <w:r w:rsidRPr="003E3B10">
        <w:rPr>
          <w:rFonts w:ascii="Arial" w:hAnsi="Arial" w:cs="Arial"/>
        </w:rPr>
        <w:t xml:space="preserve">They include </w:t>
      </w:r>
      <w:r w:rsidRPr="003E3B10">
        <w:rPr>
          <w:rStyle w:val="Strong"/>
          <w:rFonts w:ascii="Arial" w:eastAsiaTheme="majorEastAsia" w:hAnsi="Arial" w:cs="Arial"/>
        </w:rPr>
        <w:t>global, regional, country, and industry-level reports</w:t>
      </w:r>
      <w:r w:rsidRPr="003E3B10">
        <w:rPr>
          <w:rFonts w:ascii="Arial" w:hAnsi="Arial" w:cs="Arial"/>
        </w:rPr>
        <w:t>.</w:t>
      </w:r>
    </w:p>
    <w:p w14:paraId="25305C05" w14:textId="77777777" w:rsidR="003E3B10" w:rsidRPr="003E3B10" w:rsidRDefault="003E3B10" w:rsidP="003E3B10">
      <w:pPr>
        <w:pStyle w:val="NormalWeb"/>
        <w:numPr>
          <w:ilvl w:val="0"/>
          <w:numId w:val="7"/>
        </w:numPr>
        <w:snapToGrid w:val="0"/>
        <w:spacing w:before="120" w:beforeAutospacing="0" w:after="0" w:afterAutospacing="0"/>
        <w:contextualSpacing/>
        <w:rPr>
          <w:rFonts w:ascii="Arial" w:hAnsi="Arial" w:cs="Arial"/>
        </w:rPr>
      </w:pPr>
      <w:r w:rsidRPr="003E3B10">
        <w:rPr>
          <w:rFonts w:ascii="Arial" w:hAnsi="Arial" w:cs="Arial"/>
        </w:rPr>
        <w:t xml:space="preserve">Frequently cited by </w:t>
      </w:r>
      <w:r w:rsidRPr="003E3B10">
        <w:rPr>
          <w:rStyle w:val="Strong"/>
          <w:rFonts w:ascii="Arial" w:eastAsiaTheme="majorEastAsia" w:hAnsi="Arial" w:cs="Arial"/>
        </w:rPr>
        <w:t>Bloomberg, Reuters, The Economist, World Economic Forum</w:t>
      </w:r>
      <w:r w:rsidRPr="003E3B10">
        <w:rPr>
          <w:rFonts w:ascii="Arial" w:hAnsi="Arial" w:cs="Arial"/>
        </w:rPr>
        <w:t xml:space="preserve">, and even referenced by </w:t>
      </w:r>
      <w:r w:rsidRPr="003E3B10">
        <w:rPr>
          <w:rStyle w:val="Strong"/>
          <w:rFonts w:ascii="Arial" w:eastAsiaTheme="majorEastAsia" w:hAnsi="Arial" w:cs="Arial"/>
        </w:rPr>
        <w:t>central banks</w:t>
      </w:r>
      <w:r w:rsidRPr="003E3B10">
        <w:rPr>
          <w:rFonts w:ascii="Arial" w:hAnsi="Arial" w:cs="Arial"/>
        </w:rPr>
        <w:t xml:space="preserve"> as a leading indicator.</w:t>
      </w:r>
    </w:p>
    <w:p w14:paraId="796F8C39" w14:textId="77777777" w:rsidR="003E3B10" w:rsidRPr="003E3B10" w:rsidRDefault="003E3B10" w:rsidP="003E3B10">
      <w:pPr>
        <w:pStyle w:val="Heading3"/>
        <w:snapToGrid w:val="0"/>
        <w:spacing w:before="120" w:beforeAutospacing="0" w:after="0" w:afterAutospacing="0"/>
        <w:contextualSpacing/>
        <w:rPr>
          <w:rFonts w:cs="Arial"/>
          <w:sz w:val="20"/>
          <w:szCs w:val="20"/>
        </w:rPr>
      </w:pPr>
      <w:r w:rsidRPr="003E3B10">
        <w:rPr>
          <w:rFonts w:cs="Arial"/>
          <w:sz w:val="20"/>
          <w:szCs w:val="20"/>
        </w:rPr>
        <w:t xml:space="preserve">6. </w:t>
      </w:r>
      <w:r w:rsidRPr="003E3B10">
        <w:rPr>
          <w:rStyle w:val="Strong"/>
          <w:rFonts w:cs="Arial"/>
          <w:b w:val="0"/>
          <w:bCs w:val="0"/>
          <w:sz w:val="20"/>
          <w:szCs w:val="20"/>
        </w:rPr>
        <w:t>What makes it unique</w:t>
      </w:r>
    </w:p>
    <w:p w14:paraId="476370F3" w14:textId="77777777" w:rsidR="003E3B10" w:rsidRPr="003E3B10" w:rsidRDefault="003E3B10" w:rsidP="003E3B10">
      <w:pPr>
        <w:pStyle w:val="NormalWeb"/>
        <w:numPr>
          <w:ilvl w:val="0"/>
          <w:numId w:val="8"/>
        </w:numPr>
        <w:snapToGrid w:val="0"/>
        <w:spacing w:before="120" w:beforeAutospacing="0" w:after="0" w:afterAutospacing="0"/>
        <w:contextualSpacing/>
        <w:rPr>
          <w:rFonts w:ascii="Arial" w:hAnsi="Arial" w:cs="Arial"/>
        </w:rPr>
      </w:pPr>
      <w:r w:rsidRPr="003E3B10">
        <w:rPr>
          <w:rStyle w:val="Strong"/>
          <w:rFonts w:ascii="Arial" w:eastAsiaTheme="majorEastAsia" w:hAnsi="Arial" w:cs="Arial"/>
        </w:rPr>
        <w:t>Forward-looking</w:t>
      </w:r>
      <w:r w:rsidRPr="003E3B10">
        <w:rPr>
          <w:rFonts w:ascii="Arial" w:hAnsi="Arial" w:cs="Arial"/>
        </w:rPr>
        <w:t xml:space="preserve">: Unlike most labor statistics (which are lagging), MEOS asks what employers </w:t>
      </w:r>
      <w:r w:rsidRPr="003E3B10">
        <w:rPr>
          <w:rStyle w:val="Emphasis"/>
          <w:rFonts w:ascii="Arial" w:eastAsiaTheme="majorEastAsia" w:hAnsi="Arial" w:cs="Arial"/>
        </w:rPr>
        <w:t>plan</w:t>
      </w:r>
      <w:r w:rsidRPr="003E3B10">
        <w:rPr>
          <w:rFonts w:ascii="Arial" w:hAnsi="Arial" w:cs="Arial"/>
        </w:rPr>
        <w:t xml:space="preserve"> to do in the next quarter.</w:t>
      </w:r>
    </w:p>
    <w:p w14:paraId="4CF0F910" w14:textId="77777777" w:rsidR="003E3B10" w:rsidRPr="003E3B10" w:rsidRDefault="003E3B10" w:rsidP="003E3B10">
      <w:pPr>
        <w:pStyle w:val="NormalWeb"/>
        <w:numPr>
          <w:ilvl w:val="0"/>
          <w:numId w:val="8"/>
        </w:numPr>
        <w:snapToGrid w:val="0"/>
        <w:spacing w:before="120" w:beforeAutospacing="0" w:after="0" w:afterAutospacing="0"/>
        <w:contextualSpacing/>
        <w:rPr>
          <w:rFonts w:ascii="Arial" w:hAnsi="Arial" w:cs="Arial"/>
        </w:rPr>
      </w:pPr>
      <w:r w:rsidRPr="003E3B10">
        <w:rPr>
          <w:rStyle w:val="Strong"/>
          <w:rFonts w:ascii="Arial" w:eastAsiaTheme="majorEastAsia" w:hAnsi="Arial" w:cs="Arial"/>
        </w:rPr>
        <w:t>Consistency</w:t>
      </w:r>
      <w:r w:rsidRPr="003E3B10">
        <w:rPr>
          <w:rFonts w:ascii="Arial" w:hAnsi="Arial" w:cs="Arial"/>
        </w:rPr>
        <w:t>: Same question since 1962 → unique longitudinal dataset.</w:t>
      </w:r>
    </w:p>
    <w:p w14:paraId="538FAC09" w14:textId="77777777" w:rsidR="003E3B10" w:rsidRPr="003E3B10" w:rsidRDefault="003E3B10" w:rsidP="003E3B10">
      <w:pPr>
        <w:pStyle w:val="NormalWeb"/>
        <w:numPr>
          <w:ilvl w:val="0"/>
          <w:numId w:val="8"/>
        </w:numPr>
        <w:snapToGrid w:val="0"/>
        <w:spacing w:before="120" w:beforeAutospacing="0" w:after="0" w:afterAutospacing="0"/>
        <w:contextualSpacing/>
        <w:rPr>
          <w:rFonts w:ascii="Arial" w:hAnsi="Arial" w:cs="Arial"/>
        </w:rPr>
      </w:pPr>
      <w:r w:rsidRPr="003E3B10">
        <w:rPr>
          <w:rStyle w:val="Strong"/>
          <w:rFonts w:ascii="Arial" w:eastAsiaTheme="majorEastAsia" w:hAnsi="Arial" w:cs="Arial"/>
        </w:rPr>
        <w:t>Breadth</w:t>
      </w:r>
      <w:r w:rsidRPr="003E3B10">
        <w:rPr>
          <w:rFonts w:ascii="Arial" w:hAnsi="Arial" w:cs="Arial"/>
        </w:rPr>
        <w:t>: More than 40,000 employers every quarter across 40+ countries.</w:t>
      </w:r>
    </w:p>
    <w:p w14:paraId="49C7AB36" w14:textId="77777777" w:rsidR="003E3B10" w:rsidRDefault="003E3B10" w:rsidP="003E3B10">
      <w:pPr>
        <w:pStyle w:val="NormalWeb"/>
        <w:numPr>
          <w:ilvl w:val="0"/>
          <w:numId w:val="8"/>
        </w:numPr>
        <w:snapToGrid w:val="0"/>
        <w:spacing w:before="120" w:beforeAutospacing="0" w:after="0" w:afterAutospacing="0"/>
        <w:contextualSpacing/>
        <w:rPr>
          <w:rFonts w:ascii="Arial" w:hAnsi="Arial" w:cs="Arial"/>
        </w:rPr>
      </w:pPr>
      <w:r w:rsidRPr="003E3B10">
        <w:rPr>
          <w:rStyle w:val="Strong"/>
          <w:rFonts w:ascii="Arial" w:eastAsiaTheme="majorEastAsia" w:hAnsi="Arial" w:cs="Arial"/>
        </w:rPr>
        <w:t>Trust</w:t>
      </w:r>
      <w:r w:rsidRPr="003E3B10">
        <w:rPr>
          <w:rFonts w:ascii="Arial" w:hAnsi="Arial" w:cs="Arial"/>
        </w:rPr>
        <w:t>: Because it’s independent, standardized, and continuous, it has credibility that job boards or HR platforms can’t match.</w:t>
      </w:r>
    </w:p>
    <w:p w14:paraId="11111C23" w14:textId="3F6BA725" w:rsidR="0081664D" w:rsidRDefault="0081664D" w:rsidP="0081664D">
      <w:pPr>
        <w:pStyle w:val="Heading1"/>
        <w:rPr>
          <w:rStyle w:val="Strong"/>
          <w:b w:val="0"/>
          <w:bCs w:val="0"/>
        </w:rPr>
      </w:pPr>
      <w:r>
        <w:rPr>
          <w:rStyle w:val="Strong"/>
          <w:rFonts w:ascii="Arial" w:hAnsi="Arial" w:cs="Arial"/>
        </w:rPr>
        <w:br w:type="column"/>
      </w:r>
      <w:r w:rsidRPr="0081664D">
        <w:rPr>
          <w:rStyle w:val="Strong"/>
          <w:b w:val="0"/>
          <w:bCs w:val="0"/>
        </w:rPr>
        <w:lastRenderedPageBreak/>
        <w:t>TAPFIN</w:t>
      </w:r>
    </w:p>
    <w:p w14:paraId="46837071" w14:textId="76F61A71" w:rsidR="00F66373" w:rsidRPr="00F66373" w:rsidRDefault="00F66373" w:rsidP="00F66373">
      <w:pPr>
        <w:pStyle w:val="NormalWeb"/>
        <w:snapToGrid w:val="0"/>
        <w:spacing w:before="60" w:beforeAutospacing="0" w:after="0" w:afterAutospacing="0"/>
        <w:contextualSpacing/>
        <w:rPr>
          <w:rFonts w:ascii="Arial" w:hAnsi="Arial" w:cs="Arial"/>
        </w:rPr>
      </w:pPr>
      <w:r w:rsidRPr="0081664D">
        <w:rPr>
          <w:rFonts w:ascii="Arial" w:hAnsi="Arial" w:cs="Arial"/>
        </w:rPr>
        <w:t xml:space="preserve">Together with </w:t>
      </w:r>
      <w:r w:rsidRPr="0081664D">
        <w:rPr>
          <w:rStyle w:val="Strong"/>
          <w:rFonts w:ascii="Arial" w:eastAsiaTheme="majorEastAsia" w:hAnsi="Arial" w:cs="Arial"/>
        </w:rPr>
        <w:t>MEOS</w:t>
      </w:r>
      <w:r w:rsidRPr="0081664D">
        <w:rPr>
          <w:rFonts w:ascii="Arial" w:hAnsi="Arial" w:cs="Arial"/>
        </w:rPr>
        <w:t xml:space="preserve"> (</w:t>
      </w:r>
      <w:r w:rsidRPr="00F66373">
        <w:rPr>
          <w:rFonts w:ascii="Arial" w:hAnsi="Arial" w:cs="Arial"/>
          <w:color w:val="EE0000"/>
        </w:rPr>
        <w:t xml:space="preserve">the </w:t>
      </w:r>
      <w:r w:rsidR="00E35F37" w:rsidRPr="00E35F37">
        <w:rPr>
          <w:rFonts w:ascii="Arial" w:hAnsi="Arial" w:cs="Arial"/>
          <w:b/>
          <w:bCs/>
          <w:color w:val="EE0000"/>
        </w:rPr>
        <w:t>RADAR</w:t>
      </w:r>
      <w:r w:rsidRPr="0081664D">
        <w:rPr>
          <w:rFonts w:ascii="Arial" w:hAnsi="Arial" w:cs="Arial"/>
        </w:rPr>
        <w:t>), TAPFIN (</w:t>
      </w:r>
      <w:r w:rsidRPr="00F66373">
        <w:rPr>
          <w:rFonts w:ascii="Arial" w:hAnsi="Arial" w:cs="Arial"/>
          <w:color w:val="EE0000"/>
        </w:rPr>
        <w:t xml:space="preserve">the </w:t>
      </w:r>
      <w:r w:rsidR="00E35F37" w:rsidRPr="00E35F37">
        <w:rPr>
          <w:rFonts w:ascii="Arial" w:hAnsi="Arial" w:cs="Arial"/>
          <w:b/>
          <w:bCs/>
          <w:color w:val="EE0000"/>
        </w:rPr>
        <w:t>ENGINE</w:t>
      </w:r>
      <w:r w:rsidRPr="00F66373">
        <w:rPr>
          <w:rFonts w:ascii="Arial" w:hAnsi="Arial" w:cs="Arial"/>
          <w:color w:val="EE0000"/>
        </w:rPr>
        <w:t xml:space="preserve"> with SLA governance</w:t>
      </w:r>
      <w:r w:rsidRPr="0081664D">
        <w:rPr>
          <w:rFonts w:ascii="Arial" w:hAnsi="Arial" w:cs="Arial"/>
        </w:rPr>
        <w:t xml:space="preserve">) forms the </w:t>
      </w:r>
      <w:r w:rsidRPr="0081664D">
        <w:rPr>
          <w:rStyle w:val="Strong"/>
          <w:rFonts w:ascii="Arial" w:eastAsiaTheme="majorEastAsia" w:hAnsi="Arial" w:cs="Arial"/>
        </w:rPr>
        <w:t>unique “promise-to-placement” pipeline</w:t>
      </w:r>
      <w:r w:rsidRPr="0081664D">
        <w:rPr>
          <w:rFonts w:ascii="Arial" w:hAnsi="Arial" w:cs="Arial"/>
        </w:rPr>
        <w:t xml:space="preserve"> that gives Manpower an unfair advantage.</w:t>
      </w:r>
    </w:p>
    <w:p w14:paraId="5AB03D54" w14:textId="205A753F" w:rsidR="00C54310" w:rsidRPr="00C54310" w:rsidRDefault="00C54310" w:rsidP="00C54310">
      <w:pPr>
        <w:rPr>
          <w:sz w:val="16"/>
          <w:szCs w:val="16"/>
        </w:rPr>
      </w:pPr>
      <w:r w:rsidRPr="00C54310">
        <w:rPr>
          <w:sz w:val="16"/>
          <w:szCs w:val="16"/>
        </w:rPr>
        <w:t>ManpowerGroup acquired TAPFIN in 2010, through the acquisition of COMSYS IT Partners—bringing TAPFIN’s MSP capabilities into the Manpower Group. The acquisition was completed in April 2010, with formal integration announced later.</w:t>
      </w:r>
    </w:p>
    <w:p w14:paraId="65CE3A31" w14:textId="77777777" w:rsidR="0081664D" w:rsidRPr="0081664D" w:rsidRDefault="0081664D" w:rsidP="00BB2260">
      <w:pPr>
        <w:pStyle w:val="Heading3"/>
        <w:snapToGrid w:val="0"/>
        <w:spacing w:before="60" w:beforeAutospacing="0" w:after="0" w:afterAutospacing="0"/>
        <w:contextualSpacing/>
        <w:rPr>
          <w:rFonts w:cs="Arial"/>
          <w:sz w:val="20"/>
          <w:szCs w:val="20"/>
        </w:rPr>
      </w:pPr>
      <w:r w:rsidRPr="0081664D">
        <w:rPr>
          <w:rFonts w:cs="Arial"/>
          <w:sz w:val="20"/>
          <w:szCs w:val="20"/>
        </w:rPr>
        <w:t xml:space="preserve">1. </w:t>
      </w:r>
      <w:r w:rsidRPr="0081664D">
        <w:rPr>
          <w:rStyle w:val="Strong"/>
          <w:rFonts w:cs="Arial"/>
          <w:b w:val="0"/>
          <w:bCs w:val="0"/>
          <w:sz w:val="20"/>
          <w:szCs w:val="20"/>
        </w:rPr>
        <w:t>What TAPFIN Is</w:t>
      </w:r>
    </w:p>
    <w:p w14:paraId="339B4FA1" w14:textId="77777777" w:rsidR="0081664D" w:rsidRPr="0081664D" w:rsidRDefault="0081664D" w:rsidP="00BB2260">
      <w:pPr>
        <w:pStyle w:val="NormalWeb"/>
        <w:numPr>
          <w:ilvl w:val="0"/>
          <w:numId w:val="9"/>
        </w:numPr>
        <w:snapToGrid w:val="0"/>
        <w:spacing w:before="60" w:beforeAutospacing="0" w:after="0" w:afterAutospacing="0"/>
        <w:contextualSpacing/>
        <w:rPr>
          <w:rFonts w:ascii="Arial" w:hAnsi="Arial" w:cs="Arial"/>
        </w:rPr>
      </w:pPr>
      <w:r w:rsidRPr="0081664D">
        <w:rPr>
          <w:rFonts w:ascii="Arial" w:hAnsi="Arial" w:cs="Arial"/>
        </w:rPr>
        <w:t xml:space="preserve">TAPFIN is </w:t>
      </w:r>
      <w:r w:rsidRPr="0081664D">
        <w:rPr>
          <w:rStyle w:val="Strong"/>
          <w:rFonts w:ascii="Arial" w:eastAsiaTheme="majorEastAsia" w:hAnsi="Arial" w:cs="Arial"/>
        </w:rPr>
        <w:t>ManpowerGroup’s Managed Service Provider (MSP)</w:t>
      </w:r>
      <w:r w:rsidRPr="0081664D">
        <w:rPr>
          <w:rFonts w:ascii="Arial" w:hAnsi="Arial" w:cs="Arial"/>
        </w:rPr>
        <w:t xml:space="preserve"> arm.</w:t>
      </w:r>
    </w:p>
    <w:p w14:paraId="684AA78E" w14:textId="77777777" w:rsidR="0081664D" w:rsidRPr="0081664D" w:rsidRDefault="0081664D" w:rsidP="00BB2260">
      <w:pPr>
        <w:pStyle w:val="NormalWeb"/>
        <w:numPr>
          <w:ilvl w:val="0"/>
          <w:numId w:val="9"/>
        </w:numPr>
        <w:snapToGrid w:val="0"/>
        <w:spacing w:before="60" w:beforeAutospacing="0" w:after="0" w:afterAutospacing="0"/>
        <w:contextualSpacing/>
        <w:rPr>
          <w:rFonts w:ascii="Arial" w:hAnsi="Arial" w:cs="Arial"/>
        </w:rPr>
      </w:pPr>
      <w:r w:rsidRPr="0081664D">
        <w:rPr>
          <w:rFonts w:ascii="Arial" w:hAnsi="Arial" w:cs="Arial"/>
        </w:rPr>
        <w:t xml:space="preserve">It manages the </w:t>
      </w:r>
      <w:r w:rsidRPr="0081664D">
        <w:rPr>
          <w:rStyle w:val="Strong"/>
          <w:rFonts w:ascii="Arial" w:eastAsiaTheme="majorEastAsia" w:hAnsi="Arial" w:cs="Arial"/>
        </w:rPr>
        <w:t>entire contingent workforce lifecycle</w:t>
      </w:r>
      <w:r w:rsidRPr="0081664D">
        <w:rPr>
          <w:rFonts w:ascii="Arial" w:hAnsi="Arial" w:cs="Arial"/>
        </w:rPr>
        <w:t xml:space="preserve"> (temporary staff, contractors, consultants, SOW projects) for large organizations.</w:t>
      </w:r>
    </w:p>
    <w:p w14:paraId="130AEB26" w14:textId="77777777" w:rsidR="0081664D" w:rsidRPr="0081664D" w:rsidRDefault="0081664D" w:rsidP="00BB2260">
      <w:pPr>
        <w:pStyle w:val="NormalWeb"/>
        <w:numPr>
          <w:ilvl w:val="0"/>
          <w:numId w:val="9"/>
        </w:numPr>
        <w:snapToGrid w:val="0"/>
        <w:spacing w:before="60" w:beforeAutospacing="0" w:after="0" w:afterAutospacing="0"/>
        <w:contextualSpacing/>
        <w:rPr>
          <w:rFonts w:ascii="Arial" w:hAnsi="Arial" w:cs="Arial"/>
        </w:rPr>
      </w:pPr>
      <w:r w:rsidRPr="0081664D">
        <w:rPr>
          <w:rFonts w:ascii="Arial" w:hAnsi="Arial" w:cs="Arial"/>
        </w:rPr>
        <w:t>Functions: sourcing, onboarding, compliance, billing, performance management, analytics.</w:t>
      </w:r>
    </w:p>
    <w:p w14:paraId="24EBCE3F" w14:textId="77777777" w:rsidR="0081664D" w:rsidRPr="0081664D" w:rsidRDefault="0081664D" w:rsidP="00BB2260">
      <w:pPr>
        <w:pStyle w:val="NormalWeb"/>
        <w:numPr>
          <w:ilvl w:val="0"/>
          <w:numId w:val="9"/>
        </w:numPr>
        <w:snapToGrid w:val="0"/>
        <w:spacing w:before="60" w:beforeAutospacing="0" w:after="0" w:afterAutospacing="0"/>
        <w:contextualSpacing/>
        <w:rPr>
          <w:rFonts w:ascii="Arial" w:hAnsi="Arial" w:cs="Arial"/>
        </w:rPr>
      </w:pPr>
      <w:r w:rsidRPr="0081664D">
        <w:rPr>
          <w:rFonts w:ascii="Arial" w:hAnsi="Arial" w:cs="Arial"/>
        </w:rPr>
        <w:t xml:space="preserve">Scale: recognized by Everest Group, Staffing Industry Analysts, and </w:t>
      </w:r>
      <w:proofErr w:type="spellStart"/>
      <w:r w:rsidRPr="0081664D">
        <w:rPr>
          <w:rFonts w:ascii="Arial" w:hAnsi="Arial" w:cs="Arial"/>
        </w:rPr>
        <w:t>NelsonHall</w:t>
      </w:r>
      <w:proofErr w:type="spellEnd"/>
      <w:r w:rsidRPr="0081664D">
        <w:rPr>
          <w:rFonts w:ascii="Arial" w:hAnsi="Arial" w:cs="Arial"/>
        </w:rPr>
        <w:t xml:space="preserve"> as a </w:t>
      </w:r>
      <w:r w:rsidRPr="0081664D">
        <w:rPr>
          <w:rStyle w:val="Strong"/>
          <w:rFonts w:ascii="Arial" w:eastAsiaTheme="majorEastAsia" w:hAnsi="Arial" w:cs="Arial"/>
        </w:rPr>
        <w:t>global MSP leader</w:t>
      </w:r>
      <w:r w:rsidRPr="0081664D">
        <w:rPr>
          <w:rFonts w:ascii="Arial" w:hAnsi="Arial" w:cs="Arial"/>
        </w:rPr>
        <w:t xml:space="preserve">, managing </w:t>
      </w:r>
      <w:r w:rsidRPr="0081664D">
        <w:rPr>
          <w:rStyle w:val="Strong"/>
          <w:rFonts w:ascii="Arial" w:eastAsiaTheme="majorEastAsia" w:hAnsi="Arial" w:cs="Arial"/>
        </w:rPr>
        <w:t>billions in contingent spend across 80+ countries</w:t>
      </w:r>
      <w:r w:rsidRPr="0081664D">
        <w:rPr>
          <w:rFonts w:ascii="Arial" w:hAnsi="Arial" w:cs="Arial"/>
        </w:rPr>
        <w:t>.</w:t>
      </w:r>
    </w:p>
    <w:p w14:paraId="0727D4DE" w14:textId="77777777" w:rsidR="0081664D" w:rsidRPr="0081664D" w:rsidRDefault="0081664D" w:rsidP="00BB2260">
      <w:pPr>
        <w:pStyle w:val="Heading3"/>
        <w:snapToGrid w:val="0"/>
        <w:spacing w:before="60" w:beforeAutospacing="0" w:after="0" w:afterAutospacing="0"/>
        <w:contextualSpacing/>
        <w:rPr>
          <w:rFonts w:cs="Arial"/>
          <w:sz w:val="20"/>
          <w:szCs w:val="20"/>
        </w:rPr>
      </w:pPr>
      <w:r w:rsidRPr="0081664D">
        <w:rPr>
          <w:rFonts w:cs="Arial"/>
          <w:sz w:val="20"/>
          <w:szCs w:val="20"/>
        </w:rPr>
        <w:t xml:space="preserve">2. </w:t>
      </w:r>
      <w:r w:rsidRPr="0081664D">
        <w:rPr>
          <w:rStyle w:val="Strong"/>
          <w:rFonts w:cs="Arial"/>
          <w:b w:val="0"/>
          <w:bCs w:val="0"/>
          <w:sz w:val="20"/>
          <w:szCs w:val="20"/>
        </w:rPr>
        <w:t>Core Operating Model</w:t>
      </w:r>
    </w:p>
    <w:p w14:paraId="1E1DFBFA" w14:textId="77777777" w:rsidR="0081664D" w:rsidRPr="0081664D" w:rsidRDefault="0081664D" w:rsidP="00BB2260">
      <w:pPr>
        <w:pStyle w:val="NormalWeb"/>
        <w:numPr>
          <w:ilvl w:val="0"/>
          <w:numId w:val="10"/>
        </w:numPr>
        <w:snapToGrid w:val="0"/>
        <w:spacing w:before="60" w:beforeAutospacing="0" w:after="0" w:afterAutospacing="0"/>
        <w:contextualSpacing/>
        <w:rPr>
          <w:rFonts w:ascii="Arial" w:hAnsi="Arial" w:cs="Arial"/>
        </w:rPr>
      </w:pPr>
      <w:r w:rsidRPr="0081664D">
        <w:rPr>
          <w:rStyle w:val="Strong"/>
          <w:rFonts w:ascii="Arial" w:eastAsiaTheme="majorEastAsia" w:hAnsi="Arial" w:cs="Arial"/>
        </w:rPr>
        <w:t>Program Office</w:t>
      </w:r>
      <w:r w:rsidRPr="0081664D">
        <w:rPr>
          <w:rFonts w:ascii="Arial" w:hAnsi="Arial" w:cs="Arial"/>
        </w:rPr>
        <w:t>: TAPFIN sets up a governance layer that sits between the client and staffing suppliers.</w:t>
      </w:r>
    </w:p>
    <w:p w14:paraId="7F58698D" w14:textId="77777777" w:rsidR="0081664D" w:rsidRPr="0081664D" w:rsidRDefault="0081664D" w:rsidP="00BB2260">
      <w:pPr>
        <w:pStyle w:val="NormalWeb"/>
        <w:numPr>
          <w:ilvl w:val="0"/>
          <w:numId w:val="10"/>
        </w:numPr>
        <w:snapToGrid w:val="0"/>
        <w:spacing w:before="60" w:beforeAutospacing="0" w:after="0" w:afterAutospacing="0"/>
        <w:contextualSpacing/>
        <w:rPr>
          <w:rFonts w:ascii="Arial" w:hAnsi="Arial" w:cs="Arial"/>
        </w:rPr>
      </w:pPr>
      <w:r w:rsidRPr="0081664D">
        <w:rPr>
          <w:rStyle w:val="Strong"/>
          <w:rFonts w:ascii="Arial" w:eastAsiaTheme="majorEastAsia" w:hAnsi="Arial" w:cs="Arial"/>
        </w:rPr>
        <w:t>Supplier Management</w:t>
      </w:r>
      <w:r w:rsidRPr="0081664D">
        <w:rPr>
          <w:rFonts w:ascii="Arial" w:hAnsi="Arial" w:cs="Arial"/>
        </w:rPr>
        <w:t>: TAPFIN vets, contracts, and performance-manages a panel of staffing vendors.</w:t>
      </w:r>
    </w:p>
    <w:p w14:paraId="7DD64E37" w14:textId="77777777" w:rsidR="0081664D" w:rsidRPr="0081664D" w:rsidRDefault="0081664D" w:rsidP="00BB2260">
      <w:pPr>
        <w:pStyle w:val="NormalWeb"/>
        <w:numPr>
          <w:ilvl w:val="0"/>
          <w:numId w:val="10"/>
        </w:numPr>
        <w:snapToGrid w:val="0"/>
        <w:spacing w:before="60" w:beforeAutospacing="0" w:after="0" w:afterAutospacing="0"/>
        <w:contextualSpacing/>
        <w:rPr>
          <w:rFonts w:ascii="Arial" w:hAnsi="Arial" w:cs="Arial"/>
        </w:rPr>
      </w:pPr>
      <w:r w:rsidRPr="0081664D">
        <w:rPr>
          <w:rStyle w:val="Strong"/>
          <w:rFonts w:ascii="Arial" w:eastAsiaTheme="majorEastAsia" w:hAnsi="Arial" w:cs="Arial"/>
        </w:rPr>
        <w:t>Technology</w:t>
      </w:r>
      <w:r w:rsidRPr="0081664D">
        <w:rPr>
          <w:rFonts w:ascii="Arial" w:hAnsi="Arial" w:cs="Arial"/>
        </w:rPr>
        <w:t xml:space="preserve">: runs on </w:t>
      </w:r>
      <w:r w:rsidRPr="0081664D">
        <w:rPr>
          <w:rStyle w:val="Strong"/>
          <w:rFonts w:ascii="Arial" w:eastAsiaTheme="majorEastAsia" w:hAnsi="Arial" w:cs="Arial"/>
        </w:rPr>
        <w:t>Vendor Management Systems (VMS)</w:t>
      </w:r>
      <w:r w:rsidRPr="0081664D">
        <w:rPr>
          <w:rFonts w:ascii="Arial" w:hAnsi="Arial" w:cs="Arial"/>
        </w:rPr>
        <w:t xml:space="preserve"> like Beeline, SAP Fieldglass, or TAPFIN’s own </w:t>
      </w:r>
      <w:proofErr w:type="spellStart"/>
      <w:r w:rsidRPr="0081664D">
        <w:rPr>
          <w:rStyle w:val="Strong"/>
          <w:rFonts w:ascii="Arial" w:eastAsiaTheme="majorEastAsia" w:hAnsi="Arial" w:cs="Arial"/>
        </w:rPr>
        <w:t>IntelliReach</w:t>
      </w:r>
      <w:proofErr w:type="spellEnd"/>
      <w:r w:rsidRPr="0081664D">
        <w:rPr>
          <w:rStyle w:val="Strong"/>
          <w:rFonts w:ascii="Arial" w:eastAsiaTheme="majorEastAsia" w:hAnsi="Arial" w:cs="Arial"/>
        </w:rPr>
        <w:t xml:space="preserve"> BI</w:t>
      </w:r>
      <w:r w:rsidRPr="0081664D">
        <w:rPr>
          <w:rFonts w:ascii="Arial" w:hAnsi="Arial" w:cs="Arial"/>
        </w:rPr>
        <w:t xml:space="preserve"> platform.</w:t>
      </w:r>
    </w:p>
    <w:p w14:paraId="218387E6" w14:textId="77777777" w:rsidR="0081664D" w:rsidRPr="0081664D" w:rsidRDefault="0081664D" w:rsidP="00BB2260">
      <w:pPr>
        <w:pStyle w:val="NormalWeb"/>
        <w:numPr>
          <w:ilvl w:val="0"/>
          <w:numId w:val="10"/>
        </w:numPr>
        <w:snapToGrid w:val="0"/>
        <w:spacing w:before="60" w:beforeAutospacing="0" w:after="0" w:afterAutospacing="0"/>
        <w:contextualSpacing/>
        <w:rPr>
          <w:rFonts w:ascii="Arial" w:hAnsi="Arial" w:cs="Arial"/>
        </w:rPr>
      </w:pPr>
      <w:r w:rsidRPr="0081664D">
        <w:rPr>
          <w:rStyle w:val="Strong"/>
          <w:rFonts w:ascii="Arial" w:eastAsiaTheme="majorEastAsia" w:hAnsi="Arial" w:cs="Arial"/>
        </w:rPr>
        <w:t>Global Playbooks</w:t>
      </w:r>
      <w:r w:rsidRPr="0081664D">
        <w:rPr>
          <w:rFonts w:ascii="Arial" w:hAnsi="Arial" w:cs="Arial"/>
        </w:rPr>
        <w:t>: standardized workflows for sourcing, onboarding, timesheets, payments, and compliance.</w:t>
      </w:r>
    </w:p>
    <w:p w14:paraId="1F82A295" w14:textId="77777777" w:rsidR="0081664D" w:rsidRPr="0081664D" w:rsidRDefault="0081664D" w:rsidP="00BB2260">
      <w:pPr>
        <w:pStyle w:val="Heading3"/>
        <w:snapToGrid w:val="0"/>
        <w:spacing w:before="60" w:beforeAutospacing="0" w:after="0" w:afterAutospacing="0"/>
        <w:contextualSpacing/>
        <w:rPr>
          <w:rFonts w:cs="Arial"/>
          <w:sz w:val="20"/>
          <w:szCs w:val="20"/>
        </w:rPr>
      </w:pPr>
      <w:r w:rsidRPr="0081664D">
        <w:rPr>
          <w:rFonts w:cs="Arial"/>
          <w:sz w:val="20"/>
          <w:szCs w:val="20"/>
        </w:rPr>
        <w:t xml:space="preserve">3. </w:t>
      </w:r>
      <w:r w:rsidRPr="0081664D">
        <w:rPr>
          <w:rStyle w:val="Strong"/>
          <w:rFonts w:cs="Arial"/>
          <w:b w:val="0"/>
          <w:bCs w:val="0"/>
          <w:sz w:val="20"/>
          <w:szCs w:val="20"/>
        </w:rPr>
        <w:t>SLAs with Customers</w:t>
      </w:r>
      <w:r w:rsidRPr="0081664D">
        <w:rPr>
          <w:rFonts w:cs="Arial"/>
          <w:sz w:val="20"/>
          <w:szCs w:val="20"/>
        </w:rPr>
        <w:t xml:space="preserve"> (The Heart of TAPFIN’s Value)</w:t>
      </w:r>
    </w:p>
    <w:p w14:paraId="71A3E127" w14:textId="77777777" w:rsidR="0081664D" w:rsidRPr="0081664D" w:rsidRDefault="0081664D" w:rsidP="00BB2260">
      <w:pPr>
        <w:pStyle w:val="NormalWeb"/>
        <w:snapToGrid w:val="0"/>
        <w:spacing w:before="60" w:beforeAutospacing="0" w:after="0" w:afterAutospacing="0"/>
        <w:contextualSpacing/>
        <w:rPr>
          <w:rFonts w:ascii="Arial" w:hAnsi="Arial" w:cs="Arial"/>
        </w:rPr>
      </w:pPr>
      <w:r w:rsidRPr="0081664D">
        <w:rPr>
          <w:rFonts w:ascii="Arial" w:hAnsi="Arial" w:cs="Arial"/>
        </w:rPr>
        <w:t xml:space="preserve">SLAs are </w:t>
      </w:r>
      <w:r w:rsidRPr="0081664D">
        <w:rPr>
          <w:rStyle w:val="Strong"/>
          <w:rFonts w:ascii="Arial" w:eastAsiaTheme="majorEastAsia" w:hAnsi="Arial" w:cs="Arial"/>
        </w:rPr>
        <w:t>explicit performance commitments</w:t>
      </w:r>
      <w:r w:rsidRPr="0081664D">
        <w:rPr>
          <w:rFonts w:ascii="Arial" w:hAnsi="Arial" w:cs="Arial"/>
        </w:rPr>
        <w:t xml:space="preserve"> that TAPFIN signs with clients. They ensure measurable, predictable outcomes in workforce programs. Common SLAs include:</w:t>
      </w:r>
    </w:p>
    <w:p w14:paraId="370189C2" w14:textId="77777777" w:rsidR="0081664D" w:rsidRPr="0081664D" w:rsidRDefault="0081664D" w:rsidP="00BB2260">
      <w:pPr>
        <w:pStyle w:val="NormalWeb"/>
        <w:numPr>
          <w:ilvl w:val="0"/>
          <w:numId w:val="11"/>
        </w:numPr>
        <w:snapToGrid w:val="0"/>
        <w:spacing w:before="60" w:beforeAutospacing="0" w:after="0" w:afterAutospacing="0"/>
        <w:contextualSpacing/>
        <w:rPr>
          <w:rFonts w:ascii="Arial" w:hAnsi="Arial" w:cs="Arial"/>
        </w:rPr>
      </w:pPr>
      <w:r w:rsidRPr="0081664D">
        <w:rPr>
          <w:rStyle w:val="Strong"/>
          <w:rFonts w:ascii="Arial" w:eastAsiaTheme="majorEastAsia" w:hAnsi="Arial" w:cs="Arial"/>
        </w:rPr>
        <w:t>Time-to-Fill</w:t>
      </w:r>
      <w:r w:rsidRPr="0081664D">
        <w:rPr>
          <w:rFonts w:ascii="Arial" w:hAnsi="Arial" w:cs="Arial"/>
        </w:rPr>
        <w:t>: e.g. “95% of contingent requisitions filled within 10 business days.”</w:t>
      </w:r>
    </w:p>
    <w:p w14:paraId="510EA33A" w14:textId="77777777" w:rsidR="0081664D" w:rsidRPr="0081664D" w:rsidRDefault="0081664D" w:rsidP="00BB2260">
      <w:pPr>
        <w:pStyle w:val="NormalWeb"/>
        <w:numPr>
          <w:ilvl w:val="0"/>
          <w:numId w:val="11"/>
        </w:numPr>
        <w:snapToGrid w:val="0"/>
        <w:spacing w:before="60" w:beforeAutospacing="0" w:after="0" w:afterAutospacing="0"/>
        <w:contextualSpacing/>
        <w:rPr>
          <w:rFonts w:ascii="Arial" w:hAnsi="Arial" w:cs="Arial"/>
        </w:rPr>
      </w:pPr>
      <w:r w:rsidRPr="0081664D">
        <w:rPr>
          <w:rStyle w:val="Strong"/>
          <w:rFonts w:ascii="Arial" w:eastAsiaTheme="majorEastAsia" w:hAnsi="Arial" w:cs="Arial"/>
        </w:rPr>
        <w:t>Submission-to-Hire Ratio</w:t>
      </w:r>
      <w:r w:rsidRPr="0081664D">
        <w:rPr>
          <w:rFonts w:ascii="Arial" w:hAnsi="Arial" w:cs="Arial"/>
        </w:rPr>
        <w:t>: e.g. “Supplier must submit no more than 3 candidates per hire on average.”</w:t>
      </w:r>
    </w:p>
    <w:p w14:paraId="3998DA69" w14:textId="77777777" w:rsidR="0081664D" w:rsidRPr="0081664D" w:rsidRDefault="0081664D" w:rsidP="00BB2260">
      <w:pPr>
        <w:pStyle w:val="NormalWeb"/>
        <w:numPr>
          <w:ilvl w:val="0"/>
          <w:numId w:val="11"/>
        </w:numPr>
        <w:snapToGrid w:val="0"/>
        <w:spacing w:before="60" w:beforeAutospacing="0" w:after="0" w:afterAutospacing="0"/>
        <w:contextualSpacing/>
        <w:rPr>
          <w:rFonts w:ascii="Arial" w:hAnsi="Arial" w:cs="Arial"/>
        </w:rPr>
      </w:pPr>
      <w:r w:rsidRPr="0081664D">
        <w:rPr>
          <w:rStyle w:val="Strong"/>
          <w:rFonts w:ascii="Arial" w:eastAsiaTheme="majorEastAsia" w:hAnsi="Arial" w:cs="Arial"/>
        </w:rPr>
        <w:t>Compliance Accuracy</w:t>
      </w:r>
      <w:r w:rsidRPr="0081664D">
        <w:rPr>
          <w:rFonts w:ascii="Arial" w:hAnsi="Arial" w:cs="Arial"/>
        </w:rPr>
        <w:t>: e.g. “100% of contingent workers classified correctly (IR35, SoW, payroll taxes).”</w:t>
      </w:r>
    </w:p>
    <w:p w14:paraId="37FFCF07" w14:textId="77777777" w:rsidR="0081664D" w:rsidRPr="0081664D" w:rsidRDefault="0081664D" w:rsidP="00BB2260">
      <w:pPr>
        <w:pStyle w:val="NormalWeb"/>
        <w:numPr>
          <w:ilvl w:val="0"/>
          <w:numId w:val="11"/>
        </w:numPr>
        <w:snapToGrid w:val="0"/>
        <w:spacing w:before="60" w:beforeAutospacing="0" w:after="0" w:afterAutospacing="0"/>
        <w:contextualSpacing/>
        <w:rPr>
          <w:rFonts w:ascii="Arial" w:hAnsi="Arial" w:cs="Arial"/>
        </w:rPr>
      </w:pPr>
      <w:r w:rsidRPr="0081664D">
        <w:rPr>
          <w:rStyle w:val="Strong"/>
          <w:rFonts w:ascii="Arial" w:eastAsiaTheme="majorEastAsia" w:hAnsi="Arial" w:cs="Arial"/>
        </w:rPr>
        <w:t>Cost Savings</w:t>
      </w:r>
      <w:r w:rsidRPr="0081664D">
        <w:rPr>
          <w:rFonts w:ascii="Arial" w:hAnsi="Arial" w:cs="Arial"/>
        </w:rPr>
        <w:t>: e.g. “Achieve 8–12% cost reduction vs baseline bill rates in year 1.”</w:t>
      </w:r>
    </w:p>
    <w:p w14:paraId="6BB6140F" w14:textId="77777777" w:rsidR="0081664D" w:rsidRPr="0081664D" w:rsidRDefault="0081664D" w:rsidP="00BB2260">
      <w:pPr>
        <w:pStyle w:val="NormalWeb"/>
        <w:numPr>
          <w:ilvl w:val="0"/>
          <w:numId w:val="11"/>
        </w:numPr>
        <w:snapToGrid w:val="0"/>
        <w:spacing w:before="60" w:beforeAutospacing="0" w:after="0" w:afterAutospacing="0"/>
        <w:contextualSpacing/>
        <w:rPr>
          <w:rFonts w:ascii="Arial" w:hAnsi="Arial" w:cs="Arial"/>
        </w:rPr>
      </w:pPr>
      <w:r w:rsidRPr="0081664D">
        <w:rPr>
          <w:rStyle w:val="Strong"/>
          <w:rFonts w:ascii="Arial" w:eastAsiaTheme="majorEastAsia" w:hAnsi="Arial" w:cs="Arial"/>
        </w:rPr>
        <w:t>Supplier Diversity</w:t>
      </w:r>
      <w:r w:rsidRPr="0081664D">
        <w:rPr>
          <w:rFonts w:ascii="Arial" w:hAnsi="Arial" w:cs="Arial"/>
        </w:rPr>
        <w:t>: e.g. “20% of spend must flow through certified diverse suppliers.”</w:t>
      </w:r>
    </w:p>
    <w:p w14:paraId="432C7F75" w14:textId="77777777" w:rsidR="0081664D" w:rsidRPr="0081664D" w:rsidRDefault="0081664D" w:rsidP="00BB2260">
      <w:pPr>
        <w:pStyle w:val="NormalWeb"/>
        <w:numPr>
          <w:ilvl w:val="0"/>
          <w:numId w:val="11"/>
        </w:numPr>
        <w:snapToGrid w:val="0"/>
        <w:spacing w:before="60" w:beforeAutospacing="0" w:after="0" w:afterAutospacing="0"/>
        <w:contextualSpacing/>
        <w:rPr>
          <w:rFonts w:ascii="Arial" w:hAnsi="Arial" w:cs="Arial"/>
        </w:rPr>
      </w:pPr>
      <w:r w:rsidRPr="0081664D">
        <w:rPr>
          <w:rStyle w:val="Strong"/>
          <w:rFonts w:ascii="Arial" w:eastAsiaTheme="majorEastAsia" w:hAnsi="Arial" w:cs="Arial"/>
        </w:rPr>
        <w:t>Worker Quality</w:t>
      </w:r>
      <w:r w:rsidRPr="0081664D">
        <w:rPr>
          <w:rFonts w:ascii="Arial" w:hAnsi="Arial" w:cs="Arial"/>
        </w:rPr>
        <w:t>: measured by assignment completion rates, re-engagement rates, manager satisfaction.</w:t>
      </w:r>
    </w:p>
    <w:p w14:paraId="1D2276A9" w14:textId="7EC43786" w:rsidR="0081664D" w:rsidRPr="0081664D" w:rsidRDefault="0081664D" w:rsidP="00BB2260">
      <w:pPr>
        <w:pStyle w:val="NormalWeb"/>
        <w:snapToGrid w:val="0"/>
        <w:spacing w:before="60" w:beforeAutospacing="0" w:after="0" w:afterAutospacing="0"/>
        <w:contextualSpacing/>
        <w:rPr>
          <w:rFonts w:ascii="Arial" w:hAnsi="Arial" w:cs="Arial"/>
        </w:rPr>
      </w:pPr>
      <w:r w:rsidRPr="0081664D">
        <w:rPr>
          <w:rFonts w:ascii="Arial" w:hAnsi="Arial" w:cs="Arial"/>
        </w:rPr>
        <w:t xml:space="preserve">These SLAs are tracked continuously via dashboards and </w:t>
      </w:r>
      <w:r w:rsidRPr="0081664D">
        <w:rPr>
          <w:rStyle w:val="Strong"/>
          <w:rFonts w:ascii="Arial" w:eastAsiaTheme="majorEastAsia" w:hAnsi="Arial" w:cs="Arial"/>
        </w:rPr>
        <w:t>enforced with escalation processes</w:t>
      </w:r>
      <w:r w:rsidRPr="0081664D">
        <w:rPr>
          <w:rFonts w:ascii="Arial" w:hAnsi="Arial" w:cs="Arial"/>
        </w:rPr>
        <w:t>:</w:t>
      </w:r>
    </w:p>
    <w:p w14:paraId="4E2EEBFD" w14:textId="77777777" w:rsidR="0081664D" w:rsidRPr="0081664D" w:rsidRDefault="0081664D" w:rsidP="00BB2260">
      <w:pPr>
        <w:pStyle w:val="NormalWeb"/>
        <w:numPr>
          <w:ilvl w:val="0"/>
          <w:numId w:val="12"/>
        </w:numPr>
        <w:snapToGrid w:val="0"/>
        <w:spacing w:before="60" w:beforeAutospacing="0" w:after="0" w:afterAutospacing="0"/>
        <w:contextualSpacing/>
        <w:rPr>
          <w:rFonts w:ascii="Arial" w:hAnsi="Arial" w:cs="Arial"/>
        </w:rPr>
      </w:pPr>
      <w:r w:rsidRPr="0081664D">
        <w:rPr>
          <w:rFonts w:ascii="Arial" w:hAnsi="Arial" w:cs="Arial"/>
        </w:rPr>
        <w:t>If a supplier or TAPFIN misses SLAs, remediation is triggered (warnings, coaching, or replacement).</w:t>
      </w:r>
    </w:p>
    <w:p w14:paraId="79202465" w14:textId="77777777" w:rsidR="0081664D" w:rsidRPr="0081664D" w:rsidRDefault="0081664D" w:rsidP="00BB2260">
      <w:pPr>
        <w:pStyle w:val="NormalWeb"/>
        <w:numPr>
          <w:ilvl w:val="0"/>
          <w:numId w:val="12"/>
        </w:numPr>
        <w:snapToGrid w:val="0"/>
        <w:spacing w:before="60" w:beforeAutospacing="0" w:after="0" w:afterAutospacing="0"/>
        <w:contextualSpacing/>
        <w:rPr>
          <w:rFonts w:ascii="Arial" w:hAnsi="Arial" w:cs="Arial"/>
        </w:rPr>
      </w:pPr>
      <w:r w:rsidRPr="0081664D">
        <w:rPr>
          <w:rFonts w:ascii="Arial" w:hAnsi="Arial" w:cs="Arial"/>
        </w:rPr>
        <w:t>If TAPFIN misses program-level SLAs, credits or penalties can apply (e.g. management fee reduction).</w:t>
      </w:r>
    </w:p>
    <w:p w14:paraId="5104AF38" w14:textId="77777777" w:rsidR="0081664D" w:rsidRPr="0081664D" w:rsidRDefault="0081664D" w:rsidP="00BB2260">
      <w:pPr>
        <w:pStyle w:val="Heading3"/>
        <w:snapToGrid w:val="0"/>
        <w:spacing w:before="60" w:beforeAutospacing="0" w:after="0" w:afterAutospacing="0"/>
        <w:contextualSpacing/>
        <w:rPr>
          <w:rFonts w:cs="Arial"/>
          <w:sz w:val="20"/>
          <w:szCs w:val="20"/>
        </w:rPr>
      </w:pPr>
      <w:r w:rsidRPr="0081664D">
        <w:rPr>
          <w:rFonts w:cs="Arial"/>
          <w:sz w:val="20"/>
          <w:szCs w:val="20"/>
        </w:rPr>
        <w:t xml:space="preserve">4. </w:t>
      </w:r>
      <w:r w:rsidRPr="0081664D">
        <w:rPr>
          <w:rStyle w:val="Strong"/>
          <w:rFonts w:cs="Arial"/>
          <w:b w:val="0"/>
          <w:bCs w:val="0"/>
          <w:sz w:val="20"/>
          <w:szCs w:val="20"/>
        </w:rPr>
        <w:t>Governance &amp; Reporting</w:t>
      </w:r>
    </w:p>
    <w:p w14:paraId="3BC2CDD0" w14:textId="77777777" w:rsidR="0081664D" w:rsidRPr="0081664D" w:rsidRDefault="0081664D" w:rsidP="00BB2260">
      <w:pPr>
        <w:pStyle w:val="NormalWeb"/>
        <w:numPr>
          <w:ilvl w:val="0"/>
          <w:numId w:val="13"/>
        </w:numPr>
        <w:snapToGrid w:val="0"/>
        <w:spacing w:before="60" w:beforeAutospacing="0" w:after="0" w:afterAutospacing="0"/>
        <w:contextualSpacing/>
        <w:rPr>
          <w:rFonts w:ascii="Arial" w:hAnsi="Arial" w:cs="Arial"/>
        </w:rPr>
      </w:pPr>
      <w:r w:rsidRPr="0081664D">
        <w:rPr>
          <w:rStyle w:val="Strong"/>
          <w:rFonts w:ascii="Arial" w:eastAsiaTheme="majorEastAsia" w:hAnsi="Arial" w:cs="Arial"/>
        </w:rPr>
        <w:t>Quarterly Business Reviews (QBRs)</w:t>
      </w:r>
      <w:r w:rsidRPr="0081664D">
        <w:rPr>
          <w:rFonts w:ascii="Arial" w:hAnsi="Arial" w:cs="Arial"/>
        </w:rPr>
        <w:t xml:space="preserve"> with client executives where SLA adherence is reported.</w:t>
      </w:r>
    </w:p>
    <w:p w14:paraId="3B5E6F91" w14:textId="77777777" w:rsidR="0081664D" w:rsidRPr="0081664D" w:rsidRDefault="0081664D" w:rsidP="00BB2260">
      <w:pPr>
        <w:pStyle w:val="NormalWeb"/>
        <w:numPr>
          <w:ilvl w:val="0"/>
          <w:numId w:val="13"/>
        </w:numPr>
        <w:snapToGrid w:val="0"/>
        <w:spacing w:before="60" w:beforeAutospacing="0" w:after="0" w:afterAutospacing="0"/>
        <w:contextualSpacing/>
        <w:rPr>
          <w:rFonts w:ascii="Arial" w:hAnsi="Arial" w:cs="Arial"/>
        </w:rPr>
      </w:pPr>
      <w:r w:rsidRPr="0081664D">
        <w:rPr>
          <w:rStyle w:val="Strong"/>
          <w:rFonts w:ascii="Arial" w:eastAsiaTheme="majorEastAsia" w:hAnsi="Arial" w:cs="Arial"/>
        </w:rPr>
        <w:t>Real-time dashboards</w:t>
      </w:r>
      <w:r w:rsidRPr="0081664D">
        <w:rPr>
          <w:rFonts w:ascii="Arial" w:hAnsi="Arial" w:cs="Arial"/>
        </w:rPr>
        <w:t xml:space="preserve"> (via </w:t>
      </w:r>
      <w:proofErr w:type="spellStart"/>
      <w:r w:rsidRPr="0081664D">
        <w:rPr>
          <w:rFonts w:ascii="Arial" w:hAnsi="Arial" w:cs="Arial"/>
        </w:rPr>
        <w:t>IntelliReach</w:t>
      </w:r>
      <w:proofErr w:type="spellEnd"/>
      <w:r w:rsidRPr="0081664D">
        <w:rPr>
          <w:rFonts w:ascii="Arial" w:hAnsi="Arial" w:cs="Arial"/>
        </w:rPr>
        <w:t>) showing SLA compliance vs target.</w:t>
      </w:r>
    </w:p>
    <w:p w14:paraId="30EAE0B3" w14:textId="77777777" w:rsidR="0081664D" w:rsidRPr="0081664D" w:rsidRDefault="0081664D" w:rsidP="00BB2260">
      <w:pPr>
        <w:pStyle w:val="NormalWeb"/>
        <w:numPr>
          <w:ilvl w:val="0"/>
          <w:numId w:val="13"/>
        </w:numPr>
        <w:snapToGrid w:val="0"/>
        <w:spacing w:before="60" w:beforeAutospacing="0" w:after="0" w:afterAutospacing="0"/>
        <w:contextualSpacing/>
        <w:rPr>
          <w:rFonts w:ascii="Arial" w:hAnsi="Arial" w:cs="Arial"/>
        </w:rPr>
      </w:pPr>
      <w:r w:rsidRPr="0081664D">
        <w:rPr>
          <w:rStyle w:val="Strong"/>
          <w:rFonts w:ascii="Arial" w:eastAsiaTheme="majorEastAsia" w:hAnsi="Arial" w:cs="Arial"/>
        </w:rPr>
        <w:t>Continuous Improvement</w:t>
      </w:r>
      <w:r w:rsidRPr="0081664D">
        <w:rPr>
          <w:rFonts w:ascii="Arial" w:hAnsi="Arial" w:cs="Arial"/>
        </w:rPr>
        <w:t>: SLA baselines are tightened year over year (e.g. 12-day time-to-fill target becomes 10 days).</w:t>
      </w:r>
    </w:p>
    <w:p w14:paraId="47A52377" w14:textId="77777777" w:rsidR="0081664D" w:rsidRPr="0081664D" w:rsidRDefault="0081664D" w:rsidP="00BB2260">
      <w:pPr>
        <w:pStyle w:val="Heading3"/>
        <w:snapToGrid w:val="0"/>
        <w:spacing w:before="60" w:beforeAutospacing="0" w:after="0" w:afterAutospacing="0"/>
        <w:contextualSpacing/>
        <w:rPr>
          <w:rFonts w:cs="Arial"/>
          <w:sz w:val="20"/>
          <w:szCs w:val="20"/>
        </w:rPr>
      </w:pPr>
      <w:r w:rsidRPr="0081664D">
        <w:rPr>
          <w:rFonts w:cs="Arial"/>
          <w:sz w:val="20"/>
          <w:szCs w:val="20"/>
        </w:rPr>
        <w:t xml:space="preserve">5. </w:t>
      </w:r>
      <w:r w:rsidRPr="0081664D">
        <w:rPr>
          <w:rStyle w:val="Strong"/>
          <w:rFonts w:cs="Arial"/>
          <w:b w:val="0"/>
          <w:bCs w:val="0"/>
          <w:sz w:val="20"/>
          <w:szCs w:val="20"/>
        </w:rPr>
        <w:t>What Makes It Unique</w:t>
      </w:r>
    </w:p>
    <w:p w14:paraId="254E5EBA" w14:textId="77777777" w:rsidR="0081664D" w:rsidRPr="0081664D" w:rsidRDefault="0081664D" w:rsidP="00BB2260">
      <w:pPr>
        <w:pStyle w:val="NormalWeb"/>
        <w:numPr>
          <w:ilvl w:val="0"/>
          <w:numId w:val="14"/>
        </w:numPr>
        <w:snapToGrid w:val="0"/>
        <w:spacing w:before="60" w:beforeAutospacing="0" w:after="0" w:afterAutospacing="0"/>
        <w:contextualSpacing/>
        <w:rPr>
          <w:rFonts w:ascii="Arial" w:hAnsi="Arial" w:cs="Arial"/>
        </w:rPr>
      </w:pPr>
      <w:r w:rsidRPr="0081664D">
        <w:rPr>
          <w:rStyle w:val="Strong"/>
          <w:rFonts w:ascii="Arial" w:eastAsiaTheme="majorEastAsia" w:hAnsi="Arial" w:cs="Arial"/>
        </w:rPr>
        <w:t>Scale of Benchmarks</w:t>
      </w:r>
      <w:r w:rsidRPr="0081664D">
        <w:rPr>
          <w:rFonts w:ascii="Arial" w:hAnsi="Arial" w:cs="Arial"/>
        </w:rPr>
        <w:t>: TAPFIN runs hundreds of MSP programs globally → it knows what “good” looks like across industries.</w:t>
      </w:r>
    </w:p>
    <w:p w14:paraId="4A94DEE2" w14:textId="77777777" w:rsidR="0081664D" w:rsidRPr="0081664D" w:rsidRDefault="0081664D" w:rsidP="00BB2260">
      <w:pPr>
        <w:pStyle w:val="NormalWeb"/>
        <w:numPr>
          <w:ilvl w:val="0"/>
          <w:numId w:val="14"/>
        </w:numPr>
        <w:snapToGrid w:val="0"/>
        <w:spacing w:before="60" w:beforeAutospacing="0" w:after="0" w:afterAutospacing="0"/>
        <w:contextualSpacing/>
        <w:rPr>
          <w:rFonts w:ascii="Arial" w:hAnsi="Arial" w:cs="Arial"/>
        </w:rPr>
      </w:pPr>
      <w:r w:rsidRPr="0081664D">
        <w:rPr>
          <w:rStyle w:val="Strong"/>
          <w:rFonts w:ascii="Arial" w:eastAsiaTheme="majorEastAsia" w:hAnsi="Arial" w:cs="Arial"/>
        </w:rPr>
        <w:t>Neutral Orchestration</w:t>
      </w:r>
      <w:r w:rsidRPr="0081664D">
        <w:rPr>
          <w:rFonts w:ascii="Arial" w:hAnsi="Arial" w:cs="Arial"/>
        </w:rPr>
        <w:t>: It sits above suppliers, so it can enforce competition and quality.</w:t>
      </w:r>
    </w:p>
    <w:p w14:paraId="4C3771B9" w14:textId="77777777" w:rsidR="0081664D" w:rsidRPr="0081664D" w:rsidRDefault="0081664D" w:rsidP="00BB2260">
      <w:pPr>
        <w:pStyle w:val="NormalWeb"/>
        <w:numPr>
          <w:ilvl w:val="0"/>
          <w:numId w:val="14"/>
        </w:numPr>
        <w:snapToGrid w:val="0"/>
        <w:spacing w:before="60" w:beforeAutospacing="0" w:after="0" w:afterAutospacing="0"/>
        <w:contextualSpacing/>
        <w:rPr>
          <w:rFonts w:ascii="Arial" w:hAnsi="Arial" w:cs="Arial"/>
        </w:rPr>
      </w:pPr>
      <w:r w:rsidRPr="0081664D">
        <w:rPr>
          <w:rStyle w:val="Strong"/>
          <w:rFonts w:ascii="Arial" w:eastAsiaTheme="majorEastAsia" w:hAnsi="Arial" w:cs="Arial"/>
        </w:rPr>
        <w:t>Outcome Orientation</w:t>
      </w:r>
      <w:r w:rsidRPr="0081664D">
        <w:rPr>
          <w:rFonts w:ascii="Arial" w:hAnsi="Arial" w:cs="Arial"/>
        </w:rPr>
        <w:t>: Unlike HRIS or ATS vendors, TAPFIN signs up to measurable SLA outcomes and takes responsibility for delivery.</w:t>
      </w:r>
    </w:p>
    <w:p w14:paraId="35DD4358" w14:textId="77777777" w:rsidR="00F66373" w:rsidRDefault="00F66373" w:rsidP="00BB2260">
      <w:pPr>
        <w:pStyle w:val="NormalWeb"/>
        <w:snapToGrid w:val="0"/>
        <w:spacing w:before="60" w:beforeAutospacing="0" w:after="0" w:afterAutospacing="0"/>
        <w:contextualSpacing/>
        <w:rPr>
          <w:rFonts w:ascii="Apple Color Emoji" w:hAnsi="Apple Color Emoji" w:cs="Apple Color Emoji"/>
        </w:rPr>
      </w:pPr>
    </w:p>
    <w:p w14:paraId="12146F3C" w14:textId="442E0E09" w:rsidR="0081664D" w:rsidRPr="0081664D" w:rsidRDefault="0081664D" w:rsidP="00BB2260">
      <w:pPr>
        <w:pStyle w:val="NormalWeb"/>
        <w:snapToGrid w:val="0"/>
        <w:spacing w:before="60" w:beforeAutospacing="0" w:after="0" w:afterAutospacing="0"/>
        <w:contextualSpacing/>
        <w:rPr>
          <w:rFonts w:ascii="Arial" w:hAnsi="Arial" w:cs="Arial"/>
        </w:rPr>
      </w:pPr>
      <w:r w:rsidRPr="0081664D">
        <w:rPr>
          <w:rFonts w:ascii="Apple Color Emoji" w:hAnsi="Apple Color Emoji" w:cs="Apple Color Emoji"/>
        </w:rPr>
        <w:t>👉</w:t>
      </w:r>
      <w:r w:rsidRPr="0081664D">
        <w:rPr>
          <w:rFonts w:ascii="Arial" w:hAnsi="Arial" w:cs="Arial"/>
        </w:rPr>
        <w:t xml:space="preserve"> </w:t>
      </w:r>
      <w:r w:rsidRPr="0081664D">
        <w:rPr>
          <w:rStyle w:val="Strong"/>
          <w:rFonts w:ascii="Arial" w:eastAsiaTheme="majorEastAsia" w:hAnsi="Arial" w:cs="Arial"/>
        </w:rPr>
        <w:t>In the context of Internal Career Mobility (ICM)</w:t>
      </w:r>
      <w:r w:rsidRPr="0081664D">
        <w:rPr>
          <w:rFonts w:ascii="Arial" w:hAnsi="Arial" w:cs="Arial"/>
        </w:rPr>
        <w:t>:</w:t>
      </w:r>
      <w:r w:rsidRPr="0081664D">
        <w:rPr>
          <w:rFonts w:ascii="Arial" w:hAnsi="Arial" w:cs="Arial"/>
        </w:rPr>
        <w:br/>
        <w:t xml:space="preserve">TAPFIN’s SLA discipline could be applied to </w:t>
      </w:r>
      <w:r w:rsidRPr="0081664D">
        <w:rPr>
          <w:rStyle w:val="Strong"/>
          <w:rFonts w:ascii="Arial" w:eastAsiaTheme="majorEastAsia" w:hAnsi="Arial" w:cs="Arial"/>
        </w:rPr>
        <w:t>internal redeployment</w:t>
      </w:r>
      <w:r w:rsidRPr="0081664D">
        <w:rPr>
          <w:rFonts w:ascii="Arial" w:hAnsi="Arial" w:cs="Arial"/>
        </w:rPr>
        <w:t>:</w:t>
      </w:r>
    </w:p>
    <w:p w14:paraId="34FC0ED7" w14:textId="77777777" w:rsidR="0081664D" w:rsidRPr="0081664D" w:rsidRDefault="0081664D" w:rsidP="00BB2260">
      <w:pPr>
        <w:pStyle w:val="NormalWeb"/>
        <w:numPr>
          <w:ilvl w:val="0"/>
          <w:numId w:val="15"/>
        </w:numPr>
        <w:snapToGrid w:val="0"/>
        <w:spacing w:before="60" w:beforeAutospacing="0" w:after="0" w:afterAutospacing="0"/>
        <w:contextualSpacing/>
        <w:rPr>
          <w:rFonts w:ascii="Arial" w:hAnsi="Arial" w:cs="Arial"/>
        </w:rPr>
      </w:pPr>
      <w:r w:rsidRPr="0081664D">
        <w:rPr>
          <w:rStyle w:val="Emphasis"/>
          <w:rFonts w:ascii="Arial" w:eastAsiaTheme="majorEastAsia" w:hAnsi="Arial" w:cs="Arial"/>
        </w:rPr>
        <w:t>“90% of at-risk employees redeployed within 60 days”</w:t>
      </w:r>
    </w:p>
    <w:p w14:paraId="44D210DE" w14:textId="77777777" w:rsidR="0081664D" w:rsidRPr="0081664D" w:rsidRDefault="0081664D" w:rsidP="00BB2260">
      <w:pPr>
        <w:pStyle w:val="NormalWeb"/>
        <w:numPr>
          <w:ilvl w:val="0"/>
          <w:numId w:val="15"/>
        </w:numPr>
        <w:snapToGrid w:val="0"/>
        <w:spacing w:before="60" w:beforeAutospacing="0" w:after="0" w:afterAutospacing="0"/>
        <w:contextualSpacing/>
        <w:rPr>
          <w:rFonts w:ascii="Arial" w:hAnsi="Arial" w:cs="Arial"/>
        </w:rPr>
      </w:pPr>
      <w:r w:rsidRPr="0081664D">
        <w:rPr>
          <w:rStyle w:val="Emphasis"/>
          <w:rFonts w:ascii="Arial" w:eastAsiaTheme="majorEastAsia" w:hAnsi="Arial" w:cs="Arial"/>
        </w:rPr>
        <w:t>“100% manager release decisions made within 7 days, backed by instant TAPFIN backfills”</w:t>
      </w:r>
    </w:p>
    <w:p w14:paraId="49DDE86B" w14:textId="77777777" w:rsidR="0081664D" w:rsidRPr="0081664D" w:rsidRDefault="0081664D" w:rsidP="00BB2260">
      <w:pPr>
        <w:pStyle w:val="NormalWeb"/>
        <w:numPr>
          <w:ilvl w:val="0"/>
          <w:numId w:val="15"/>
        </w:numPr>
        <w:snapToGrid w:val="0"/>
        <w:spacing w:before="60" w:beforeAutospacing="0" w:after="0" w:afterAutospacing="0"/>
        <w:contextualSpacing/>
        <w:rPr>
          <w:rFonts w:ascii="Arial" w:hAnsi="Arial" w:cs="Arial"/>
        </w:rPr>
      </w:pPr>
      <w:r w:rsidRPr="0081664D">
        <w:rPr>
          <w:rStyle w:val="Emphasis"/>
          <w:rFonts w:ascii="Arial" w:eastAsiaTheme="majorEastAsia" w:hAnsi="Arial" w:cs="Arial"/>
        </w:rPr>
        <w:t>“80% of reskilled employees placed into roles with ≥12-month retention”</w:t>
      </w:r>
    </w:p>
    <w:p w14:paraId="0BF9DBCC" w14:textId="2EE51166" w:rsidR="0081664D" w:rsidRPr="003E3B10" w:rsidRDefault="0081664D" w:rsidP="00F66373">
      <w:pPr>
        <w:pStyle w:val="NormalWeb"/>
        <w:snapToGrid w:val="0"/>
        <w:spacing w:before="60" w:beforeAutospacing="0" w:after="0" w:afterAutospacing="0"/>
        <w:contextualSpacing/>
        <w:rPr>
          <w:rFonts w:ascii="Arial" w:hAnsi="Arial" w:cs="Arial"/>
        </w:rPr>
      </w:pPr>
      <w:r w:rsidRPr="0081664D">
        <w:rPr>
          <w:rFonts w:ascii="Arial" w:hAnsi="Arial" w:cs="Arial"/>
        </w:rPr>
        <w:t xml:space="preserve">This is a </w:t>
      </w:r>
      <w:r w:rsidRPr="0081664D">
        <w:rPr>
          <w:rStyle w:val="Strong"/>
          <w:rFonts w:ascii="Arial" w:eastAsiaTheme="majorEastAsia" w:hAnsi="Arial" w:cs="Arial"/>
        </w:rPr>
        <w:t>game-changer</w:t>
      </w:r>
      <w:r w:rsidRPr="0081664D">
        <w:rPr>
          <w:rFonts w:ascii="Arial" w:hAnsi="Arial" w:cs="Arial"/>
        </w:rPr>
        <w:t>, because no internal mobility software vendor offers SLA-backed guarantees — only Manpower/TAPFIN has the governance model and supplier networks to deliver it.</w:t>
      </w:r>
    </w:p>
    <w:p w14:paraId="7C02E216" w14:textId="2EF921D0" w:rsidR="00D7733D" w:rsidRPr="00D7733D" w:rsidRDefault="003E3B10" w:rsidP="003E3B10">
      <w:pPr>
        <w:pStyle w:val="Heading1"/>
        <w:rPr>
          <w:rFonts w:eastAsia="Times New Roman"/>
        </w:rPr>
      </w:pPr>
      <w:r>
        <w:rPr>
          <w:rFonts w:eastAsia="Times New Roman"/>
        </w:rPr>
        <w:br w:type="column"/>
      </w:r>
      <w:r w:rsidR="00D7733D" w:rsidRPr="00D7733D">
        <w:rPr>
          <w:rFonts w:eastAsia="Times New Roman"/>
        </w:rPr>
        <w:lastRenderedPageBreak/>
        <w:t xml:space="preserve">Employer Dashboard Walk-through Script </w:t>
      </w:r>
    </w:p>
    <w:p w14:paraId="1056BBB9" w14:textId="77777777" w:rsidR="00D7733D" w:rsidRDefault="00D7733D" w:rsidP="003E3B10">
      <w:r w:rsidRPr="00D7733D">
        <w:rPr>
          <w:b/>
          <w:bCs/>
        </w:rPr>
        <w:t>Executive KPIs</w:t>
      </w:r>
      <w:r w:rsidRPr="00D7733D">
        <w:br/>
        <w:t>“…We’re sh</w:t>
      </w:r>
      <w:r w:rsidRPr="003E3B10">
        <w:t>owi</w:t>
      </w:r>
      <w:r w:rsidRPr="00D7733D">
        <w:t xml:space="preserve">ng CFO-grade metrics that prove business impact in real time. And because Manpower already manages external placements and contingent talent, we can quantify savings versus external hiring with authority </w:t>
      </w:r>
    </w:p>
    <w:p w14:paraId="15A859E9" w14:textId="215D38BF" w:rsidR="00D7733D" w:rsidRPr="00D7733D" w:rsidRDefault="00D7733D" w:rsidP="003E3B10">
      <w:r w:rsidRPr="00D7733D">
        <w:t>(TAPFIN — using its Managed Service Provider program data: real-time cost benchmarking from thousands of contingent placements, time-to-fill and attrition curves across global supplier networks, and validated bill-rate benchmarks; this lets us not only calculate “savings vs external hires” but also prove the counterfactual with hard data, something internal HR cannot do).”</w:t>
      </w:r>
    </w:p>
    <w:p w14:paraId="768DF31E" w14:textId="77777777" w:rsidR="00D7733D" w:rsidRPr="00D7733D" w:rsidRDefault="00540BB4" w:rsidP="003E3B10">
      <w:r w:rsidRPr="00540BB4">
        <w:rPr>
          <w:noProof/>
          <w14:ligatures w14:val="standardContextual"/>
        </w:rPr>
        <w:pict w14:anchorId="7B678BB9">
          <v:rect id="_x0000_i1035" alt="" style="width:468pt;height:.05pt;mso-width-percent:0;mso-height-percent:0;mso-width-percent:0;mso-height-percent:0" o:hralign="center" o:hrstd="t" o:hr="t" fillcolor="#a0a0a0" stroked="f"/>
        </w:pict>
      </w:r>
    </w:p>
    <w:p w14:paraId="5DCBEECB" w14:textId="77777777" w:rsidR="00D7733D" w:rsidRDefault="00D7733D" w:rsidP="003E3B10">
      <w:r w:rsidRPr="00D7733D">
        <w:rPr>
          <w:b/>
          <w:bCs/>
        </w:rPr>
        <w:t>Redeployment Pipeline</w:t>
      </w:r>
      <w:r w:rsidRPr="00D7733D">
        <w:br/>
        <w:t xml:space="preserve">“…Here, we expose the problem </w:t>
      </w:r>
      <w:proofErr w:type="gramStart"/>
      <w:r w:rsidRPr="00D7733D">
        <w:t>early, and</w:t>
      </w:r>
      <w:proofErr w:type="gramEnd"/>
      <w:r w:rsidRPr="00D7733D">
        <w:t xml:space="preserve"> give leaders a lever to act before attrition costs hit. And with TAPFIN’s global managed services, Manpower can </w:t>
      </w:r>
      <w:proofErr w:type="gramStart"/>
      <w:r w:rsidRPr="00D7733D">
        <w:t>actually enforce</w:t>
      </w:r>
      <w:proofErr w:type="gramEnd"/>
      <w:r w:rsidRPr="00D7733D">
        <w:t xml:space="preserve"> SLAs, ensuring redeployments happen in under 60 days </w:t>
      </w:r>
    </w:p>
    <w:p w14:paraId="3EB4BDEF" w14:textId="6A6C74DB" w:rsidR="00D7733D" w:rsidRPr="00D7733D" w:rsidRDefault="00D7733D" w:rsidP="003E3B10">
      <w:r w:rsidRPr="00D7733D">
        <w:t>(TAPFIN — program governance layer: service-level agreement monitoring tied to actual case-level data, escalation workflows across 100+ MSP clients, and global dashboards that track “time to redeploy” vs “time to attrition” across industries; these benchmarks are unique to TAPFIN’s scale, allowing enforcement of a ≤60-day redeployment SLA).”</w:t>
      </w:r>
    </w:p>
    <w:p w14:paraId="36E75337" w14:textId="77777777" w:rsidR="00D7733D" w:rsidRPr="00D7733D" w:rsidRDefault="00540BB4" w:rsidP="003E3B10">
      <w:r w:rsidRPr="00540BB4">
        <w:rPr>
          <w:noProof/>
          <w14:ligatures w14:val="standardContextual"/>
        </w:rPr>
        <w:pict w14:anchorId="4E6828AD">
          <v:rect id="_x0000_i1034" alt="" style="width:468pt;height:.05pt;mso-width-percent:0;mso-height-percent:0;mso-width-percent:0;mso-height-percent:0" o:hralign="center" o:hrstd="t" o:hr="t" fillcolor="#a0a0a0" stroked="f"/>
        </w:pict>
      </w:r>
    </w:p>
    <w:p w14:paraId="2B520226" w14:textId="77777777" w:rsidR="00D7733D" w:rsidRDefault="00D7733D" w:rsidP="003E3B10">
      <w:r w:rsidRPr="00D7733D">
        <w:rPr>
          <w:b/>
          <w:bCs/>
        </w:rPr>
        <w:t>MEOS Signals</w:t>
      </w:r>
      <w:r w:rsidRPr="00D7733D">
        <w:br/>
        <w:t>“…On the right you see live labor market signals: global Net Employment Outlook and the Talent Shortage index.</w:t>
      </w:r>
      <w:r w:rsidRPr="00D7733D">
        <w:br/>
        <w:t xml:space="preserve">Why disruptive? Because we fuse </w:t>
      </w:r>
      <w:r w:rsidRPr="00D7733D">
        <w:rPr>
          <w:b/>
          <w:bCs/>
        </w:rPr>
        <w:t>internal data</w:t>
      </w:r>
      <w:r w:rsidRPr="00D7733D">
        <w:t xml:space="preserve"> with </w:t>
      </w:r>
      <w:r w:rsidRPr="00D7733D">
        <w:rPr>
          <w:b/>
          <w:bCs/>
        </w:rPr>
        <w:t>external Manpower intelligence</w:t>
      </w:r>
      <w:r w:rsidRPr="00D7733D">
        <w:t xml:space="preserve">. Manpower has proprietary MEOS data that no competitor can match — giving clients predictive power others can’t </w:t>
      </w:r>
    </w:p>
    <w:p w14:paraId="63703334" w14:textId="7394B789" w:rsidR="00D7733D" w:rsidRPr="00D7733D" w:rsidRDefault="00D7733D" w:rsidP="003E3B10">
      <w:r w:rsidRPr="00D7733D">
        <w:t>(MEOS — quarterly survey of &gt;40,000 employers worldwide, broken down by country, sector, and role-family; the Net Employment Outlook by sector provides leading indicators of hiring intentions, while the Talent Shortage Index quantifies the % of employers reporting difficulty filling specific skill clusters; this combination enables proactive mobility planning tied to external demand signals).”</w:t>
      </w:r>
    </w:p>
    <w:p w14:paraId="62694401" w14:textId="77777777" w:rsidR="00D7733D" w:rsidRPr="00D7733D" w:rsidRDefault="00540BB4" w:rsidP="003E3B10">
      <w:r w:rsidRPr="00540BB4">
        <w:rPr>
          <w:noProof/>
          <w14:ligatures w14:val="standardContextual"/>
        </w:rPr>
        <w:pict w14:anchorId="0CED410E">
          <v:rect id="_x0000_i1033" alt="" style="width:468pt;height:.05pt;mso-width-percent:0;mso-height-percent:0;mso-width-percent:0;mso-height-percent:0" o:hralign="center" o:hrstd="t" o:hr="t" fillcolor="#a0a0a0" stroked="f"/>
        </w:pict>
      </w:r>
    </w:p>
    <w:p w14:paraId="3D2B2A95" w14:textId="77777777" w:rsidR="00D7733D" w:rsidRDefault="00D7733D" w:rsidP="003E3B10">
      <w:r w:rsidRPr="00D7733D">
        <w:rPr>
          <w:b/>
          <w:bCs/>
        </w:rPr>
        <w:t>Skills Heatmap</w:t>
      </w:r>
      <w:r w:rsidRPr="00D7733D">
        <w:br/>
        <w:t>“…It quantifies overlap, training hours, and confidence of placement.</w:t>
      </w:r>
      <w:r w:rsidRPr="00D7733D">
        <w:br/>
        <w:t xml:space="preserve">Why disruptive? Because it moves reskilling out of vague promises and into predictable pathways. And with Manpower’s training partnerships and scale, we can guarantee interviews or placements — something no software-only vendor can credibly offer </w:t>
      </w:r>
    </w:p>
    <w:p w14:paraId="7B62CCB3" w14:textId="04293D8E" w:rsidR="00D7733D" w:rsidRPr="00D7733D" w:rsidRDefault="00D7733D" w:rsidP="003E3B10">
      <w:r w:rsidRPr="00D7733D">
        <w:t>(TAPFIN — integration with its global supplier &amp; training vendor ecosystem: e.g., TAPFIN already sources niche skill training providers and measures “time-to-productivity” after reskilling; by plugging that into internal pathways, we can guarantee placements because we have both training and demand pipelines validated; MEOS — identifies which adjacent skills have highest external demand, so heatmap pathways are not academic but grounded in market pull).”</w:t>
      </w:r>
    </w:p>
    <w:p w14:paraId="1853F647" w14:textId="77777777" w:rsidR="00D7733D" w:rsidRPr="00D7733D" w:rsidRDefault="00540BB4" w:rsidP="003E3B10">
      <w:r w:rsidRPr="00540BB4">
        <w:rPr>
          <w:noProof/>
          <w14:ligatures w14:val="standardContextual"/>
        </w:rPr>
        <w:pict w14:anchorId="04E55F27">
          <v:rect id="_x0000_i1032" alt="" style="width:468pt;height:.05pt;mso-width-percent:0;mso-height-percent:0;mso-width-percent:0;mso-height-percent:0" o:hralign="center" o:hrstd="t" o:hr="t" fillcolor="#a0a0a0" stroked="f"/>
        </w:pict>
      </w:r>
    </w:p>
    <w:p w14:paraId="6831A9EC" w14:textId="77777777" w:rsidR="00D7733D" w:rsidRDefault="00D7733D" w:rsidP="003E3B10">
      <w:r w:rsidRPr="00D7733D">
        <w:rPr>
          <w:b/>
          <w:bCs/>
        </w:rPr>
        <w:t>Backfill &amp; Compliance</w:t>
      </w:r>
      <w:r w:rsidRPr="00D7733D">
        <w:br/>
        <w:t xml:space="preserve">“…Managers’ biggest fear with mobility is losing talent and leaving gaps. Manpower can uniquely solve this by providing immediate bench talent while handling compliance risk end-to-end </w:t>
      </w:r>
    </w:p>
    <w:p w14:paraId="681BB006" w14:textId="3C0D603C" w:rsidR="00D7733D" w:rsidRPr="00D7733D" w:rsidRDefault="00D7733D" w:rsidP="003E3B10">
      <w:r w:rsidRPr="00D7733D">
        <w:lastRenderedPageBreak/>
        <w:t>(TAPFIN — bench &amp; compliance engine: pre-qualified contingent pools across IT, engineering, and healthcare that can be deployed in under 2 weeks; access to direct sourcing pipelines; plus automated compliance tools covering IR35 in the UK, SoW classification in the US/EU, and global payroll risk checks; this means mobility does not stall because TAPFIN fills the gaps and guarantees regulatory coverage).”</w:t>
      </w:r>
    </w:p>
    <w:p w14:paraId="093CB2CB" w14:textId="77777777" w:rsidR="00D7733D" w:rsidRPr="00D7733D" w:rsidRDefault="00540BB4" w:rsidP="003E3B10">
      <w:r w:rsidRPr="00540BB4">
        <w:rPr>
          <w:noProof/>
          <w14:ligatures w14:val="standardContextual"/>
        </w:rPr>
        <w:pict w14:anchorId="6E7FFCF5">
          <v:rect id="_x0000_i1031" alt="" style="width:468pt;height:.05pt;mso-width-percent:0;mso-height-percent:0;mso-width-percent:0;mso-height-percent:0" o:hralign="center" o:hrstd="t" o:hr="t" fillcolor="#a0a0a0" stroked="f"/>
        </w:pict>
      </w:r>
    </w:p>
    <w:p w14:paraId="36B860DD" w14:textId="77777777" w:rsidR="00D7733D" w:rsidRDefault="00D7733D" w:rsidP="003E3B10">
      <w:r w:rsidRPr="00D7733D">
        <w:rPr>
          <w:b/>
          <w:bCs/>
        </w:rPr>
        <w:t>Closing</w:t>
      </w:r>
      <w:r w:rsidRPr="00D7733D">
        <w:br/>
        <w:t xml:space="preserve">“…This proves impact in financial terms, it prevents attrition, and it uniquely leverages Manpower’s scale, MEOS data, and TAPFIN compliance infrastructure. </w:t>
      </w:r>
    </w:p>
    <w:p w14:paraId="78A3DCB3" w14:textId="5450B18D" w:rsidR="00D7733D" w:rsidRPr="00D7733D" w:rsidRDefault="00D7733D" w:rsidP="003E3B10">
      <w:r w:rsidRPr="00D7733D">
        <w:t>(MEOS — forward-looking hiring intentions by geography + sector, talent shortage breakdowns, and salary trend data, enabling predictive mobility planning 6–12 months ahead; TAPFIN — global MSP backbone managing $20B+ in contingent spend, supplier performance scorecards, and compliance operations across 80+ countries; together this is both the radar and the engine that no competitor can replicate).”</w:t>
      </w:r>
    </w:p>
    <w:p w14:paraId="4156BFC1" w14:textId="77777777" w:rsidR="00D7733D" w:rsidRPr="00D7733D" w:rsidRDefault="00540BB4" w:rsidP="003E3B10">
      <w:r w:rsidRPr="00540BB4">
        <w:rPr>
          <w:noProof/>
          <w14:ligatures w14:val="standardContextual"/>
        </w:rPr>
        <w:pict w14:anchorId="3F184022">
          <v:rect id="_x0000_i1030" alt="" style="width:468pt;height:.05pt;mso-width-percent:0;mso-height-percent:0;mso-width-percent:0;mso-height-percent:0" o:hralign="center" o:hrstd="t" o:hr="t" fillcolor="#a0a0a0" stroked="f"/>
        </w:pict>
      </w:r>
    </w:p>
    <w:p w14:paraId="38072B33" w14:textId="28838226" w:rsidR="00D7733D" w:rsidRPr="00D7733D" w:rsidRDefault="004D34EE" w:rsidP="003E3B10">
      <w:pPr>
        <w:pStyle w:val="Heading1"/>
        <w:rPr>
          <w:rFonts w:eastAsia="Times New Roman"/>
        </w:rPr>
      </w:pPr>
      <w:r>
        <w:rPr>
          <w:rFonts w:ascii="Apple Color Emoji" w:eastAsia="Times New Roman" w:hAnsi="Apple Color Emoji" w:cs="Apple Color Emoji"/>
        </w:rPr>
        <w:br w:type="column"/>
      </w:r>
      <w:r w:rsidR="00D7733D" w:rsidRPr="00D7733D">
        <w:rPr>
          <w:rFonts w:eastAsia="Times New Roman"/>
        </w:rPr>
        <w:lastRenderedPageBreak/>
        <w:t xml:space="preserve">Employee Dashboard Walk-through Script </w:t>
      </w:r>
    </w:p>
    <w:p w14:paraId="02B3DB40" w14:textId="77777777" w:rsidR="00D7733D" w:rsidRDefault="00D7733D" w:rsidP="003E3B10">
      <w:r w:rsidRPr="00D7733D">
        <w:rPr>
          <w:b/>
          <w:bCs/>
        </w:rPr>
        <w:t>My Mobility Snapshot</w:t>
      </w:r>
      <w:r w:rsidRPr="00D7733D">
        <w:br/>
        <w:t>“…Here, we give them a quantified forecast — placement confidence in percent, time-to-next-role in days.</w:t>
      </w:r>
      <w:r w:rsidRPr="00D7733D">
        <w:br/>
        <w:t xml:space="preserve">Why disruptive? Because most employees never know their true odds. And again, because Manpower runs millions of placements, these predictions are credible </w:t>
      </w:r>
    </w:p>
    <w:p w14:paraId="06112670" w14:textId="5A68D4AD" w:rsidR="00D7733D" w:rsidRPr="00D7733D" w:rsidRDefault="00D7733D" w:rsidP="003E3B10">
      <w:r w:rsidRPr="00D7733D">
        <w:t>(TAPFIN — uses redeployment + conversion outcome data: success rates of contingent-to-permanent hires, redeployment durations across functions, and attrition risk modeling; MEOS — weights the forecast with sector-specific Net Employment Outlook and role-level shortage severity; together, this produces a placement confidence metric that is anchored both in internal redeployment history and external demand pressure).”</w:t>
      </w:r>
    </w:p>
    <w:p w14:paraId="5AFC412C" w14:textId="77777777" w:rsidR="00D7733D" w:rsidRPr="00D7733D" w:rsidRDefault="00540BB4" w:rsidP="003E3B10">
      <w:r w:rsidRPr="00540BB4">
        <w:rPr>
          <w:noProof/>
          <w14:ligatures w14:val="standardContextual"/>
        </w:rPr>
        <w:pict w14:anchorId="20613F3B">
          <v:rect id="_x0000_i1029" alt="" style="width:468pt;height:.05pt;mso-width-percent:0;mso-height-percent:0;mso-width-percent:0;mso-height-percent:0" o:hralign="center" o:hrstd="t" o:hr="t" fillcolor="#a0a0a0" stroked="f"/>
        </w:pict>
      </w:r>
    </w:p>
    <w:p w14:paraId="0DBC0AE7" w14:textId="77777777" w:rsidR="00D7733D" w:rsidRDefault="00D7733D" w:rsidP="003E3B10">
      <w:r w:rsidRPr="00D7733D">
        <w:rPr>
          <w:b/>
          <w:bCs/>
        </w:rPr>
        <w:t>Career Path Explorer</w:t>
      </w:r>
      <w:r w:rsidRPr="00D7733D">
        <w:br/>
        <w:t>“…This shows curated, data-driven opportunities, personalized to the employee.</w:t>
      </w:r>
      <w:r w:rsidRPr="00D7733D">
        <w:br/>
        <w:t xml:space="preserve">Why disruptive? Internal job boards are usually deserts. Here, we surface paths where there is confirmed demand </w:t>
      </w:r>
    </w:p>
    <w:p w14:paraId="1A5D0E74" w14:textId="48EED707" w:rsidR="00D7733D" w:rsidRPr="00D7733D" w:rsidRDefault="00D7733D" w:rsidP="003E3B10">
      <w:r w:rsidRPr="00D7733D">
        <w:t>(MEOS — identifies which roles/sectors are projected to grow, e.g., IT/Data +24% NEO, healthcare +19%; TAPFIN — visibility into open demand via contingent requisitions across clients and internal redeployment programs; together, this ensures every “suggested path” is validated by both current external hiring and future demand projections, not just HR wishful thinking).”</w:t>
      </w:r>
    </w:p>
    <w:p w14:paraId="7F0026F8" w14:textId="77777777" w:rsidR="00D7733D" w:rsidRPr="00D7733D" w:rsidRDefault="00540BB4" w:rsidP="003E3B10">
      <w:r w:rsidRPr="00540BB4">
        <w:rPr>
          <w:noProof/>
          <w14:ligatures w14:val="standardContextual"/>
        </w:rPr>
        <w:pict w14:anchorId="4DC37CF8">
          <v:rect id="_x0000_i1028" alt="" style="width:468pt;height:.05pt;mso-width-percent:0;mso-height-percent:0;mso-width-percent:0;mso-height-percent:0" o:hralign="center" o:hrstd="t" o:hr="t" fillcolor="#a0a0a0" stroked="f"/>
        </w:pict>
      </w:r>
    </w:p>
    <w:p w14:paraId="15F5FD3C" w14:textId="77777777" w:rsidR="00D7733D" w:rsidRDefault="00D7733D" w:rsidP="003E3B10">
      <w:r w:rsidRPr="00D7733D">
        <w:rPr>
          <w:b/>
          <w:bCs/>
        </w:rPr>
        <w:t>Mobility Timeline</w:t>
      </w:r>
      <w:r w:rsidRPr="00D7733D">
        <w:br/>
        <w:t xml:space="preserve">“…Careers become tangible milestones, not vague promises. The employee knows exactly what comes next </w:t>
      </w:r>
    </w:p>
    <w:p w14:paraId="43E3E617" w14:textId="01FB04DB" w:rsidR="00D7733D" w:rsidRPr="00D7733D" w:rsidRDefault="00D7733D" w:rsidP="003E3B10">
      <w:r w:rsidRPr="00D7733D">
        <w:t xml:space="preserve">(TAPFIN — codified SLA steps from thousands of redeployment programs: notice → pre-match → training cohort → guaranteed interview; these steps are benchmarked to actual time-to-fill outcomes; MEOS — validates the market realism of these timelines, e.g., confirming whether a role typically hires in 45 days vs 90, so promises </w:t>
      </w:r>
      <w:proofErr w:type="gramStart"/>
      <w:r w:rsidRPr="00D7733D">
        <w:t>align</w:t>
      </w:r>
      <w:proofErr w:type="gramEnd"/>
      <w:r w:rsidRPr="00D7733D">
        <w:t xml:space="preserve"> with reality).”</w:t>
      </w:r>
    </w:p>
    <w:p w14:paraId="18FECCB6" w14:textId="77777777" w:rsidR="00D7733D" w:rsidRPr="00D7733D" w:rsidRDefault="00540BB4" w:rsidP="003E3B10">
      <w:r w:rsidRPr="00540BB4">
        <w:rPr>
          <w:noProof/>
          <w14:ligatures w14:val="standardContextual"/>
        </w:rPr>
        <w:pict w14:anchorId="5F9E1B52">
          <v:rect id="_x0000_i1027" alt="" style="width:468pt;height:.05pt;mso-width-percent:0;mso-height-percent:0;mso-width-percent:0;mso-height-percent:0" o:hralign="center" o:hrstd="t" o:hr="t" fillcolor="#a0a0a0" stroked="f"/>
        </w:pict>
      </w:r>
    </w:p>
    <w:p w14:paraId="46EEFAD2" w14:textId="77777777" w:rsidR="00D7733D" w:rsidRDefault="00D7733D" w:rsidP="003E3B10">
      <w:r w:rsidRPr="00D7733D">
        <w:rPr>
          <w:b/>
          <w:bCs/>
        </w:rPr>
        <w:t>Reskill-to-Place Program</w:t>
      </w:r>
      <w:r w:rsidRPr="00D7733D">
        <w:br/>
        <w:t>“…Instead of ‘learn and hope,’ we show exactly which modules map to which target role.</w:t>
      </w:r>
      <w:r w:rsidRPr="00D7733D">
        <w:br/>
        <w:t xml:space="preserve">Why disruptive? Because Manpower can tie training directly to guaranteed placements </w:t>
      </w:r>
    </w:p>
    <w:p w14:paraId="0200191E" w14:textId="190098B4" w:rsidR="00D7733D" w:rsidRPr="00D7733D" w:rsidRDefault="00D7733D" w:rsidP="003E3B10">
      <w:r w:rsidRPr="00D7733D">
        <w:t xml:space="preserve">(TAPFIN — integration with approved training vendors, linking completion of a 20h SQL course directly to </w:t>
      </w:r>
      <w:proofErr w:type="spellStart"/>
      <w:r w:rsidRPr="00D7733D">
        <w:t>RevOps</w:t>
      </w:r>
      <w:proofErr w:type="spellEnd"/>
      <w:r w:rsidRPr="00D7733D">
        <w:t xml:space="preserve"> Analyst interviews, plus measuring hire retention post-training; MEOS — validates which skills are in critical shortage, so we don’t just train for anything but focus on modules where demand is growing; the dual guarantee is: “complete this training, secure this role, because both supply and demand are aligned”).”</w:t>
      </w:r>
    </w:p>
    <w:p w14:paraId="58D053D0" w14:textId="77777777" w:rsidR="00D7733D" w:rsidRPr="00D7733D" w:rsidRDefault="00540BB4" w:rsidP="003E3B10">
      <w:r w:rsidRPr="00540BB4">
        <w:rPr>
          <w:noProof/>
          <w14:ligatures w14:val="standardContextual"/>
        </w:rPr>
        <w:pict w14:anchorId="4F8B01D7">
          <v:rect id="_x0000_i1026" alt="" style="width:468pt;height:.05pt;mso-width-percent:0;mso-height-percent:0;mso-width-percent:0;mso-height-percent:0" o:hralign="center" o:hrstd="t" o:hr="t" fillcolor="#a0a0a0" stroked="f"/>
        </w:pict>
      </w:r>
    </w:p>
    <w:p w14:paraId="34975725" w14:textId="77777777" w:rsidR="00D7733D" w:rsidRDefault="00D7733D" w:rsidP="003E3B10">
      <w:r w:rsidRPr="00D7733D">
        <w:rPr>
          <w:b/>
          <w:bCs/>
        </w:rPr>
        <w:t>Financial Outlook</w:t>
      </w:r>
      <w:r w:rsidRPr="00D7733D">
        <w:br/>
        <w:t xml:space="preserve">“…It proves internal mobility isn’t just engagement fluff — it’s a financial upside. And it’s backed by proprietary market data </w:t>
      </w:r>
    </w:p>
    <w:p w14:paraId="4B2C2A15" w14:textId="5919246D" w:rsidR="00D7733D" w:rsidRPr="00D7733D" w:rsidRDefault="00D7733D" w:rsidP="003E3B10">
      <w:r w:rsidRPr="00D7733D">
        <w:t>(MEOS — salary trend data across sectors/countries, showing premium wages in shortage roles, plus Net Employment Outlook for pay progression forecasts; TAPFIN — global bill rate database from contingent workforce programs, giving real-world comp benchmarks across industries; this ensures comp guidance is grounded in actual hiring market data, not HR surveys).”</w:t>
      </w:r>
    </w:p>
    <w:p w14:paraId="78573819" w14:textId="77777777" w:rsidR="00D7733D" w:rsidRPr="00D7733D" w:rsidRDefault="00540BB4" w:rsidP="003E3B10">
      <w:r w:rsidRPr="00540BB4">
        <w:rPr>
          <w:noProof/>
          <w14:ligatures w14:val="standardContextual"/>
        </w:rPr>
        <w:pict w14:anchorId="22D261E9">
          <v:rect id="_x0000_i1025" alt="" style="width:468pt;height:.05pt;mso-width-percent:0;mso-height-percent:0;mso-width-percent:0;mso-height-percent:0" o:hralign="center" o:hrstd="t" o:hr="t" fillcolor="#a0a0a0" stroked="f"/>
        </w:pict>
      </w:r>
    </w:p>
    <w:p w14:paraId="1848F90F" w14:textId="77777777" w:rsidR="00D7733D" w:rsidRDefault="00D7733D" w:rsidP="003E3B10">
      <w:r w:rsidRPr="00D7733D">
        <w:rPr>
          <w:b/>
          <w:bCs/>
        </w:rPr>
        <w:lastRenderedPageBreak/>
        <w:t>Closing</w:t>
      </w:r>
      <w:r w:rsidRPr="00D7733D">
        <w:br/>
        <w:t xml:space="preserve">“…For employees, this dashboard transforms uncertainty into a career game plan. For companies, it’s retention gold. And again, only Manpower can credibly provide this — because of our global talent scale, market data, and ability to back promises with real placements </w:t>
      </w:r>
    </w:p>
    <w:p w14:paraId="45101A6E" w14:textId="2CF6EF59" w:rsidR="00D7733D" w:rsidRPr="00D7733D" w:rsidRDefault="00D7733D" w:rsidP="003E3B10">
      <w:r w:rsidRPr="00D7733D">
        <w:t>(MEOS — predictive labor market intelligence from 40,000+ employers across 40 countries, refreshed quarterly; TAPFIN — managed service delivery muscle: supplier management, contingent-to-perm conversion, SLA governance, and compliance operations; together this creates a promise-to-placement pipeline no software-only HR tech player can replicate).”</w:t>
      </w:r>
    </w:p>
    <w:p w14:paraId="714BD782" w14:textId="77777777" w:rsidR="0072092F" w:rsidRPr="00D7733D" w:rsidRDefault="0072092F" w:rsidP="003E3B10"/>
    <w:sectPr w:rsidR="0072092F" w:rsidRPr="00D7733D" w:rsidSect="0081664D">
      <w:pgSz w:w="12240" w:h="15840"/>
      <w:pgMar w:top="754" w:right="877" w:bottom="85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B75B3"/>
    <w:multiLevelType w:val="multilevel"/>
    <w:tmpl w:val="708A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B5426"/>
    <w:multiLevelType w:val="multilevel"/>
    <w:tmpl w:val="EB14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22397"/>
    <w:multiLevelType w:val="multilevel"/>
    <w:tmpl w:val="1C36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F3FB7"/>
    <w:multiLevelType w:val="multilevel"/>
    <w:tmpl w:val="15A2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A187F"/>
    <w:multiLevelType w:val="multilevel"/>
    <w:tmpl w:val="D7F6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E01D0"/>
    <w:multiLevelType w:val="multilevel"/>
    <w:tmpl w:val="6BA4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C41C54"/>
    <w:multiLevelType w:val="multilevel"/>
    <w:tmpl w:val="16A6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370573"/>
    <w:multiLevelType w:val="multilevel"/>
    <w:tmpl w:val="73121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6615EC"/>
    <w:multiLevelType w:val="multilevel"/>
    <w:tmpl w:val="8ABA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A76A7D"/>
    <w:multiLevelType w:val="multilevel"/>
    <w:tmpl w:val="F87E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5460FB"/>
    <w:multiLevelType w:val="multilevel"/>
    <w:tmpl w:val="A7305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1E346A"/>
    <w:multiLevelType w:val="multilevel"/>
    <w:tmpl w:val="F24E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E2255E"/>
    <w:multiLevelType w:val="multilevel"/>
    <w:tmpl w:val="82AC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995A49"/>
    <w:multiLevelType w:val="multilevel"/>
    <w:tmpl w:val="DE7E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0B1EDE"/>
    <w:multiLevelType w:val="multilevel"/>
    <w:tmpl w:val="B23E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541817"/>
    <w:multiLevelType w:val="multilevel"/>
    <w:tmpl w:val="CC98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DA506D"/>
    <w:multiLevelType w:val="multilevel"/>
    <w:tmpl w:val="71D4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994FF7"/>
    <w:multiLevelType w:val="multilevel"/>
    <w:tmpl w:val="04F4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9048638">
    <w:abstractNumId w:val="5"/>
  </w:num>
  <w:num w:numId="2" w16cid:durableId="10033190">
    <w:abstractNumId w:val="15"/>
  </w:num>
  <w:num w:numId="3" w16cid:durableId="1811165165">
    <w:abstractNumId w:val="16"/>
  </w:num>
  <w:num w:numId="4" w16cid:durableId="980115379">
    <w:abstractNumId w:val="11"/>
  </w:num>
  <w:num w:numId="5" w16cid:durableId="1999260961">
    <w:abstractNumId w:val="3"/>
  </w:num>
  <w:num w:numId="6" w16cid:durableId="1407529082">
    <w:abstractNumId w:val="7"/>
  </w:num>
  <w:num w:numId="7" w16cid:durableId="665741003">
    <w:abstractNumId w:val="0"/>
  </w:num>
  <w:num w:numId="8" w16cid:durableId="1808088032">
    <w:abstractNumId w:val="14"/>
  </w:num>
  <w:num w:numId="9" w16cid:durableId="857353125">
    <w:abstractNumId w:val="12"/>
  </w:num>
  <w:num w:numId="10" w16cid:durableId="793446273">
    <w:abstractNumId w:val="2"/>
  </w:num>
  <w:num w:numId="11" w16cid:durableId="86847378">
    <w:abstractNumId w:val="1"/>
  </w:num>
  <w:num w:numId="12" w16cid:durableId="1098135634">
    <w:abstractNumId w:val="9"/>
  </w:num>
  <w:num w:numId="13" w16cid:durableId="809396595">
    <w:abstractNumId w:val="13"/>
  </w:num>
  <w:num w:numId="14" w16cid:durableId="1708872128">
    <w:abstractNumId w:val="8"/>
  </w:num>
  <w:num w:numId="15" w16cid:durableId="63453869">
    <w:abstractNumId w:val="17"/>
  </w:num>
  <w:num w:numId="16" w16cid:durableId="1826042020">
    <w:abstractNumId w:val="4"/>
  </w:num>
  <w:num w:numId="17" w16cid:durableId="1566834988">
    <w:abstractNumId w:val="10"/>
  </w:num>
  <w:num w:numId="18" w16cid:durableId="9392193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33D"/>
    <w:rsid w:val="00160E6D"/>
    <w:rsid w:val="00244CA6"/>
    <w:rsid w:val="00374C40"/>
    <w:rsid w:val="003E3B10"/>
    <w:rsid w:val="004D34EE"/>
    <w:rsid w:val="00540BB4"/>
    <w:rsid w:val="005B6179"/>
    <w:rsid w:val="005F01B9"/>
    <w:rsid w:val="0072092F"/>
    <w:rsid w:val="00804F68"/>
    <w:rsid w:val="0081664D"/>
    <w:rsid w:val="00927266"/>
    <w:rsid w:val="00A71C3D"/>
    <w:rsid w:val="00B818A6"/>
    <w:rsid w:val="00BB2260"/>
    <w:rsid w:val="00C54310"/>
    <w:rsid w:val="00D450B0"/>
    <w:rsid w:val="00D5010A"/>
    <w:rsid w:val="00D7733D"/>
    <w:rsid w:val="00E35F37"/>
    <w:rsid w:val="00EA7F66"/>
    <w:rsid w:val="00F66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091A8"/>
  <w15:chartTrackingRefBased/>
  <w15:docId w15:val="{0D661BF2-5A09-894A-A341-648EE95EF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B10"/>
    <w:pPr>
      <w:spacing w:before="100" w:beforeAutospacing="1" w:after="100" w:afterAutospacing="1" w:line="240" w:lineRule="auto"/>
    </w:pPr>
    <w:rPr>
      <w:rFonts w:ascii="Arial" w:eastAsia="Times New Roman" w:hAnsi="Arial" w:cs="Arial"/>
      <w:kern w:val="0"/>
      <w:sz w:val="20"/>
      <w:szCs w:val="20"/>
      <w14:ligatures w14:val="none"/>
    </w:rPr>
  </w:style>
  <w:style w:type="paragraph" w:styleId="Heading1">
    <w:name w:val="heading 1"/>
    <w:basedOn w:val="Normal"/>
    <w:next w:val="Normal"/>
    <w:link w:val="Heading1Char"/>
    <w:uiPriority w:val="9"/>
    <w:qFormat/>
    <w:rsid w:val="00D773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73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73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73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73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73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73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73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73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3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73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73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73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73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73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73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73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733D"/>
    <w:rPr>
      <w:rFonts w:eastAsiaTheme="majorEastAsia" w:cstheme="majorBidi"/>
      <w:color w:val="272727" w:themeColor="text1" w:themeTint="D8"/>
    </w:rPr>
  </w:style>
  <w:style w:type="paragraph" w:styleId="Title">
    <w:name w:val="Title"/>
    <w:basedOn w:val="Normal"/>
    <w:next w:val="Normal"/>
    <w:link w:val="TitleChar"/>
    <w:uiPriority w:val="10"/>
    <w:qFormat/>
    <w:rsid w:val="00D7733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3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73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73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733D"/>
    <w:pPr>
      <w:spacing w:before="160"/>
      <w:jc w:val="center"/>
    </w:pPr>
    <w:rPr>
      <w:i/>
      <w:iCs/>
      <w:color w:val="404040" w:themeColor="text1" w:themeTint="BF"/>
    </w:rPr>
  </w:style>
  <w:style w:type="character" w:customStyle="1" w:styleId="QuoteChar">
    <w:name w:val="Quote Char"/>
    <w:basedOn w:val="DefaultParagraphFont"/>
    <w:link w:val="Quote"/>
    <w:uiPriority w:val="29"/>
    <w:rsid w:val="00D7733D"/>
    <w:rPr>
      <w:i/>
      <w:iCs/>
      <w:color w:val="404040" w:themeColor="text1" w:themeTint="BF"/>
    </w:rPr>
  </w:style>
  <w:style w:type="paragraph" w:styleId="ListParagraph">
    <w:name w:val="List Paragraph"/>
    <w:basedOn w:val="Normal"/>
    <w:uiPriority w:val="34"/>
    <w:qFormat/>
    <w:rsid w:val="00D7733D"/>
    <w:pPr>
      <w:ind w:left="720"/>
      <w:contextualSpacing/>
    </w:pPr>
  </w:style>
  <w:style w:type="character" w:styleId="IntenseEmphasis">
    <w:name w:val="Intense Emphasis"/>
    <w:basedOn w:val="DefaultParagraphFont"/>
    <w:uiPriority w:val="21"/>
    <w:qFormat/>
    <w:rsid w:val="00D7733D"/>
    <w:rPr>
      <w:i/>
      <w:iCs/>
      <w:color w:val="0F4761" w:themeColor="accent1" w:themeShade="BF"/>
    </w:rPr>
  </w:style>
  <w:style w:type="paragraph" w:styleId="IntenseQuote">
    <w:name w:val="Intense Quote"/>
    <w:basedOn w:val="Normal"/>
    <w:next w:val="Normal"/>
    <w:link w:val="IntenseQuoteChar"/>
    <w:uiPriority w:val="30"/>
    <w:qFormat/>
    <w:rsid w:val="00D773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733D"/>
    <w:rPr>
      <w:i/>
      <w:iCs/>
      <w:color w:val="0F4761" w:themeColor="accent1" w:themeShade="BF"/>
    </w:rPr>
  </w:style>
  <w:style w:type="character" w:styleId="IntenseReference">
    <w:name w:val="Intense Reference"/>
    <w:basedOn w:val="DefaultParagraphFont"/>
    <w:uiPriority w:val="32"/>
    <w:qFormat/>
    <w:rsid w:val="00D7733D"/>
    <w:rPr>
      <w:b/>
      <w:bCs/>
      <w:smallCaps/>
      <w:color w:val="0F4761" w:themeColor="accent1" w:themeShade="BF"/>
      <w:spacing w:val="5"/>
    </w:rPr>
  </w:style>
  <w:style w:type="paragraph" w:styleId="NormalWeb">
    <w:name w:val="Normal (Web)"/>
    <w:basedOn w:val="Normal"/>
    <w:uiPriority w:val="99"/>
    <w:unhideWhenUsed/>
    <w:rsid w:val="00D7733D"/>
    <w:rPr>
      <w:rFonts w:ascii="Times New Roman" w:hAnsi="Times New Roman" w:cs="Times New Roman"/>
    </w:rPr>
  </w:style>
  <w:style w:type="character" w:styleId="Strong">
    <w:name w:val="Strong"/>
    <w:basedOn w:val="DefaultParagraphFont"/>
    <w:uiPriority w:val="22"/>
    <w:qFormat/>
    <w:rsid w:val="00D7733D"/>
    <w:rPr>
      <w:b/>
      <w:bCs/>
    </w:rPr>
  </w:style>
  <w:style w:type="character" w:styleId="Emphasis">
    <w:name w:val="Emphasis"/>
    <w:basedOn w:val="DefaultParagraphFont"/>
    <w:uiPriority w:val="20"/>
    <w:qFormat/>
    <w:rsid w:val="00D7733D"/>
    <w:rPr>
      <w:i/>
      <w:iCs/>
    </w:rPr>
  </w:style>
  <w:style w:type="character" w:customStyle="1" w:styleId="relative">
    <w:name w:val="relative"/>
    <w:basedOn w:val="DefaultParagraphFont"/>
    <w:rsid w:val="00160E6D"/>
  </w:style>
  <w:style w:type="character" w:customStyle="1" w:styleId="ms-1">
    <w:name w:val="ms-1"/>
    <w:basedOn w:val="DefaultParagraphFont"/>
    <w:rsid w:val="00160E6D"/>
  </w:style>
  <w:style w:type="character" w:customStyle="1" w:styleId="max-w-full">
    <w:name w:val="max-w-full"/>
    <w:basedOn w:val="DefaultParagraphFont"/>
    <w:rsid w:val="00160E6D"/>
  </w:style>
  <w:style w:type="character" w:customStyle="1" w:styleId="-me-1">
    <w:name w:val="-me-1"/>
    <w:basedOn w:val="DefaultParagraphFont"/>
    <w:rsid w:val="00160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newswire.com/news-releases/manpowergroup-solutions-managed-service-provider-msp-tapfin-named-by-everest-group-as-global-leader-for-sixth-consecutive-year-300913109.html?utm_source=chatgp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anpowergroup.com/en/news-releases/news/manpowergroup-launches-new-brand-talent-solutions-combining-rpo--tapfin-msp-and-right-management-offerings-to-create-more-value-for-clients-and-candidates?utm_source=chatgp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npowergroup.com/en/news-releases/news/manpowergroup-talent-solutions-tapfin-recognized-as-a-global-leader-in-msp-and-star-performer-in-sow-by-everest-group?utm_source=chatgpt.com" TargetMode="External"/><Relationship Id="rId11" Type="http://schemas.openxmlformats.org/officeDocument/2006/relationships/hyperlink" Target="https://www.manpowergroup.com/en/news-releases/news/manpowergroup-talent-solutions-tapfin-recognized-as-a-global-leader-in-msp-and-star-performer-in-sow-by-everest-group?utm_source=chatgpt.com" TargetMode="External"/><Relationship Id="rId5" Type="http://schemas.openxmlformats.org/officeDocument/2006/relationships/hyperlink" Target="https://www.manpowergroup.com/en/what-we-do/talent-solutions?utm_source=chatgpt.com" TargetMode="External"/><Relationship Id="rId10" Type="http://schemas.openxmlformats.org/officeDocument/2006/relationships/hyperlink" Target="https://www.manpowergroup.com/en/news-releases/news/manpowergroup-talent-solutions-tapfin-named-global-leader-in-contingent-workforce-solutions-for-10th-straight-year?utm_source=chatgpt.com" TargetMode="External"/><Relationship Id="rId4" Type="http://schemas.openxmlformats.org/officeDocument/2006/relationships/webSettings" Target="webSettings.xml"/><Relationship Id="rId9" Type="http://schemas.openxmlformats.org/officeDocument/2006/relationships/hyperlink" Target="https://investor.manpowergroup.com/news-releases/news-release-details/talent-solutions-tapfin-recognized-global-leader-receives-top?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3026</Words>
  <Characters>17251</Characters>
  <Application>Microsoft Office Word</Application>
  <DocSecurity>0</DocSecurity>
  <Lines>143</Lines>
  <Paragraphs>40</Paragraphs>
  <ScaleCrop>false</ScaleCrop>
  <Company/>
  <LinksUpToDate>false</LinksUpToDate>
  <CharactersWithSpaces>20237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Julita</dc:creator>
  <cp:keywords/>
  <dc:description/>
  <cp:lastModifiedBy>Francois Julita</cp:lastModifiedBy>
  <cp:revision>16</cp:revision>
  <dcterms:created xsi:type="dcterms:W3CDTF">2025-09-02T18:57:00Z</dcterms:created>
  <dcterms:modified xsi:type="dcterms:W3CDTF">2025-09-02T19:22:00Z</dcterms:modified>
</cp:coreProperties>
</file>