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30"/>
          <w:szCs w:val="30"/>
        </w:rPr>
      </w:pPr>
      <w:bookmarkStart w:colFirst="0" w:colLast="0" w:name="_5s37o0g3pzj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Informe Técnico y de Cumplimiento: JACQUIN Academia Musical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Febrero de 2026 </w:t>
      </w:r>
      <w:r w:rsidDel="00000000" w:rsidR="00000000" w:rsidRPr="00000000">
        <w:rPr>
          <w:b w:val="1"/>
          <w:bCs w:val="1"/>
          <w:rtl w:val="0"/>
        </w:rPr>
        <w:t xml:space="preserve">Consultoría:</w:t>
      </w:r>
      <w:r w:rsidDel="00000000" w:rsidR="00000000" w:rsidRPr="00000000">
        <w:rPr>
          <w:rtl w:val="0"/>
        </w:rPr>
        <w:t xml:space="preserve"> Visionary Code Solution S.A.S. </w:t>
      </w: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Auditoría de Calidad y Cumplimiento Técnico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/>
      </w:pPr>
      <w:bookmarkStart w:colFirst="0" w:colLast="0" w:name="_2vvclwgnyha3" w:id="1"/>
      <w:bookmarkEnd w:id="1"/>
      <w:r w:rsidDel="00000000" w:rsidR="00000000" w:rsidRPr="00000000">
        <w:rPr>
          <w:rtl w:val="0"/>
        </w:rPr>
        <w:t xml:space="preserve">1. Identificación del Proyecto y Autores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presente documento constituye el dictamen final de auditoría y reporte técnico de la plataforma </w:t>
      </w:r>
      <w:r w:rsidDel="00000000" w:rsidR="00000000" w:rsidRPr="00000000">
        <w:rPr>
          <w:b w:val="1"/>
          <w:bCs w:val="1"/>
          <w:rtl w:val="0"/>
        </w:rPr>
        <w:t xml:space="preserve">JACQUIN Academia Musical</w:t>
      </w:r>
      <w:r w:rsidDel="00000000" w:rsidR="00000000" w:rsidRPr="00000000">
        <w:rPr>
          <w:rtl w:val="0"/>
        </w:rPr>
        <w:t xml:space="preserve">, desarrollada bajo los más altos estándares de ingeniería de software institucionalizados por </w:t>
      </w:r>
      <w:r w:rsidDel="00000000" w:rsidR="00000000" w:rsidRPr="00000000">
        <w:rPr>
          <w:b w:val="1"/>
          <w:bCs w:val="1"/>
          <w:rtl w:val="0"/>
        </w:rPr>
        <w:t xml:space="preserve">Visionary Code Solution S.A.S.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Equipo de Desarrollo (Aprendices):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Manuel Prudencio Pertuz Pérez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Gabriel Antonio Herrera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Veronica Triviño García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Programa de Formación:</w:t>
      </w:r>
      <w:r w:rsidDel="00000000" w:rsidR="00000000" w:rsidRPr="00000000">
        <w:rPr>
          <w:rtl w:val="0"/>
        </w:rPr>
        <w:t xml:space="preserve"> Análisis y Desarrollo de Software (ADSO) - Ficha 2977343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Centro de Formación:</w:t>
      </w:r>
      <w:r w:rsidDel="00000000" w:rsidR="00000000" w:rsidRPr="00000000">
        <w:rPr>
          <w:rtl w:val="0"/>
        </w:rPr>
        <w:t xml:space="preserve"> Centro Minero Regional Boyacá - SENA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Instructor a cargo:</w:t>
      </w:r>
      <w:r w:rsidDel="00000000" w:rsidR="00000000" w:rsidRPr="00000000">
        <w:rPr>
          <w:rtl w:val="0"/>
        </w:rPr>
        <w:t xml:space="preserve"> Luis Edilberto Díaz Sandoval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nysfvz0dh29" w:id="2"/>
      <w:bookmarkEnd w:id="2"/>
      <w:r w:rsidDel="00000000" w:rsidR="00000000" w:rsidRPr="00000000">
        <w:rPr>
          <w:rtl w:val="0"/>
        </w:rPr>
        <w:t xml:space="preserve">2. Arquitectura del Sistema y Stack Tecnológico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plataforma ha sido transmutada de un desarrollo empírico a una arquitectura desacoplada de alto rendimiento, fundamentada en los siguientes pilares: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Stack LAMP Estandarizado:</w:t>
      </w:r>
      <w:r w:rsidDel="00000000" w:rsidR="00000000" w:rsidRPr="00000000">
        <w:rPr>
          <w:rtl w:val="0"/>
        </w:rPr>
        <w:t xml:space="preserve"> Ejecución sobre servidor Linux, Apache, MySQL y PHP, garantizando una base de despliegue madura y compatible con entornos de hosting profesional.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Modularidad de Frontend: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b w:val="1"/>
          <w:bCs w:val="1"/>
          <w:rtl w:val="0"/>
        </w:rPr>
        <w:t xml:space="preserve">Web Components</w:t>
      </w:r>
      <w:r w:rsidDel="00000000" w:rsidR="00000000" w:rsidRPr="00000000">
        <w:rPr>
          <w:rtl w:val="0"/>
        </w:rPr>
        <w:t xml:space="preserve"> para asegurar la reutilización de elementos de interfaz y facilitar auditorías por pares.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Migración Imperativa a PDO (PHP Data Objects):</w:t>
      </w:r>
      <w:r w:rsidDel="00000000" w:rsidR="00000000" w:rsidRPr="00000000">
        <w:rPr>
          <w:rtl w:val="0"/>
        </w:rPr>
        <w:t xml:space="preserve"> Se ha institucionalizado el uso de PDO en lugar de MySQLi. Esta decisión mitiga el riesgo crítico de inyecciones SQL mediante sentencias preparadas, blindando la integridad de los datos académicos y financieros de la academia.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Arquitectura Headless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jacquin_api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backend opera de forma pura e independiente. </w:t>
      </w:r>
      <w:r w:rsidDel="00000000" w:rsidR="00000000" w:rsidRPr="00000000">
        <w:rPr>
          <w:b w:val="1"/>
          <w:bCs w:val="1"/>
          <w:rtl w:val="0"/>
        </w:rPr>
        <w:t xml:space="preserve">Recomendación del Auditor:</w:t>
      </w:r>
      <w:r w:rsidDel="00000000" w:rsidR="00000000" w:rsidRPr="00000000">
        <w:rPr>
          <w:rtl w:val="0"/>
        </w:rPr>
        <w:t xml:space="preserve"> Se proyecta la migración del frontend hacia frameworks modernos como React o Vue para maximizar la interactividad, manteniendo la API robusta ya consolidada.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4gllmhpnmpa" w:id="3"/>
      <w:bookmarkEnd w:id="3"/>
      <w:r w:rsidDel="00000000" w:rsidR="00000000" w:rsidRPr="00000000">
        <w:rPr>
          <w:rtl w:val="0"/>
        </w:rPr>
        <w:t xml:space="preserve">3. Decisiones de Diseño Técnico y Mitigación de Riesgos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Como auditores, validamos que cada decisión técnica responde a un riesgo de negocio identificado: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Rutas y Escalabilidad:</w:t>
      </w:r>
      <w:r w:rsidDel="00000000" w:rsidR="00000000" w:rsidRPr="00000000">
        <w:rPr>
          <w:rtl w:val="0"/>
        </w:rPr>
        <w:t xml:space="preserve"> Mediante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api.js</w:t>
      </w:r>
      <w:r w:rsidDel="00000000" w:rsidR="00000000" w:rsidRPr="00000000">
        <w:rPr>
          <w:rtl w:val="0"/>
        </w:rPr>
        <w:t xml:space="preserve">, se implementaron rutas absolutas basadas en variables de entorno. Sin este ajuste, el sistema enfrentaba un "caos logístico" ante la incapacidad de escalar a entornos de producción profesional (como </w:t>
      </w:r>
      <w:r w:rsidDel="00000000" w:rsidR="00000000" w:rsidRPr="00000000">
        <w:rPr>
          <w:b w:val="1"/>
          <w:bCs w:val="1"/>
          <w:rtl w:val="0"/>
        </w:rPr>
        <w:t xml:space="preserve">InfinityFree</w:t>
      </w:r>
      <w:r w:rsidDel="00000000" w:rsidR="00000000" w:rsidRPr="00000000">
        <w:rPr>
          <w:rtl w:val="0"/>
        </w:rPr>
        <w:t xml:space="preserve">), donde las rutas relativas generaban fallos de carga persistentes.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Centralización Estructural:</w:t>
      </w:r>
      <w:r w:rsidDel="00000000" w:rsidR="00000000" w:rsidRPr="00000000">
        <w:rPr>
          <w:rtl w:val="0"/>
        </w:rPr>
        <w:t xml:space="preserve"> La ausencia de directorios físicos de páginas en la raíz y la concentración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jacquin_api</w:t>
      </w:r>
      <w:r w:rsidDel="00000000" w:rsidR="00000000" w:rsidRPr="00000000">
        <w:rPr>
          <w:rtl w:val="0"/>
        </w:rPr>
        <w:t xml:space="preserve"> reducen la superficie de ataque y simplifican el mantenimiento preventivo.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Ajustes Operativos de Servidor:</w:t>
      </w:r>
      <w:r w:rsidDel="00000000" w:rsidR="00000000" w:rsidRPr="00000000">
        <w:rPr>
          <w:rtl w:val="0"/>
        </w:rPr>
        <w:t xml:space="preserve"> Se documentó la configuración de permisos </w:t>
      </w:r>
      <w:r w:rsidDel="00000000" w:rsidR="00000000" w:rsidRPr="00000000">
        <w:rPr>
          <w:b w:val="1"/>
          <w:bCs w:val="1"/>
          <w:rtl w:val="0"/>
        </w:rPr>
        <w:t xml:space="preserve">CHMOD</w:t>
      </w:r>
      <w:r w:rsidDel="00000000" w:rsidR="00000000" w:rsidRPr="00000000">
        <w:rPr>
          <w:rtl w:val="0"/>
        </w:rPr>
        <w:t xml:space="preserve"> específicos para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upload_about_image.php</w:t>
      </w:r>
      <w:r w:rsidDel="00000000" w:rsidR="00000000" w:rsidRPr="00000000">
        <w:rPr>
          <w:rtl w:val="0"/>
        </w:rPr>
        <w:t xml:space="preserve">. Esta medida fue imperativa para resolver conflictos de escritura detectados durante la transición del entorno local al entorno de nube.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dogexjqbvip" w:id="4"/>
      <w:bookmarkEnd w:id="4"/>
      <w:r w:rsidDel="00000000" w:rsidR="00000000" w:rsidRPr="00000000">
        <w:rPr>
          <w:rtl w:val="0"/>
        </w:rPr>
        <w:t xml:space="preserve">4. Reporte de Cumplimiento de Requisitos SENA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Se certifica un </w:t>
      </w:r>
      <w:r w:rsidDel="00000000" w:rsidR="00000000" w:rsidRPr="00000000">
        <w:rPr>
          <w:b w:val="1"/>
          <w:bCs w:val="1"/>
          <w:rtl w:val="0"/>
        </w:rPr>
        <w:t xml:space="preserve">Nivel de Aprobación General del 90%</w:t>
      </w:r>
      <w:r w:rsidDel="00000000" w:rsidR="00000000" w:rsidRPr="00000000">
        <w:rPr>
          <w:rtl w:val="0"/>
        </w:rPr>
        <w:t xml:space="preserve">, cumpliendo con la directiva técnica institucional y los siguientes indicadores: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43.8832705153563"/>
        <w:gridCol w:w="1188.1927081389708"/>
        <w:gridCol w:w="5893.435832369296"/>
        <w:tblGridChange w:id="0">
          <w:tblGrid>
            <w:gridCol w:w="1943.8832705153563"/>
            <w:gridCol w:w="1188.1927081389708"/>
            <w:gridCol w:w="5893.4358323692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 de Impacto y Usabilidad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Corporativa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riguroso de logotipos, colores institucionales y fondos en Splash y Home.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Accesibilidad (Niños)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visual e iconográfico simplificado para el programa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Exploración</w:t>
            </w:r>
            <w:r w:rsidDel="00000000" w:rsidR="00000000" w:rsidRPr="00000000">
              <w:rPr>
                <w:rtl w:val="0"/>
              </w:rPr>
              <w:t xml:space="preserve">, atendiendo a usuarios no plenamente alfabetizados.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Accesibilidad (Adultos)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Contrastes elevados y tipografías legibles diseñadas específicamente para el programa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Senior’s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Críticos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Operatividad validada en Shows, Técnica Vocal y el nuevo módulo terapéutico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Psicomúsica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Académica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Notas y Asistencia funcional con validación de persistencia.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u5bj7p7ogqe0" w:id="5"/>
      <w:bookmarkEnd w:id="5"/>
      <w:r w:rsidDel="00000000" w:rsidR="00000000" w:rsidRPr="00000000">
        <w:rPr>
          <w:rtl w:val="0"/>
        </w:rPr>
        <w:t xml:space="preserve">5. Gestión de Calidad y Metodología (CMMI, TSP, PSP)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transición hacia una ingeniería de software científica ha permitido alcanzar métricas de rendimiento superiores, alineadas con los niveles de madurez 2 y 3 de </w:t>
      </w:r>
      <w:r w:rsidDel="00000000" w:rsidR="00000000" w:rsidRPr="00000000">
        <w:rPr>
          <w:b w:val="1"/>
          <w:bCs w:val="1"/>
          <w:rtl w:val="0"/>
        </w:rPr>
        <w:t xml:space="preserve">CMMI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Reducción Drástica de la Densidad de Defectos:</w:t>
      </w:r>
      <w:r w:rsidDel="00000000" w:rsidR="00000000" w:rsidRPr="00000000">
        <w:rPr>
          <w:rtl w:val="0"/>
        </w:rPr>
        <w:t xml:space="preserve"> Mediante inspecciones tempranas (VER/VAL), se logró reducir la media de 118 a </w:t>
      </w:r>
      <w:r w:rsidDel="00000000" w:rsidR="00000000" w:rsidRPr="00000000">
        <w:rPr>
          <w:b w:val="1"/>
          <w:bCs w:val="1"/>
          <w:rtl w:val="0"/>
        </w:rPr>
        <w:t xml:space="preserve">49.82 defectos por proyecto</w:t>
      </w:r>
      <w:r w:rsidDel="00000000" w:rsidR="00000000" w:rsidRPr="00000000">
        <w:rPr>
          <w:rtl w:val="0"/>
        </w:rPr>
        <w:t xml:space="preserve">, eliminando errores críticos antes de la fase de implantación.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Optimización del Costo de Calidad:</w:t>
      </w:r>
      <w:r w:rsidDel="00000000" w:rsidR="00000000" w:rsidRPr="00000000">
        <w:rPr>
          <w:rtl w:val="0"/>
        </w:rPr>
        <w:t xml:space="preserve"> El gasto por retrabajo y fallos se redujo del </w:t>
      </w:r>
      <w:r w:rsidDel="00000000" w:rsidR="00000000" w:rsidRPr="00000000">
        <w:rPr>
          <w:b w:val="1"/>
          <w:bCs w:val="1"/>
          <w:rtl w:val="0"/>
        </w:rPr>
        <w:t xml:space="preserve">12.47% al 5.25%</w:t>
      </w:r>
      <w:r w:rsidDel="00000000" w:rsidR="00000000" w:rsidRPr="00000000">
        <w:rPr>
          <w:rtl w:val="0"/>
        </w:rPr>
        <w:t xml:space="preserve">, mejorando la rentabilidad institucional.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Satisfacción del Cliente:</w:t>
      </w:r>
      <w:r w:rsidDel="00000000" w:rsidR="00000000" w:rsidRPr="00000000">
        <w:rPr>
          <w:rtl w:val="0"/>
        </w:rPr>
        <w:t xml:space="preserve"> La percepción de calidad ascendió del </w:t>
      </w:r>
      <w:r w:rsidDel="00000000" w:rsidR="00000000" w:rsidRPr="00000000">
        <w:rPr>
          <w:b w:val="1"/>
          <w:bCs w:val="1"/>
          <w:rtl w:val="0"/>
        </w:rPr>
        <w:t xml:space="preserve">51.3% al 73.7%</w:t>
      </w:r>
      <w:r w:rsidDel="00000000" w:rsidR="00000000" w:rsidRPr="00000000">
        <w:rPr>
          <w:rtl w:val="0"/>
        </w:rPr>
        <w:t xml:space="preserve">, gracias a la estabilidad de los módulos de inscripción y gestión.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Disciplina Operativa:</w:t>
      </w:r>
      <w:r w:rsidDel="00000000" w:rsidR="00000000" w:rsidRPr="00000000">
        <w:rPr>
          <w:rtl w:val="0"/>
        </w:rPr>
        <w:t xml:space="preserve"> Se institucionalizó el uso de la </w:t>
      </w:r>
      <w:r w:rsidDel="00000000" w:rsidR="00000000" w:rsidRPr="00000000">
        <w:rPr>
          <w:b w:val="1"/>
          <w:bCs w:val="1"/>
          <w:rtl w:val="0"/>
        </w:rPr>
        <w:t xml:space="preserve">Bitácora de Registro de Defectos (PSP)</w:t>
      </w:r>
      <w:r w:rsidDel="00000000" w:rsidR="00000000" w:rsidRPr="00000000">
        <w:rPr>
          <w:rtl w:val="0"/>
        </w:rPr>
        <w:t xml:space="preserve"> y Listas de Chequeo de Requerimientos (RD), permitiendo que cada desarrollador gestione su propia tasa de inyección de errores.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s2j6yz20iczz" w:id="6"/>
      <w:bookmarkEnd w:id="6"/>
      <w:r w:rsidDel="00000000" w:rsidR="00000000" w:rsidRPr="00000000">
        <w:rPr>
          <w:rtl w:val="0"/>
        </w:rPr>
        <w:t xml:space="preserve">6. Evidencia de Pruebas y Despliegue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r8dwagxrtz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de Ejecución de Casos de Prueba (TC-01 a TC-20)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Se certifica el estado de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para el 100% de los casos ejecutados en la versión actual:</w:t>
      </w:r>
    </w:p>
    <w:tbl>
      <w:tblPr>
        <w:tblStyle w:val="Table2"/>
        <w:tblW w:w="903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65"/>
        <w:gridCol w:w="1620"/>
        <w:gridCol w:w="5085"/>
        <w:gridCol w:w="960"/>
        <w:tblGridChange w:id="0">
          <w:tblGrid>
            <w:gridCol w:w="1365"/>
            <w:gridCol w:w="1620"/>
            <w:gridCol w:w="5085"/>
            <w:gridCol w:w="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Hallazgo de Auditoría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TC-01/04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Splash/Home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Navegación fluida y carga de identidad visual.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TC-05/06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Autenticación robusta y manejo de errores.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TC-07/10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Validaciones de teléfono (10 dígitos) y creación exitosa.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TC-11/12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Bloqueo de "Aceptar" hasta completar scroll (Cumplimiento).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TC-13/14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real vía API (Brevo) validado.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TC-15/17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reset de password operativo.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TC-18/20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Renderizado por rol.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Acceso de Profesor puede ser parcial.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ddriuj72w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Entorno de Producción e Incidencias Resueltas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Despliegue:</w:t>
      </w:r>
      <w:r w:rsidDel="00000000" w:rsidR="00000000" w:rsidRPr="00000000">
        <w:rPr>
          <w:rtl w:val="0"/>
        </w:rPr>
        <w:t xml:space="preserve"> Operatividad confirmada en </w:t>
      </w:r>
      <w:r w:rsidDel="00000000" w:rsidR="00000000" w:rsidRPr="00000000">
        <w:rPr>
          <w:b w:val="1"/>
          <w:bCs w:val="1"/>
          <w:rtl w:val="0"/>
        </w:rPr>
        <w:t xml:space="preserve">InfinityFree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infinityfreeapp</w:t>
      </w:r>
      <w:r w:rsidDel="00000000" w:rsidR="00000000" w:rsidRPr="00000000">
        <w:rPr>
          <w:rtl w:val="0"/>
        </w:rPr>
        <w:t xml:space="preserve">), con validación de endpoints en la nube.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Se emite la recomendación de reforzar el sistema con </w:t>
      </w:r>
      <w:r w:rsidDel="00000000" w:rsidR="00000000" w:rsidRPr="00000000">
        <w:rPr>
          <w:b w:val="1"/>
          <w:bCs w:val="1"/>
          <w:rtl w:val="0"/>
        </w:rPr>
        <w:t xml:space="preserve">hashing robusto</w:t>
      </w:r>
      <w:r w:rsidDel="00000000" w:rsidR="00000000" w:rsidRPr="00000000">
        <w:rPr>
          <w:rtl w:val="0"/>
        </w:rPr>
        <w:t xml:space="preserve"> para contraseñas en la próxima iteración.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Resolución de Incidencias:</w:t>
      </w:r>
      <w:r w:rsidDel="00000000" w:rsidR="00000000" w:rsidRPr="00000000">
        <w:rPr>
          <w:rtl w:val="0"/>
        </w:rPr>
        <w:t xml:space="preserve"> Se corrigieron fallos de severidad media, incluyendo la superposición del footer en resoluciones móviles y la falta de persistencia (setter) en el checkbox del formulario de contacto.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xbr1zhw3ism" w:id="9"/>
      <w:bookmarkEnd w:id="9"/>
      <w:r w:rsidDel="00000000" w:rsidR="00000000" w:rsidRPr="00000000">
        <w:rPr>
          <w:rtl w:val="0"/>
        </w:rPr>
        <w:t xml:space="preserve">7. Conclusiones y Dictamen de Conformidad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Tras una evaluación exhaustiva bajo el marco de </w:t>
      </w:r>
      <w:r w:rsidDel="00000000" w:rsidR="00000000" w:rsidRPr="00000000">
        <w:rPr>
          <w:b w:val="1"/>
          <w:bCs w:val="1"/>
          <w:rtl w:val="0"/>
        </w:rPr>
        <w:t xml:space="preserve">Aseguramiento de la Calidad (SQA)</w:t>
      </w:r>
      <w:r w:rsidDel="00000000" w:rsidR="00000000" w:rsidRPr="00000000">
        <w:rPr>
          <w:rtl w:val="0"/>
        </w:rPr>
        <w:t xml:space="preserve">, se concluye que JACQUIN Academia Musical ha superado la etapa artesanal para consolidarse como un producto de ingeniería predecible y escalable. La integración de los modelos CMMI, TSP y PSP garantiza que cada línea de código sea un facilitador de la misión artística de la academia.</w:t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Declaración Formal de Conformidad:</w:t>
      </w:r>
      <w:r w:rsidDel="00000000" w:rsidR="00000000" w:rsidRPr="00000000">
        <w:rPr>
          <w:rtl w:val="0"/>
        </w:rPr>
        <w:t xml:space="preserve"> Se emite el </w:t>
      </w:r>
      <w:r w:rsidDel="00000000" w:rsidR="00000000" w:rsidRPr="00000000">
        <w:rPr>
          <w:b w:val="1"/>
          <w:bCs w:val="1"/>
          <w:rtl w:val="0"/>
        </w:rPr>
        <w:t xml:space="preserve">Dictamen de Conformidad Técnica</w:t>
      </w:r>
      <w:r w:rsidDel="00000000" w:rsidR="00000000" w:rsidRPr="00000000">
        <w:rPr>
          <w:rtl w:val="0"/>
        </w:rPr>
        <w:t xml:space="preserve"> bajo el estándar </w:t>
      </w:r>
      <w:r w:rsidDel="00000000" w:rsidR="00000000" w:rsidRPr="00000000">
        <w:rPr>
          <w:b w:val="1"/>
          <w:bCs w:val="1"/>
          <w:rtl w:val="0"/>
        </w:rPr>
        <w:t xml:space="preserve">ISO/IEC 25000</w:t>
      </w:r>
      <w:r w:rsidDel="00000000" w:rsidR="00000000" w:rsidRPr="00000000">
        <w:rPr>
          <w:rtl w:val="0"/>
        </w:rPr>
        <w:t xml:space="preserve">, validando la plataforma en sus dimensiones de </w:t>
      </w:r>
      <w:r w:rsidDel="00000000" w:rsidR="00000000" w:rsidRPr="00000000">
        <w:rPr>
          <w:b w:val="1"/>
          <w:bCs w:val="1"/>
          <w:rtl w:val="0"/>
        </w:rPr>
        <w:t xml:space="preserve">Adecuación Funcional, Usabilidad y Eficiencia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240" w:before="240" w:line="360" w:lineRule="auto"/>
      <w:jc w:val="center"/>
      <w:rPr>
        <w:b w:val="1"/>
        <w:bCs w:val="1"/>
        <w:color w:val="cccccc"/>
      </w:rPr>
    </w:pPr>
    <w:r w:rsidDel="00000000" w:rsidR="00000000" w:rsidRPr="00000000">
      <w:rPr>
        <w:b w:val="1"/>
        <w:bCs w:val="1"/>
        <w:color w:val="cccccc"/>
        <w:rtl w:val="0"/>
      </w:rPr>
      <w:t xml:space="preserve">Visionary Code Solution S.A.S. Todos los derechos reservados.®</w:t>
    </w:r>
  </w:p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360" w:lineRule="auto"/>
      <w:jc w:val="both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360" w:lineRule="auto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