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619CE" w14:textId="77777777" w:rsidR="00AD308A" w:rsidRPr="00AD308A" w:rsidRDefault="00AD308A" w:rsidP="000617DE">
      <w:pPr>
        <w:rPr>
          <w:b/>
          <w:color w:val="000000"/>
          <w:sz w:val="28"/>
          <w:szCs w:val="28"/>
          <w:shd w:val="clear" w:color="auto" w:fill="FFFFFF"/>
        </w:rPr>
      </w:pPr>
      <w:r w:rsidRPr="00AD308A">
        <w:rPr>
          <w:b/>
          <w:color w:val="000000"/>
          <w:sz w:val="28"/>
          <w:szCs w:val="28"/>
          <w:shd w:val="clear" w:color="auto" w:fill="FFFFFF"/>
        </w:rPr>
        <w:t>2018 OR &amp; Analytics Student Team Competition</w:t>
      </w:r>
    </w:p>
    <w:p w14:paraId="5D7A851D" w14:textId="22FACFB9" w:rsidR="00AD308A" w:rsidRPr="00AD308A" w:rsidRDefault="000F51BC" w:rsidP="000617D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Final</w:t>
      </w:r>
      <w:r w:rsidR="00AD308A" w:rsidRPr="00AD308A">
        <w:rPr>
          <w:color w:val="000000"/>
          <w:sz w:val="28"/>
          <w:szCs w:val="28"/>
          <w:shd w:val="clear" w:color="auto" w:fill="FFFFFF"/>
        </w:rPr>
        <w:t xml:space="preserve"> Problem Statement</w:t>
      </w:r>
      <w:r>
        <w:rPr>
          <w:color w:val="000000"/>
          <w:sz w:val="28"/>
          <w:szCs w:val="28"/>
          <w:shd w:val="clear" w:color="auto" w:fill="FFFFFF"/>
        </w:rPr>
        <w:t xml:space="preserve"> – Revised 11/10/17</w:t>
      </w:r>
    </w:p>
    <w:p w14:paraId="14B36E52" w14:textId="5B8ED9FC" w:rsidR="00AD308A" w:rsidRDefault="00AD308A" w:rsidP="00F73DE3">
      <w:pPr>
        <w:tabs>
          <w:tab w:val="left" w:pos="7575"/>
        </w:tabs>
        <w:rPr>
          <w:i/>
          <w:color w:val="000000"/>
          <w:shd w:val="clear" w:color="auto" w:fill="FFFFFF"/>
        </w:rPr>
      </w:pPr>
    </w:p>
    <w:p w14:paraId="0040D733" w14:textId="77777777" w:rsidR="000617DE" w:rsidRDefault="000617DE" w:rsidP="000617DE">
      <w:pPr>
        <w:jc w:val="center"/>
        <w:rPr>
          <w:i/>
          <w:color w:val="000000"/>
          <w:shd w:val="clear" w:color="auto" w:fill="FFFFFF"/>
        </w:rPr>
      </w:pPr>
    </w:p>
    <w:p w14:paraId="0AFFB33E" w14:textId="77777777" w:rsidR="000F51BC" w:rsidRPr="00C75CD3" w:rsidRDefault="000F51BC" w:rsidP="000617DE">
      <w:pPr>
        <w:jc w:val="center"/>
        <w:rPr>
          <w:sz w:val="32"/>
        </w:rPr>
      </w:pPr>
    </w:p>
    <w:p w14:paraId="528C79E5" w14:textId="77777777" w:rsidR="000617DE" w:rsidRPr="00A377A1" w:rsidRDefault="000617DE" w:rsidP="000617DE">
      <w:pPr>
        <w:jc w:val="both"/>
        <w:rPr>
          <w:b/>
          <w:color w:val="FF0000"/>
          <w:sz w:val="28"/>
          <w:szCs w:val="28"/>
        </w:rPr>
      </w:pPr>
      <w:r w:rsidRPr="00A377A1">
        <w:rPr>
          <w:b/>
          <w:color w:val="FF0000"/>
          <w:sz w:val="28"/>
          <w:szCs w:val="28"/>
        </w:rPr>
        <w:t>1) Background</w:t>
      </w:r>
    </w:p>
    <w:p w14:paraId="6FB5FF68" w14:textId="77777777" w:rsidR="000617DE" w:rsidRDefault="000617DE" w:rsidP="00AD308A">
      <w:pPr>
        <w:rPr>
          <w:sz w:val="32"/>
        </w:rPr>
      </w:pPr>
    </w:p>
    <w:p w14:paraId="18CBAE57" w14:textId="77777777" w:rsidR="00FE5289" w:rsidRDefault="00FE5289" w:rsidP="00AA2B7F">
      <w:pPr>
        <w:jc w:val="both"/>
      </w:pPr>
    </w:p>
    <w:p w14:paraId="58EBF806" w14:textId="77777777" w:rsidR="001845B7" w:rsidRDefault="00F37A9E" w:rsidP="00AA2B7F">
      <w:pPr>
        <w:jc w:val="both"/>
      </w:pPr>
      <w:r>
        <w:t xml:space="preserve">Portfolio </w:t>
      </w:r>
      <w:r w:rsidR="007715D2">
        <w:t>optimization</w:t>
      </w:r>
      <w:r>
        <w:t xml:space="preserve"> refers to the process of </w:t>
      </w:r>
      <w:r w:rsidR="008C7406">
        <w:t xml:space="preserve">finding the optimal proportion of each asset in an investor’s portfolio, </w:t>
      </w:r>
      <w:r w:rsidR="0092707A">
        <w:t>given a particular investment objective</w:t>
      </w:r>
      <w:r>
        <w:t>. The two main criteria are to maximize return for a given level of risk or</w:t>
      </w:r>
      <w:r w:rsidR="0092707A">
        <w:t>, equivalently,</w:t>
      </w:r>
      <w:r>
        <w:t xml:space="preserve"> to minimize risk for a given level of expected return. In order to control risk </w:t>
      </w:r>
      <w:r w:rsidR="008F37EA">
        <w:t>efficiently an investor will try to construct a portfolio that is well diversified, i.e. has as</w:t>
      </w:r>
      <w:r w:rsidR="0092707A">
        <w:t xml:space="preserve"> little systematic (non-diversifiable) risk as possible and as</w:t>
      </w:r>
      <w:r w:rsidR="008F37EA">
        <w:t xml:space="preserve"> m</w:t>
      </w:r>
      <w:r w:rsidR="006C5A25">
        <w:t>any</w:t>
      </w:r>
      <w:r w:rsidR="008F37EA">
        <w:t xml:space="preserve"> uncorrelated assets as possible to protect the portfolio as a whole against losses in individual </w:t>
      </w:r>
      <w:r w:rsidR="00EA1EEA">
        <w:t>asset</w:t>
      </w:r>
      <w:r w:rsidR="008F37EA">
        <w:t>s. A perfectly diversified</w:t>
      </w:r>
      <w:r w:rsidR="00260E89">
        <w:t xml:space="preserve">, </w:t>
      </w:r>
      <w:r w:rsidR="0024704D">
        <w:t>long-only</w:t>
      </w:r>
      <w:r w:rsidR="00394BAD">
        <w:t xml:space="preserve"> (no short selling allowed)</w:t>
      </w:r>
      <w:r w:rsidR="0024704D">
        <w:t xml:space="preserve"> </w:t>
      </w:r>
      <w:r w:rsidR="008F37EA">
        <w:t>portfolio</w:t>
      </w:r>
      <w:r w:rsidR="00260E89">
        <w:t>,</w:t>
      </w:r>
      <w:r w:rsidR="008F37EA">
        <w:t xml:space="preserve"> will on</w:t>
      </w:r>
      <w:r w:rsidR="0092707A">
        <w:t>ly be left with (systematic)</w:t>
      </w:r>
      <w:r w:rsidR="008F37EA">
        <w:t xml:space="preserve"> market risk </w:t>
      </w:r>
      <w:r w:rsidR="0092707A">
        <w:t>that can’t be avoided</w:t>
      </w:r>
      <w:r w:rsidR="008F37EA">
        <w:t xml:space="preserve">. </w:t>
      </w:r>
      <w:r w:rsidR="007B5D6B">
        <w:t>The</w:t>
      </w:r>
      <w:r w:rsidR="008F37EA">
        <w:t xml:space="preserve"> traditional Markowitz </w:t>
      </w:r>
      <w:r w:rsidR="007B5D6B">
        <w:t>Mean</w:t>
      </w:r>
      <w:r w:rsidR="001845B7">
        <w:t>-</w:t>
      </w:r>
      <w:r w:rsidR="007B5D6B">
        <w:t xml:space="preserve">Variance Optimization framework offers a way to allocate stocks by considering a trade-off between risk and </w:t>
      </w:r>
      <w:r w:rsidR="00260E89">
        <w:t xml:space="preserve">expected </w:t>
      </w:r>
      <w:r w:rsidR="007B5D6B">
        <w:t>return.</w:t>
      </w:r>
      <w:r w:rsidR="005E065C">
        <w:t xml:space="preserve"> </w:t>
      </w:r>
      <w:r w:rsidR="008C7406">
        <w:t>Further d</w:t>
      </w:r>
      <w:r w:rsidR="006C5A25">
        <w:t xml:space="preserve">iversification can be achieved by avoiding concentration in countries, company sizes, sectors, etc. </w:t>
      </w:r>
    </w:p>
    <w:p w14:paraId="6F96F5C3" w14:textId="77777777" w:rsidR="001845B7" w:rsidRDefault="001845B7" w:rsidP="00AA2B7F">
      <w:pPr>
        <w:jc w:val="both"/>
      </w:pPr>
    </w:p>
    <w:p w14:paraId="0D5F3626" w14:textId="77777777" w:rsidR="00774A56" w:rsidRDefault="005E065C" w:rsidP="00AA2B7F">
      <w:pPr>
        <w:jc w:val="both"/>
      </w:pPr>
      <w:r>
        <w:t>Institutional investors are generally required to construct portfolios using additional constraints such as</w:t>
      </w:r>
      <w:r w:rsidR="0092707A">
        <w:t>, limits on</w:t>
      </w:r>
      <w:r w:rsidR="001845B7">
        <w:t xml:space="preserve"> the number of unique assets in the portfolio</w:t>
      </w:r>
      <w:r>
        <w:t xml:space="preserve"> </w:t>
      </w:r>
      <w:r w:rsidR="001845B7">
        <w:t xml:space="preserve">or </w:t>
      </w:r>
      <w:r>
        <w:t>how m</w:t>
      </w:r>
      <w:r w:rsidR="00CC3DCF">
        <w:t>any</w:t>
      </w:r>
      <w:r>
        <w:t xml:space="preserve"> assets outside a specified benchmark can </w:t>
      </w:r>
      <w:r w:rsidR="001845B7">
        <w:t>or</w:t>
      </w:r>
      <w:r>
        <w:t xml:space="preserve"> </w:t>
      </w:r>
      <w:r w:rsidR="006541DE">
        <w:t>must</w:t>
      </w:r>
      <w:r>
        <w:t xml:space="preserve"> </w:t>
      </w:r>
      <w:r w:rsidR="00971455">
        <w:t xml:space="preserve">be </w:t>
      </w:r>
      <w:r>
        <w:t xml:space="preserve">added. </w:t>
      </w:r>
      <w:r w:rsidR="001845B7">
        <w:t>These</w:t>
      </w:r>
      <w:r>
        <w:t xml:space="preserve"> additional constraints </w:t>
      </w:r>
      <w:r w:rsidR="001845B7">
        <w:t>are designed to</w:t>
      </w:r>
      <w:r>
        <w:t xml:space="preserve"> control the costs tha</w:t>
      </w:r>
      <w:r w:rsidR="001845B7">
        <w:t>t</w:t>
      </w:r>
      <w:r w:rsidR="00971455">
        <w:t xml:space="preserve"> occur </w:t>
      </w:r>
      <w:r w:rsidR="001845B7">
        <w:t>when</w:t>
      </w:r>
      <w:r w:rsidR="00971455">
        <w:t xml:space="preserve"> an asset</w:t>
      </w:r>
      <w:r>
        <w:t xml:space="preserve"> </w:t>
      </w:r>
      <w:r w:rsidR="001845B7">
        <w:t>i</w:t>
      </w:r>
      <w:r>
        <w:t xml:space="preserve">s </w:t>
      </w:r>
      <w:r w:rsidR="00971455">
        <w:t>bought</w:t>
      </w:r>
      <w:r w:rsidR="008C7406">
        <w:t>,</w:t>
      </w:r>
      <w:r w:rsidR="00971455">
        <w:t xml:space="preserve"> </w:t>
      </w:r>
      <w:r w:rsidR="001845B7">
        <w:t>sold</w:t>
      </w:r>
      <w:r w:rsidR="008C7406">
        <w:t xml:space="preserve"> or held</w:t>
      </w:r>
      <w:r w:rsidR="001845B7">
        <w:t xml:space="preserve"> while also creating a portfolio that is </w:t>
      </w:r>
      <w:r w:rsidR="0024704D">
        <w:t>concentrated</w:t>
      </w:r>
      <w:r w:rsidR="001845B7">
        <w:t xml:space="preserve"> enough to outperform the market.</w:t>
      </w:r>
    </w:p>
    <w:p w14:paraId="18AD1078" w14:textId="77777777" w:rsidR="00774A56" w:rsidRDefault="00774A56" w:rsidP="00AA2B7F">
      <w:pPr>
        <w:jc w:val="both"/>
      </w:pPr>
    </w:p>
    <w:p w14:paraId="425D9C11" w14:textId="77777777" w:rsidR="00394BAD" w:rsidRDefault="00394BAD" w:rsidP="00AA2B7F">
      <w:pPr>
        <w:jc w:val="both"/>
      </w:pPr>
      <w:r>
        <w:t>Principal</w:t>
      </w:r>
      <w:r w:rsidR="00B55E3A">
        <w:t xml:space="preserve"> Global Investors</w:t>
      </w:r>
      <w:r>
        <w:t xml:space="preserve"> has a large </w:t>
      </w:r>
      <w:r w:rsidR="00B55E3A">
        <w:t xml:space="preserve">base of </w:t>
      </w:r>
      <w:r>
        <w:t>asset under management, mainly from our pension and insurance business</w:t>
      </w:r>
      <w:r w:rsidR="00B55E3A">
        <w:t xml:space="preserve"> as well from institutional clients. In order to operate profitably these assets get invested in a wide range of asset classes and strategies</w:t>
      </w:r>
      <w:r>
        <w:t>.</w:t>
      </w:r>
      <w:r w:rsidR="00B55E3A">
        <w:t xml:space="preserve"> One of those asset classes is equities, where portfolio construction is the main point of focus. The following problem is an accurate </w:t>
      </w:r>
      <w:r w:rsidR="00244153">
        <w:t>representation</w:t>
      </w:r>
      <w:r w:rsidR="00B55E3A">
        <w:t xml:space="preserve"> of what challenges </w:t>
      </w:r>
      <w:r w:rsidR="00244153">
        <w:t>a</w:t>
      </w:r>
      <w:r w:rsidR="008C7406">
        <w:t>n equity</w:t>
      </w:r>
      <w:r w:rsidR="00244153">
        <w:t xml:space="preserve"> portfolio manager faces on a daily basis.</w:t>
      </w:r>
      <w:r w:rsidR="00B55E3A">
        <w:t xml:space="preserve"> </w:t>
      </w:r>
    </w:p>
    <w:p w14:paraId="1C39152A" w14:textId="77777777" w:rsidR="00774A56" w:rsidRDefault="00774A56" w:rsidP="00AA2B7F">
      <w:pPr>
        <w:jc w:val="both"/>
      </w:pPr>
    </w:p>
    <w:p w14:paraId="54EDAFB1" w14:textId="77777777" w:rsidR="00244153" w:rsidRDefault="00244153" w:rsidP="00AA2B7F">
      <w:pPr>
        <w:jc w:val="both"/>
      </w:pPr>
    </w:p>
    <w:p w14:paraId="3D7A056C" w14:textId="1DD4B32B" w:rsidR="00774A56" w:rsidRPr="000617DE" w:rsidRDefault="00CC3DCF" w:rsidP="00AA2B7F">
      <w:pPr>
        <w:jc w:val="both"/>
      </w:pPr>
      <w:r w:rsidRPr="00AD308A">
        <w:rPr>
          <w:b/>
          <w:color w:val="FF0000"/>
          <w:sz w:val="28"/>
          <w:szCs w:val="28"/>
        </w:rPr>
        <w:t xml:space="preserve">2) Problem </w:t>
      </w:r>
      <w:r w:rsidR="000617DE" w:rsidRPr="00AD308A">
        <w:rPr>
          <w:b/>
          <w:color w:val="FF0000"/>
          <w:sz w:val="28"/>
          <w:szCs w:val="28"/>
        </w:rPr>
        <w:t>Definition</w:t>
      </w:r>
    </w:p>
    <w:p w14:paraId="0D2EDE33" w14:textId="77777777" w:rsidR="00FE5289" w:rsidRDefault="00FE5289" w:rsidP="00AA2B7F">
      <w:pPr>
        <w:jc w:val="both"/>
      </w:pPr>
    </w:p>
    <w:p w14:paraId="5A0EF576" w14:textId="15EBCD48" w:rsidR="00FE5289" w:rsidRDefault="00FE5289" w:rsidP="00EE3F21">
      <w:pPr>
        <w:jc w:val="both"/>
      </w:pPr>
      <w:r>
        <w:t>Your challenge is to develop</w:t>
      </w:r>
      <w:r w:rsidR="00797828">
        <w:t xml:space="preserve"> an equity portfolio optimi</w:t>
      </w:r>
      <w:r>
        <w:t>z</w:t>
      </w:r>
      <w:r w:rsidR="00797828">
        <w:t xml:space="preserve">ation framework </w:t>
      </w:r>
      <w:r>
        <w:t>that</w:t>
      </w:r>
      <w:r w:rsidR="00797828">
        <w:t xml:space="preserve"> improve</w:t>
      </w:r>
      <w:r>
        <w:t>s</w:t>
      </w:r>
      <w:r w:rsidR="00797828">
        <w:t xml:space="preserve"> risk adjusted </w:t>
      </w:r>
      <w:r w:rsidR="00DC2941">
        <w:t xml:space="preserve">excess </w:t>
      </w:r>
      <w:r w:rsidR="00797828">
        <w:t>returns.</w:t>
      </w:r>
      <w:r>
        <w:t xml:space="preserve"> </w:t>
      </w:r>
      <w:r w:rsidR="00797828">
        <w:t xml:space="preserve">The </w:t>
      </w:r>
      <w:r w:rsidR="007715D2">
        <w:t>optimization</w:t>
      </w:r>
      <w:r w:rsidR="00797828">
        <w:t xml:space="preserve"> framework will minimize the trade-off between risk</w:t>
      </w:r>
      <w:r w:rsidR="00DC2941">
        <w:t>, in the form of tracking error,</w:t>
      </w:r>
      <w:r w:rsidR="00797828">
        <w:t xml:space="preserve"> and expected </w:t>
      </w:r>
      <w:r w:rsidR="00DC2941">
        <w:t xml:space="preserve">excess </w:t>
      </w:r>
      <w:r w:rsidR="00797828">
        <w:t xml:space="preserve">return </w:t>
      </w:r>
      <w:r w:rsidR="008C7406">
        <w:t xml:space="preserve">through time, </w:t>
      </w:r>
      <w:r w:rsidR="00797828">
        <w:t>subject to several constraints.</w:t>
      </w:r>
      <w:r w:rsidR="00B42A08">
        <w:t xml:space="preserve"> The </w:t>
      </w:r>
      <w:r w:rsidR="000E1D38">
        <w:t xml:space="preserve">portfolio will only consist of </w:t>
      </w:r>
      <w:r>
        <w:t>long positions</w:t>
      </w:r>
      <w:r w:rsidR="00260E89">
        <w:t>,</w:t>
      </w:r>
      <w:r>
        <w:t xml:space="preserve"> meaning the</w:t>
      </w:r>
      <w:r w:rsidR="000E1D38">
        <w:t xml:space="preserve"> decision variable (proportion of </w:t>
      </w:r>
      <w:r w:rsidR="008C7406">
        <w:t xml:space="preserve">the </w:t>
      </w:r>
      <w:r w:rsidR="000E1D38">
        <w:t>portfolio</w:t>
      </w:r>
      <w:r w:rsidR="008C7406">
        <w:t xml:space="preserve"> held in each asset</w:t>
      </w:r>
      <w:r w:rsidR="000E1D38">
        <w:t xml:space="preserve">) is </w:t>
      </w:r>
      <w:r>
        <w:t>always positive. The portfolio must also</w:t>
      </w:r>
      <w:r w:rsidR="00363C68">
        <w:t xml:space="preserve"> be fully invested a</w:t>
      </w:r>
      <w:r w:rsidR="004304DB">
        <w:t>t</w:t>
      </w:r>
      <w:r w:rsidR="00363C68">
        <w:t xml:space="preserve"> </w:t>
      </w:r>
      <w:r>
        <w:t xml:space="preserve">all times. In other words, </w:t>
      </w:r>
      <w:r w:rsidR="00363C68">
        <w:t>the proport</w:t>
      </w:r>
      <w:r w:rsidR="0030388A">
        <w:t xml:space="preserve">ions of all assets </w:t>
      </w:r>
      <w:r>
        <w:t>must sum to</w:t>
      </w:r>
      <w:r w:rsidR="0030388A">
        <w:t xml:space="preserve"> 100%</w:t>
      </w:r>
      <w:r w:rsidR="000E1D38">
        <w:t>.</w:t>
      </w:r>
      <w:r w:rsidR="008C7406">
        <w:t xml:space="preserve"> </w:t>
      </w:r>
      <w:r w:rsidR="00363C68">
        <w:t>In order to avoid concentration in individual assets</w:t>
      </w:r>
      <w:r w:rsidR="000E1D38">
        <w:t xml:space="preserve">, we will limit the proportion that can be held in each individual asset. </w:t>
      </w:r>
      <w:r w:rsidR="0030388A">
        <w:t>T</w:t>
      </w:r>
      <w:r w:rsidR="000E1D38">
        <w:t>o ensure diversification</w:t>
      </w:r>
      <w:r>
        <w:t>,</w:t>
      </w:r>
      <w:r w:rsidR="000E1D38">
        <w:t xml:space="preserve"> there will be constraints on sectors, company sizes</w:t>
      </w:r>
      <w:r w:rsidR="007C3E94">
        <w:t xml:space="preserve"> (market capitalization</w:t>
      </w:r>
      <w:r>
        <w:t xml:space="preserve">), </w:t>
      </w:r>
      <w:r w:rsidR="000E1D38">
        <w:t xml:space="preserve">and </w:t>
      </w:r>
      <w:r w:rsidR="008C7406">
        <w:t>sensitivity</w:t>
      </w:r>
      <w:r w:rsidR="000E1D38">
        <w:t xml:space="preserve"> to the </w:t>
      </w:r>
      <w:r w:rsidR="008C7406">
        <w:t xml:space="preserve">equity </w:t>
      </w:r>
      <w:r w:rsidR="000E1D38">
        <w:t>market</w:t>
      </w:r>
      <w:r>
        <w:t xml:space="preserve"> (Beta)</w:t>
      </w:r>
      <w:r w:rsidR="000E1D38">
        <w:t>.</w:t>
      </w:r>
      <w:r w:rsidR="00363C68">
        <w:t xml:space="preserve"> </w:t>
      </w:r>
      <w:r w:rsidR="0088078C">
        <w:t>So far</w:t>
      </w:r>
      <w:r>
        <w:t>,</w:t>
      </w:r>
      <w:r w:rsidR="0088078C">
        <w:t xml:space="preserve"> this represents a basic Markowitz portfolio optimization problem that can be sol</w:t>
      </w:r>
      <w:r w:rsidR="00EE3F21">
        <w:t xml:space="preserve">ved using </w:t>
      </w:r>
      <w:r w:rsidR="00394BAD">
        <w:t xml:space="preserve">widely </w:t>
      </w:r>
      <w:r w:rsidR="00EE3F21">
        <w:t>open-</w:t>
      </w:r>
      <w:r w:rsidR="0088078C">
        <w:t>source</w:t>
      </w:r>
      <w:r w:rsidR="00394BAD">
        <w:t xml:space="preserve"> or commercial</w:t>
      </w:r>
      <w:r w:rsidR="0088078C">
        <w:t xml:space="preserve"> quadratic programming solvers. This </w:t>
      </w:r>
      <w:r w:rsidR="00394BAD">
        <w:t xml:space="preserve">Markowitz </w:t>
      </w:r>
      <w:r w:rsidR="0088078C">
        <w:t xml:space="preserve">implementation </w:t>
      </w:r>
      <w:r w:rsidR="0088078C">
        <w:lastRenderedPageBreak/>
        <w:t xml:space="preserve">was also used to create the baseline data that is provided and should serve as a starting point to further add the following extensions to the problem. </w:t>
      </w:r>
    </w:p>
    <w:p w14:paraId="0AEB8CC8" w14:textId="77777777" w:rsidR="00FE5289" w:rsidRDefault="00FE5289" w:rsidP="00EE3F21">
      <w:pPr>
        <w:jc w:val="both"/>
      </w:pPr>
    </w:p>
    <w:p w14:paraId="09849121" w14:textId="5D631B54" w:rsidR="00774A56" w:rsidRDefault="0088078C" w:rsidP="00EE3F21">
      <w:pPr>
        <w:jc w:val="both"/>
      </w:pPr>
      <w:r>
        <w:t>As mentioned before</w:t>
      </w:r>
      <w:r w:rsidR="00FE5289">
        <w:t>,</w:t>
      </w:r>
      <w:r>
        <w:t xml:space="preserve"> the number of </w:t>
      </w:r>
      <w:r w:rsidR="008C7406">
        <w:t xml:space="preserve">distinct </w:t>
      </w:r>
      <w:r>
        <w:t xml:space="preserve">assets in </w:t>
      </w:r>
      <w:r w:rsidR="00EE3F21">
        <w:t xml:space="preserve">a </w:t>
      </w:r>
      <w:r>
        <w:t xml:space="preserve">portfolio </w:t>
      </w:r>
      <w:r w:rsidR="00287E79">
        <w:t xml:space="preserve">is often </w:t>
      </w:r>
      <w:r w:rsidR="00EE3F21">
        <w:t>a requirement</w:t>
      </w:r>
      <w:r w:rsidR="0030388A">
        <w:t xml:space="preserve"> in portfolio construction</w:t>
      </w:r>
      <w:r w:rsidR="00FE5289">
        <w:t>.</w:t>
      </w:r>
      <w:r w:rsidR="00797828">
        <w:t xml:space="preserve"> </w:t>
      </w:r>
      <w:r w:rsidR="00FE5289">
        <w:t>Therefore, we would like</w:t>
      </w:r>
      <w:r w:rsidR="00EE3F21">
        <w:t xml:space="preserve"> you to add a</w:t>
      </w:r>
      <w:r w:rsidR="00797828">
        <w:t xml:space="preserve"> constraint to limit the target </w:t>
      </w:r>
      <w:r w:rsidR="00363C68">
        <w:t xml:space="preserve">number of </w:t>
      </w:r>
      <w:r w:rsidR="008C7406">
        <w:t xml:space="preserve">distinct </w:t>
      </w:r>
      <w:r w:rsidR="00363C68">
        <w:t xml:space="preserve">assets in the </w:t>
      </w:r>
      <w:r w:rsidR="00797828">
        <w:t xml:space="preserve">portfolio to a </w:t>
      </w:r>
      <w:r w:rsidR="00EE3F21">
        <w:t>predefined</w:t>
      </w:r>
      <w:r w:rsidR="00797828">
        <w:t xml:space="preserve"> </w:t>
      </w:r>
      <w:r w:rsidR="00287E79">
        <w:t>range</w:t>
      </w:r>
      <w:r w:rsidR="00797828">
        <w:t>.</w:t>
      </w:r>
      <w:r w:rsidR="00EE3F21">
        <w:t xml:space="preserve"> </w:t>
      </w:r>
      <w:r w:rsidR="00363C68">
        <w:t>We will also introduce an active share constraint which controls how closely we follow a chosen benchmark index</w:t>
      </w:r>
      <w:r w:rsidR="003D24B9">
        <w:t xml:space="preserve"> in terms of </w:t>
      </w:r>
      <w:r w:rsidR="007C3E94">
        <w:t>active weights (</w:t>
      </w:r>
      <w:r w:rsidR="00312940">
        <w:t xml:space="preserve">equation 1, </w:t>
      </w:r>
      <w:r w:rsidR="007C3E94">
        <w:t>difference between portfolio weight and benchmark weight</w:t>
      </w:r>
      <w:r w:rsidR="00260E89">
        <w:t>)</w:t>
      </w:r>
      <w:r w:rsidR="00801415">
        <w:t xml:space="preserve">, as well as </w:t>
      </w:r>
      <w:r w:rsidR="00260E89">
        <w:t xml:space="preserve">a </w:t>
      </w:r>
      <w:r w:rsidR="00801415">
        <w:t>t</w:t>
      </w:r>
      <w:r w:rsidR="00FE5289">
        <w:t>racking error</w:t>
      </w:r>
      <w:r w:rsidR="00801415">
        <w:t xml:space="preserve"> (standard deviation of active weights) constraint which</w:t>
      </w:r>
      <w:r w:rsidR="00363C68">
        <w:t xml:space="preserve"> also </w:t>
      </w:r>
      <w:r w:rsidR="003D24B9">
        <w:t xml:space="preserve">controls how closely we follow </w:t>
      </w:r>
      <w:r w:rsidR="00287E79">
        <w:t>a</w:t>
      </w:r>
      <w:r w:rsidR="003D24B9">
        <w:t xml:space="preserve"> benchmark</w:t>
      </w:r>
      <w:r w:rsidR="00FE5289">
        <w:t>,</w:t>
      </w:r>
      <w:r w:rsidR="003D24B9">
        <w:t xml:space="preserve"> but in terms of </w:t>
      </w:r>
      <w:r w:rsidR="008C7406">
        <w:t xml:space="preserve">a </w:t>
      </w:r>
      <w:r w:rsidR="003D24B9">
        <w:t xml:space="preserve">risk </w:t>
      </w:r>
      <w:r w:rsidR="008C7406">
        <w:t xml:space="preserve">measure </w:t>
      </w:r>
      <w:r w:rsidR="00FE5289">
        <w:t>rather than return</w:t>
      </w:r>
      <w:r w:rsidR="003D24B9">
        <w:t xml:space="preserve">. </w:t>
      </w:r>
      <w:r w:rsidR="00EE3F21">
        <w:t>The</w:t>
      </w:r>
      <w:r w:rsidR="00FE5289">
        <w:t>se</w:t>
      </w:r>
      <w:r w:rsidR="00EE3F21">
        <w:t xml:space="preserve"> final three extensions </w:t>
      </w:r>
      <w:r w:rsidR="0030388A">
        <w:t>t</w:t>
      </w:r>
      <w:r w:rsidR="00EE3F21">
        <w:t>o the Markowitz problem alter the problem definition</w:t>
      </w:r>
      <w:r w:rsidR="00FE5289">
        <w:t xml:space="preserve"> considerably.</w:t>
      </w:r>
      <w:r w:rsidR="00EE3F21">
        <w:t xml:space="preserve"> </w:t>
      </w:r>
      <w:r w:rsidR="00FE5289">
        <w:t xml:space="preserve">This formulation can no longer </w:t>
      </w:r>
      <w:r w:rsidR="00EE3F21">
        <w:t xml:space="preserve">be solved with traditional convex </w:t>
      </w:r>
      <w:r w:rsidR="007715D2">
        <w:t>optimization</w:t>
      </w:r>
      <w:r w:rsidR="00EE3F21">
        <w:t xml:space="preserve"> techniques. We therefore challenge you to come up with a creative solution for h</w:t>
      </w:r>
      <w:r w:rsidR="0030388A">
        <w:t>andling these constraints.</w:t>
      </w:r>
      <w:r w:rsidR="00EE3F21">
        <w:t xml:space="preserve"> </w:t>
      </w:r>
      <w:r w:rsidR="00FE5289">
        <w:t>You must consider</w:t>
      </w:r>
      <w:r w:rsidR="00EE3F21">
        <w:t xml:space="preserve"> the dimensionality o</w:t>
      </w:r>
      <w:r w:rsidR="0030388A">
        <w:t xml:space="preserve">f the problem </w:t>
      </w:r>
      <w:r w:rsidR="00EE3F21">
        <w:t xml:space="preserve">and the associated time it will require to compute a solution. Think about applying heuristics </w:t>
      </w:r>
      <w:r w:rsidR="00287E79">
        <w:t>rather than exact implementations</w:t>
      </w:r>
      <w:r w:rsidR="00EE3F21">
        <w:t xml:space="preserve"> as a trade-off for the time it will take to compute</w:t>
      </w:r>
      <w:r w:rsidR="00287E79">
        <w:t xml:space="preserve"> a solution</w:t>
      </w:r>
      <w:r w:rsidR="00EE3F21">
        <w:t>.</w:t>
      </w:r>
      <w:r w:rsidR="0030388A">
        <w:t xml:space="preserve"> </w:t>
      </w:r>
      <w:r w:rsidR="00EE3F21">
        <w:t xml:space="preserve"> </w:t>
      </w:r>
      <w:r w:rsidR="0030388A">
        <w:t xml:space="preserve">We also want you to think about scalability of the problem, i.e. what would happen if </w:t>
      </w:r>
      <w:r w:rsidR="008C7406">
        <w:t>your</w:t>
      </w:r>
      <w:r w:rsidR="0030388A">
        <w:t xml:space="preserve"> input data increased dramatically in size</w:t>
      </w:r>
      <w:r w:rsidR="00287E79">
        <w:t>, e.g. 10</w:t>
      </w:r>
      <w:r w:rsidR="00E414C2">
        <w:t>-20</w:t>
      </w:r>
      <w:r w:rsidR="00287E79">
        <w:t>x</w:t>
      </w:r>
      <w:r w:rsidR="0030388A">
        <w:t>?</w:t>
      </w:r>
      <w:r w:rsidR="00EE3F21">
        <w:t xml:space="preserve"> </w:t>
      </w:r>
      <w:r w:rsidR="00394BAD">
        <w:t xml:space="preserve">This would typically happen </w:t>
      </w:r>
      <w:r w:rsidR="003958E4">
        <w:t>i</w:t>
      </w:r>
      <w:r w:rsidR="00394BAD">
        <w:t xml:space="preserve">f we want to run this problem on a global </w:t>
      </w:r>
      <w:r w:rsidR="008C7406">
        <w:t>equity</w:t>
      </w:r>
      <w:r w:rsidR="00394BAD">
        <w:t xml:space="preserve"> universe.</w:t>
      </w:r>
    </w:p>
    <w:p w14:paraId="3DC04281" w14:textId="77777777" w:rsidR="006541DE" w:rsidRDefault="006541DE" w:rsidP="00AA2B7F">
      <w:pPr>
        <w:jc w:val="both"/>
      </w:pPr>
    </w:p>
    <w:p w14:paraId="13C42C74" w14:textId="77777777" w:rsidR="001E2BD0" w:rsidRDefault="001E2BD0" w:rsidP="00AA2B7F">
      <w:pPr>
        <w:jc w:val="both"/>
      </w:pPr>
    </w:p>
    <w:p w14:paraId="67EA0C98" w14:textId="03EA3ADD" w:rsidR="006541DE" w:rsidRPr="00AD308A" w:rsidRDefault="006541DE" w:rsidP="00AA2B7F">
      <w:pPr>
        <w:jc w:val="both"/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t xml:space="preserve">3) Define </w:t>
      </w:r>
      <w:r w:rsidR="000617DE" w:rsidRPr="00AD308A">
        <w:rPr>
          <w:b/>
          <w:color w:val="FF0000"/>
          <w:sz w:val="28"/>
          <w:szCs w:val="28"/>
        </w:rPr>
        <w:t>Notations</w:t>
      </w:r>
    </w:p>
    <w:p w14:paraId="18F214BD" w14:textId="77777777" w:rsidR="0057021D" w:rsidRDefault="0057021D" w:rsidP="0041229E"/>
    <w:p w14:paraId="1A125142" w14:textId="77777777" w:rsidR="006541DE" w:rsidRDefault="003B489E" w:rsidP="0041229E">
      <w:r>
        <w:t>Input descriptions:</w:t>
      </w:r>
    </w:p>
    <w:p w14:paraId="4BC4061A" w14:textId="77777777" w:rsidR="0057021D" w:rsidRDefault="0057021D" w:rsidP="0041229E">
      <w:pPr>
        <w:rPr>
          <w:u w:val="single"/>
        </w:rPr>
      </w:pPr>
    </w:p>
    <w:p w14:paraId="3A2AE4F8" w14:textId="77777777" w:rsidR="003B489E" w:rsidRDefault="00E25F89" w:rsidP="0041229E">
      <w:r w:rsidRPr="00A230A7">
        <w:rPr>
          <w:u w:val="single"/>
        </w:rPr>
        <w:t>Risk (</w:t>
      </w:r>
      <m:oMath>
        <m:r>
          <m:rPr>
            <m:sty m:val="p"/>
          </m:rPr>
          <w:rPr>
            <w:rFonts w:ascii="Cambria Math" w:hAnsi="Cambria Math"/>
            <w:u w:val="single"/>
          </w:rPr>
          <m:t>Ω)</m:t>
        </m:r>
      </m:oMath>
      <w:r>
        <w:t xml:space="preserve"> : </w:t>
      </w:r>
      <w:r w:rsidR="0011295D">
        <w:t xml:space="preserve">Return </w:t>
      </w:r>
      <w:r>
        <w:t xml:space="preserve">covariance matrix for all assets in the universe, which contains the relationships between each pair of </w:t>
      </w:r>
      <w:r w:rsidR="0024704D">
        <w:t xml:space="preserve">historical </w:t>
      </w:r>
      <w:r>
        <w:t>return</w:t>
      </w:r>
      <w:r w:rsidR="0024704D">
        <w:t xml:space="preserve"> series</w:t>
      </w:r>
      <w:r>
        <w:t xml:space="preserve">. 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24704D">
        <w:t xml:space="preserve"> is a symmetric</w:t>
      </w:r>
      <w:r>
        <w:t xml:space="preserve"> matrix where the diagonal elements</w:t>
      </w:r>
      <w:r w:rsidR="008C7406">
        <w:t xml:space="preserve"> are the variances of the asset returns</w:t>
      </w:r>
      <w:r>
        <w:t xml:space="preserve">, the off-diagonal elements are </w:t>
      </w:r>
      <w:proofErr w:type="spellStart"/>
      <w:proofErr w:type="gramStart"/>
      <w:r>
        <w:t>covariances</w:t>
      </w:r>
      <w:proofErr w:type="spellEnd"/>
      <w:r>
        <w:t>.</w:t>
      </w:r>
      <w:proofErr w:type="gramEnd"/>
      <w:r>
        <w:t xml:space="preserve"> As the matrix is symmetric we will only be providing the upper half of the matrix</w:t>
      </w:r>
      <w:r w:rsidR="0011295D">
        <w:t>.</w:t>
      </w:r>
    </w:p>
    <w:p w14:paraId="1A9EC98D" w14:textId="77777777" w:rsidR="0057021D" w:rsidRDefault="0057021D" w:rsidP="0041229E">
      <w:pPr>
        <w:rPr>
          <w:u w:val="single"/>
        </w:rPr>
      </w:pPr>
    </w:p>
    <w:p w14:paraId="58A6D653" w14:textId="5EAF47BF" w:rsidR="00E25F89" w:rsidRDefault="006F62F9" w:rsidP="0041229E">
      <w:r>
        <w:rPr>
          <w:u w:val="single"/>
        </w:rPr>
        <w:t>Alpha Score</w:t>
      </w:r>
      <w:r w:rsidR="00B32156">
        <w:rPr>
          <w:u w:val="single"/>
        </w:rPr>
        <w:t xml:space="preserve"> (</w:t>
      </w:r>
      <m:oMath>
        <m:r>
          <w:rPr>
            <w:rFonts w:ascii="Cambria Math" w:hAnsi="Cambria Math"/>
          </w:rPr>
          <m:t>α)</m:t>
        </m:r>
      </m:oMath>
      <w:r w:rsidR="00E25F89">
        <w:t xml:space="preserve">: </w:t>
      </w:r>
      <w:r>
        <w:t>E</w:t>
      </w:r>
      <w:r w:rsidR="008B69CA">
        <w:t>xpected return</w:t>
      </w:r>
      <w:r w:rsidR="00FE2ED6">
        <w:t xml:space="preserve"> score</w:t>
      </w:r>
      <w:r w:rsidR="008C7406">
        <w:t>, higher values are expected to have higher future returns</w:t>
      </w:r>
      <w:r w:rsidR="00AD308A">
        <w:t>.</w:t>
      </w:r>
    </w:p>
    <w:p w14:paraId="13791F86" w14:textId="77777777" w:rsidR="0057021D" w:rsidRDefault="0057021D" w:rsidP="00AA2B7F">
      <w:pPr>
        <w:jc w:val="both"/>
        <w:rPr>
          <w:u w:val="single"/>
        </w:rPr>
      </w:pPr>
    </w:p>
    <w:p w14:paraId="28BB0457" w14:textId="77777777" w:rsidR="0041229E" w:rsidRDefault="0041229E" w:rsidP="00AA2B7F">
      <w:pPr>
        <w:jc w:val="both"/>
      </w:pPr>
      <w:r w:rsidRPr="0041229E">
        <w:rPr>
          <w:u w:val="single"/>
        </w:rPr>
        <w:t>Date</w:t>
      </w:r>
      <w:r>
        <w:t xml:space="preserve">: </w:t>
      </w:r>
      <w:r w:rsidR="00FD1C42">
        <w:t xml:space="preserve">Date stamp when portfolio optimizations will be performed, also used for corresponding covariance matrices. </w:t>
      </w:r>
    </w:p>
    <w:p w14:paraId="29A23AF9" w14:textId="77777777" w:rsidR="0057021D" w:rsidRDefault="0057021D" w:rsidP="00AA2B7F">
      <w:pPr>
        <w:jc w:val="both"/>
        <w:rPr>
          <w:u w:val="single"/>
        </w:rPr>
      </w:pPr>
    </w:p>
    <w:p w14:paraId="4FBD333B" w14:textId="77777777" w:rsidR="00FD1C42" w:rsidRDefault="00FD1C42" w:rsidP="00AA2B7F">
      <w:pPr>
        <w:jc w:val="both"/>
      </w:pPr>
      <w:r w:rsidRPr="00FD1C42">
        <w:rPr>
          <w:u w:val="single"/>
        </w:rPr>
        <w:t>Identifier</w:t>
      </w:r>
      <w:r>
        <w:t>: SEDOL (</w:t>
      </w:r>
      <w:r w:rsidRPr="00D912B2">
        <w:rPr>
          <w:b/>
        </w:rPr>
        <w:t>S</w:t>
      </w:r>
      <w:r>
        <w:t xml:space="preserve">tock </w:t>
      </w:r>
      <w:r w:rsidRPr="00D912B2">
        <w:rPr>
          <w:b/>
        </w:rPr>
        <w:t>E</w:t>
      </w:r>
      <w:r>
        <w:t xml:space="preserve">xchange </w:t>
      </w:r>
      <w:r w:rsidRPr="00D912B2">
        <w:rPr>
          <w:b/>
        </w:rPr>
        <w:t>D</w:t>
      </w:r>
      <w:r>
        <w:t xml:space="preserve">aily </w:t>
      </w:r>
      <w:r w:rsidRPr="00D912B2">
        <w:rPr>
          <w:b/>
        </w:rPr>
        <w:t>O</w:t>
      </w:r>
      <w:r>
        <w:t xml:space="preserve">fficial </w:t>
      </w:r>
      <w:r w:rsidRPr="00D912B2">
        <w:rPr>
          <w:b/>
        </w:rPr>
        <w:t>L</w:t>
      </w:r>
      <w:r>
        <w:t>ist), unique stock identifier</w:t>
      </w:r>
    </w:p>
    <w:p w14:paraId="286330EE" w14:textId="77777777" w:rsidR="0057021D" w:rsidRDefault="0057021D" w:rsidP="00AA2B7F">
      <w:pPr>
        <w:jc w:val="both"/>
        <w:rPr>
          <w:u w:val="single"/>
        </w:rPr>
      </w:pPr>
    </w:p>
    <w:p w14:paraId="0058F3C8" w14:textId="77777777" w:rsidR="00FD1C42" w:rsidRDefault="00FD1C42" w:rsidP="00AA2B7F">
      <w:pPr>
        <w:jc w:val="both"/>
      </w:pPr>
      <w:r w:rsidRPr="00FD1C42">
        <w:rPr>
          <w:u w:val="single"/>
        </w:rPr>
        <w:t>Sector</w:t>
      </w:r>
      <w:r>
        <w:t>: Information about the industrial sector each asset belongs to</w:t>
      </w:r>
    </w:p>
    <w:p w14:paraId="6F8CE08C" w14:textId="77777777" w:rsidR="0057021D" w:rsidRDefault="0057021D" w:rsidP="00AA2B7F">
      <w:pPr>
        <w:jc w:val="both"/>
        <w:rPr>
          <w:u w:val="single"/>
        </w:rPr>
      </w:pPr>
    </w:p>
    <w:p w14:paraId="0A8F511A" w14:textId="77777777" w:rsidR="00FD1C42" w:rsidRDefault="00FD1C42" w:rsidP="00AA2B7F">
      <w:pPr>
        <w:jc w:val="both"/>
      </w:pPr>
      <w:r w:rsidRPr="00FD1C42">
        <w:rPr>
          <w:u w:val="single"/>
        </w:rPr>
        <w:t>Beta</w:t>
      </w:r>
      <w:r>
        <w:t xml:space="preserve">: Measure of an asset’s </w:t>
      </w:r>
      <w:r w:rsidR="00B44BA0">
        <w:t>return sensitivity</w:t>
      </w:r>
      <w:r>
        <w:t xml:space="preserve"> relative to </w:t>
      </w:r>
      <w:r w:rsidR="0011295D">
        <w:t xml:space="preserve">the </w:t>
      </w:r>
      <w:r w:rsidR="00B44BA0">
        <w:t xml:space="preserve">equity </w:t>
      </w:r>
      <w:r>
        <w:t>market</w:t>
      </w:r>
      <w:r w:rsidR="00B44BA0">
        <w:t xml:space="preserve"> return</w:t>
      </w:r>
      <w:r>
        <w:t xml:space="preserve"> as a whole</w:t>
      </w:r>
    </w:p>
    <w:p w14:paraId="37270612" w14:textId="77777777" w:rsidR="0057021D" w:rsidRDefault="0057021D" w:rsidP="00AA2B7F">
      <w:pPr>
        <w:jc w:val="both"/>
        <w:rPr>
          <w:u w:val="single"/>
        </w:rPr>
      </w:pPr>
    </w:p>
    <w:p w14:paraId="6F20C025" w14:textId="77777777" w:rsidR="00FD1C42" w:rsidRDefault="00FD1C42" w:rsidP="00AA2B7F">
      <w:pPr>
        <w:jc w:val="both"/>
      </w:pPr>
      <w:r w:rsidRPr="00FD1C42">
        <w:rPr>
          <w:u w:val="single"/>
        </w:rPr>
        <w:t>Name</w:t>
      </w:r>
      <w:r>
        <w:t>: Asset’s name</w:t>
      </w:r>
    </w:p>
    <w:p w14:paraId="567842F3" w14:textId="77777777" w:rsidR="0057021D" w:rsidRDefault="0057021D" w:rsidP="00AA2B7F">
      <w:pPr>
        <w:jc w:val="both"/>
        <w:rPr>
          <w:u w:val="single"/>
        </w:rPr>
      </w:pPr>
    </w:p>
    <w:p w14:paraId="5EAD59B0" w14:textId="77777777" w:rsidR="00FD1C42" w:rsidRDefault="00FD1C42" w:rsidP="00AA2B7F">
      <w:pPr>
        <w:jc w:val="both"/>
      </w:pPr>
      <w:r w:rsidRPr="00FD1C42">
        <w:rPr>
          <w:u w:val="single"/>
        </w:rPr>
        <w:t>Benchmark weight</w:t>
      </w:r>
      <w:r w:rsidR="005D1240">
        <w:rPr>
          <w:u w:val="single"/>
        </w:rPr>
        <w:t>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bench</m:t>
            </m:r>
          </m:sub>
        </m:sSub>
        <m:r>
          <w:rPr>
            <w:rFonts w:ascii="Cambria Math" w:hAnsi="Cambria Math"/>
          </w:rPr>
          <m:t>)</m:t>
        </m:r>
      </m:oMath>
      <w:r>
        <w:t>: Proportion of each asset in the Benchmark</w:t>
      </w:r>
    </w:p>
    <w:p w14:paraId="3B56A6FB" w14:textId="77777777" w:rsidR="0057021D" w:rsidRDefault="0057021D" w:rsidP="00AA2B7F">
      <w:pPr>
        <w:jc w:val="both"/>
        <w:rPr>
          <w:u w:val="single"/>
        </w:rPr>
      </w:pPr>
    </w:p>
    <w:p w14:paraId="0650B032" w14:textId="77777777" w:rsidR="00FD1C42" w:rsidRDefault="008C492C" w:rsidP="00AA2B7F">
      <w:pPr>
        <w:jc w:val="both"/>
      </w:pPr>
      <w:r w:rsidRPr="008C492C">
        <w:rPr>
          <w:u w:val="single"/>
        </w:rPr>
        <w:t>MCAPQ</w:t>
      </w:r>
      <w:r>
        <w:t xml:space="preserve">: Market Cap Quintile, </w:t>
      </w:r>
      <w:r w:rsidR="0024704D">
        <w:t xml:space="preserve">Market Cap is a </w:t>
      </w:r>
      <w:r>
        <w:t>measure of</w:t>
      </w:r>
      <w:r w:rsidR="00B44BA0">
        <w:t xml:space="preserve"> the</w:t>
      </w:r>
      <w:r>
        <w:t xml:space="preserve"> asset</w:t>
      </w:r>
      <w:r w:rsidR="00B44BA0">
        <w:t>’</w:t>
      </w:r>
      <w:r>
        <w:t>s capitalisation size relative to the market.</w:t>
      </w:r>
      <w:r w:rsidR="00FD1C42">
        <w:t xml:space="preserve">  </w:t>
      </w:r>
      <w:r>
        <w:t>Used to distinguish large companies from small ones.</w:t>
      </w:r>
      <w:r w:rsidR="0011295D">
        <w:t xml:space="preserve"> A rank of 1 indicates it is </w:t>
      </w:r>
      <w:r w:rsidR="0011295D">
        <w:lastRenderedPageBreak/>
        <w:t>part of the largest 20% of companies (by benchmark weight). A rank of 5 indicates it is part of the smallest 20% of companies.</w:t>
      </w:r>
    </w:p>
    <w:p w14:paraId="60842CCD" w14:textId="77777777" w:rsidR="0057021D" w:rsidRDefault="0057021D" w:rsidP="00AA2B7F">
      <w:pPr>
        <w:jc w:val="both"/>
        <w:rPr>
          <w:u w:val="single"/>
        </w:rPr>
      </w:pPr>
    </w:p>
    <w:p w14:paraId="49B7AEFB" w14:textId="3C0C01EB" w:rsidR="00EE0DAF" w:rsidRDefault="00F63451" w:rsidP="00AA2B7F">
      <w:pPr>
        <w:jc w:val="both"/>
      </w:pPr>
      <w:r>
        <w:rPr>
          <w:u w:val="single"/>
        </w:rPr>
        <w:t>4 Week</w:t>
      </w:r>
      <w:r w:rsidRPr="00C037EF">
        <w:rPr>
          <w:u w:val="single"/>
        </w:rPr>
        <w:t xml:space="preserve">ly </w:t>
      </w:r>
      <w:r w:rsidR="00C037EF" w:rsidRPr="00C037EF">
        <w:rPr>
          <w:u w:val="single"/>
        </w:rPr>
        <w:t>Returns</w:t>
      </w:r>
      <w:r w:rsidR="00EE0DAF">
        <w:rPr>
          <w:u w:val="single"/>
        </w:rPr>
        <w:t xml:space="preserve"> </w:t>
      </w:r>
      <w:r w:rsidR="00EE0DAF" w:rsidRPr="00EE0DA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EE0DAF" w:rsidRPr="00EE0DAF">
        <w:t>)</w:t>
      </w:r>
      <w:r w:rsidR="00C037EF" w:rsidRPr="00EE0DAF">
        <w:t>:</w:t>
      </w:r>
      <w:r w:rsidR="00C037EF">
        <w:t xml:space="preserve"> </w:t>
      </w:r>
      <w:r>
        <w:t>4 weekly</w:t>
      </w:r>
      <w:r w:rsidR="00C037EF">
        <w:t xml:space="preserve"> forward returns</w:t>
      </w:r>
      <w:r w:rsidR="0011295D">
        <w:t xml:space="preserve"> (the return from the date in question over the subsequent </w:t>
      </w:r>
      <w:r w:rsidR="00B44BA0">
        <w:t>4 weeks</w:t>
      </w:r>
      <w:r w:rsidR="0011295D">
        <w:t>)</w:t>
      </w:r>
      <w:r w:rsidR="00C037EF">
        <w:t xml:space="preserve"> for each asset, these returns can only be used to calculate the portfolio performance metrics after the optimizations</w:t>
      </w:r>
      <w:r w:rsidR="0011295D">
        <w:t xml:space="preserve"> (i.e. it cannot be part of the optimization itself) since this would introduce look-ahead bias</w:t>
      </w:r>
      <w:r w:rsidR="00B44BA0">
        <w:t>.</w:t>
      </w:r>
      <w:r w:rsidR="00C037EF">
        <w:t xml:space="preserve"> </w:t>
      </w:r>
      <w:r w:rsidR="00B44BA0">
        <w:t xml:space="preserve">The only proxy for future returns that can </w:t>
      </w:r>
      <w:r w:rsidR="00C037EF">
        <w:t>be used within the objective function</w:t>
      </w:r>
      <w:r w:rsidR="00B44BA0">
        <w:t>, is the Alpha score</w:t>
      </w:r>
      <w:r w:rsidR="00C037EF">
        <w:t>.</w:t>
      </w:r>
    </w:p>
    <w:p w14:paraId="26C0AC5A" w14:textId="77777777" w:rsidR="00EE0DAF" w:rsidRDefault="00EE0DAF" w:rsidP="00AA2B7F">
      <w:pPr>
        <w:jc w:val="both"/>
      </w:pPr>
      <w:r>
        <w:t>Terminology:</w:t>
      </w:r>
    </w:p>
    <w:p w14:paraId="48A0B204" w14:textId="77777777" w:rsidR="00A66BEB" w:rsidRDefault="00A66BEB" w:rsidP="00AA2B7F">
      <w:pPr>
        <w:jc w:val="both"/>
      </w:pPr>
    </w:p>
    <w:p w14:paraId="57DA1B91" w14:textId="3E1C4473" w:rsidR="00A230A7" w:rsidRDefault="00D85286" w:rsidP="00AA2B7F">
      <w:pPr>
        <w:jc w:val="both"/>
      </w:pPr>
      <w:r w:rsidRPr="00D85286">
        <w:rPr>
          <w:u w:val="single"/>
        </w:rPr>
        <w:t>Long Position</w:t>
      </w:r>
      <w:r>
        <w:rPr>
          <w:u w:val="single"/>
        </w:rPr>
        <w:t>:</w:t>
      </w:r>
      <w:r w:rsidRPr="00D85286">
        <w:t xml:space="preserve"> is the buying of a security such as a stock, commodity or currency with the expectation that the asset will rise in value. A long position is the opposite of a short (or short position).</w:t>
      </w:r>
    </w:p>
    <w:p w14:paraId="65607AE4" w14:textId="77777777" w:rsidR="00D85286" w:rsidRDefault="00D85286" w:rsidP="00AA2B7F">
      <w:pPr>
        <w:jc w:val="both"/>
      </w:pPr>
    </w:p>
    <w:p w14:paraId="41576847" w14:textId="77777777" w:rsidR="00D85286" w:rsidRDefault="00D85286" w:rsidP="00AA2B7F">
      <w:pPr>
        <w:jc w:val="both"/>
      </w:pPr>
      <w:r w:rsidRPr="00D85286">
        <w:rPr>
          <w:u w:val="single"/>
        </w:rPr>
        <w:t>Institutional Investor</w:t>
      </w:r>
      <w:r w:rsidRPr="00D85286">
        <w:t>: is an entity which pools money to purchase securities, real property, and other</w:t>
      </w:r>
      <w:r>
        <w:t xml:space="preserve"> </w:t>
      </w:r>
      <w:r w:rsidRPr="00D85286">
        <w:t>investment assets or originate loans. Institutional investors include banks, insurance companies, pensions, hedge funds, REITs, investment </w:t>
      </w:r>
      <w:r w:rsidR="00B209EF">
        <w:t>managers</w:t>
      </w:r>
      <w:r w:rsidRPr="00D85286">
        <w:t>, endowments, and mutual funds.</w:t>
      </w:r>
    </w:p>
    <w:p w14:paraId="51483167" w14:textId="77777777" w:rsidR="00A230A7" w:rsidRDefault="00A230A7" w:rsidP="00AA2B7F">
      <w:pPr>
        <w:jc w:val="both"/>
      </w:pPr>
    </w:p>
    <w:p w14:paraId="599C0C71" w14:textId="77777777" w:rsidR="00EE0DAF" w:rsidRDefault="00EE0DAF" w:rsidP="00AA2B7F">
      <w:pPr>
        <w:jc w:val="both"/>
      </w:pPr>
    </w:p>
    <w:p w14:paraId="52962497" w14:textId="77777777" w:rsidR="00A230A7" w:rsidRDefault="0024704D" w:rsidP="00AA2B7F">
      <w:pPr>
        <w:jc w:val="both"/>
      </w:pPr>
      <w:r>
        <w:t>V</w:t>
      </w:r>
      <w:r w:rsidR="00A230A7">
        <w:t>ariable</w:t>
      </w:r>
      <w:r>
        <w:t xml:space="preserve"> definitions</w:t>
      </w:r>
      <w:r w:rsidR="00A230A7">
        <w:t>:</w:t>
      </w:r>
    </w:p>
    <w:p w14:paraId="65069104" w14:textId="77777777" w:rsidR="002541D7" w:rsidRDefault="002541D7" w:rsidP="00AA2B7F">
      <w:pPr>
        <w:jc w:val="both"/>
      </w:pPr>
    </w:p>
    <w:p w14:paraId="47F63054" w14:textId="77777777" w:rsidR="0024704D" w:rsidRPr="0024704D" w:rsidRDefault="00B209EF" w:rsidP="00AA2B7F">
      <w:pPr>
        <w:jc w:val="both"/>
      </w:pP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4704D">
        <w:t xml:space="preserve"> </w:t>
      </w:r>
      <w:r w:rsidR="00260E89">
        <w:t xml:space="preserve"> </w:t>
      </w:r>
      <w:r w:rsidR="0024704D">
        <w:t>: total portfolio</w:t>
      </w:r>
    </w:p>
    <w:p w14:paraId="4AA8D33E" w14:textId="77777777" w:rsidR="00A230A7" w:rsidRDefault="00D36F33" w:rsidP="00AA2B7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0A7">
        <w:t xml:space="preserve"> : proportion</w:t>
      </w:r>
      <w:r w:rsidR="0011295D">
        <w:t xml:space="preserve"> (weight)</w:t>
      </w:r>
      <w:r w:rsidR="00A230A7">
        <w:t xml:space="preserve"> of overall portfolio</w:t>
      </w:r>
      <w:r w:rsidR="0024704D">
        <w:t xml:space="preserve"> held in asset </w:t>
      </w:r>
      <w:proofErr w:type="spellStart"/>
      <w:r w:rsidR="0024704D">
        <w:t>i</w:t>
      </w:r>
      <w:proofErr w:type="spellEnd"/>
    </w:p>
    <w:p w14:paraId="49BCCB5D" w14:textId="77777777" w:rsidR="0024704D" w:rsidRPr="0024704D" w:rsidRDefault="00D36F33" w:rsidP="00AA2B7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704D">
        <w:t xml:space="preserve"> : Active weight held in asset </w:t>
      </w:r>
      <w:proofErr w:type="spellStart"/>
      <w:r w:rsidR="00B209EF">
        <w:t>i</w:t>
      </w:r>
      <w:proofErr w:type="spellEnd"/>
      <w:r w:rsidR="00EE0DAF">
        <w:t>, describes the difference between portfolio weight and benchmark weight for each asset and is a measure for how actively a portfolio manager diverts from a benchmark</w:t>
      </w:r>
      <w:r w:rsidR="00312940">
        <w:t>, see equation 1.</w:t>
      </w:r>
    </w:p>
    <w:p w14:paraId="6AD28074" w14:textId="77777777" w:rsidR="00774A56" w:rsidRDefault="00774A56"/>
    <w:p w14:paraId="2896E1E5" w14:textId="77777777" w:rsidR="00A230A7" w:rsidRDefault="00A230A7">
      <w:r>
        <w:t>Scaling parameters:</w:t>
      </w:r>
    </w:p>
    <w:p w14:paraId="3F64DC7E" w14:textId="77777777" w:rsidR="00A230A7" w:rsidRPr="00A230A7" w:rsidRDefault="0024704D">
      <m:oMath>
        <m:r>
          <w:rPr>
            <w:rFonts w:ascii="Cambria Math" w:hAnsi="Cambria Math"/>
          </w:rPr>
          <m:t>λ</m:t>
        </m:r>
      </m:oMath>
      <w:r w:rsidR="00A230A7">
        <w:t xml:space="preserve"> : tuning parameters to influence how dominant parts of the objective function </w:t>
      </w:r>
      <w:r w:rsidR="00963DAB">
        <w:t>behave</w:t>
      </w:r>
      <w:r w:rsidR="00A230A7">
        <w:t>.</w:t>
      </w:r>
      <w:r w:rsidR="0011295D">
        <w:t xml:space="preserve"> This is a constant.</w:t>
      </w:r>
      <w:r w:rsidR="00EE0DAF">
        <w:t xml:space="preserve"> Typical </w:t>
      </w:r>
      <m:oMath>
        <m:r>
          <w:rPr>
            <w:rFonts w:ascii="Cambria Math" w:hAnsi="Cambria Math"/>
          </w:rPr>
          <m:t>λs</m:t>
        </m:r>
      </m:oMath>
      <w:r w:rsidR="00EE0DAF">
        <w:t xml:space="preserve"> range from 0 (pure minimum variance), to </w:t>
      </w:r>
      <w:r w:rsidR="00836D49">
        <w:t>10</w:t>
      </w:r>
      <w:r w:rsidR="00EE0DAF">
        <w:t xml:space="preserve"> (very aggressively tilted towards targeting expected return). For the provided baseline case</w:t>
      </w:r>
      <w:r w:rsidR="00312940">
        <w:t>,</w:t>
      </w:r>
      <w:r w:rsidR="00EE0DAF">
        <w:t xml:space="preserve"> a </w:t>
      </w:r>
      <m:oMath>
        <m:r>
          <w:rPr>
            <w:rFonts w:ascii="Cambria Math" w:hAnsi="Cambria Math"/>
          </w:rPr>
          <m:t>λ=1</m:t>
        </m:r>
      </m:oMath>
      <w:r w:rsidR="00EE0DAF">
        <w:t xml:space="preserve"> was used. </w:t>
      </w:r>
    </w:p>
    <w:p w14:paraId="0AF8EFFF" w14:textId="221254FE" w:rsidR="00CE5D7A" w:rsidRDefault="000617DE">
      <w:r>
        <w:br w:type="page"/>
      </w:r>
    </w:p>
    <w:p w14:paraId="0B1BC489" w14:textId="4BE0D347" w:rsidR="000A7750" w:rsidRPr="00AD308A" w:rsidRDefault="000A7750">
      <w:pPr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lastRenderedPageBreak/>
        <w:t>4)</w:t>
      </w:r>
      <w:r w:rsidR="002541D7" w:rsidRPr="00AD308A">
        <w:rPr>
          <w:b/>
          <w:color w:val="FF0000"/>
          <w:sz w:val="28"/>
          <w:szCs w:val="28"/>
        </w:rPr>
        <w:t xml:space="preserve"> Mathematical </w:t>
      </w:r>
      <w:r w:rsidR="000617DE" w:rsidRPr="00AD308A">
        <w:rPr>
          <w:b/>
          <w:color w:val="FF0000"/>
          <w:sz w:val="28"/>
          <w:szCs w:val="28"/>
        </w:rPr>
        <w:t>F</w:t>
      </w:r>
      <w:r w:rsidR="002541D7" w:rsidRPr="00AD308A">
        <w:rPr>
          <w:b/>
          <w:color w:val="FF0000"/>
          <w:sz w:val="28"/>
          <w:szCs w:val="28"/>
        </w:rPr>
        <w:t>ormulation</w:t>
      </w:r>
    </w:p>
    <w:p w14:paraId="434F6667" w14:textId="77777777" w:rsidR="002541D7" w:rsidRDefault="002541D7" w:rsidP="000A7750"/>
    <w:p w14:paraId="581864D1" w14:textId="77777777" w:rsidR="00F254D8" w:rsidRDefault="000A7750" w:rsidP="00244153">
      <w:r>
        <w:t xml:space="preserve">We define the problem of </w:t>
      </w:r>
      <w:r w:rsidR="00244153">
        <w:t>portfolio selection as follows:</w:t>
      </w:r>
    </w:p>
    <w:p w14:paraId="3AE0993E" w14:textId="77777777" w:rsidR="00F254D8" w:rsidRPr="00244153" w:rsidRDefault="00F254D8" w:rsidP="00D85286">
      <w:pPr>
        <w:spacing w:before="120"/>
        <w:jc w:val="center"/>
      </w:pPr>
    </w:p>
    <w:tbl>
      <w:tblPr>
        <w:tblStyle w:val="af0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53"/>
        <w:gridCol w:w="833"/>
      </w:tblGrid>
      <w:tr w:rsidR="00244153" w14:paraId="0D22832D" w14:textId="77777777" w:rsidTr="004775AA">
        <w:trPr>
          <w:jc w:val="center"/>
        </w:trPr>
        <w:tc>
          <w:tcPr>
            <w:tcW w:w="784" w:type="pct"/>
            <w:vAlign w:val="center"/>
          </w:tcPr>
          <w:p w14:paraId="5563A7E7" w14:textId="77777777" w:rsidR="00244153" w:rsidRDefault="00244153" w:rsidP="004775AA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6B2D3496" w14:textId="77777777" w:rsidR="00244153" w:rsidRDefault="00D36F33" w:rsidP="004775AA">
            <w:pPr>
              <w:spacing w:before="120"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bench i</m:t>
                    </m:r>
                  </m:sub>
                </m:sSub>
              </m:oMath>
            </m:oMathPara>
          </w:p>
        </w:tc>
        <w:tc>
          <w:tcPr>
            <w:tcW w:w="419" w:type="pct"/>
            <w:vAlign w:val="center"/>
          </w:tcPr>
          <w:p w14:paraId="40475F5F" w14:textId="77777777" w:rsidR="00244153" w:rsidRDefault="00244153" w:rsidP="004775AA">
            <w:pPr>
              <w:spacing w:before="120"/>
              <w:jc w:val="center"/>
            </w:pPr>
            <w:r>
              <w:t>(1)</w:t>
            </w:r>
          </w:p>
        </w:tc>
      </w:tr>
    </w:tbl>
    <w:p w14:paraId="000F09A7" w14:textId="77777777" w:rsidR="000A7750" w:rsidRDefault="000A7750" w:rsidP="003B0490">
      <w:pPr>
        <w:spacing w:before="120"/>
      </w:pPr>
    </w:p>
    <w:tbl>
      <w:tblPr>
        <w:tblStyle w:val="af0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53"/>
        <w:gridCol w:w="833"/>
      </w:tblGrid>
      <w:tr w:rsidR="003B0490" w14:paraId="6C99CE57" w14:textId="77777777" w:rsidTr="00A66BEB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5BF1F6E6" w14:textId="33B2715C" w:rsidR="003B0490" w:rsidRDefault="003B0490" w:rsidP="003B0490">
            <w:pPr>
              <w:spacing w:before="120"/>
              <w:jc w:val="center"/>
            </w:pPr>
            <w:r>
              <w:t xml:space="preserve">Markowitz </w:t>
            </w:r>
            <w:r w:rsidR="00DC2941">
              <w:t>Formulation</w:t>
            </w:r>
          </w:p>
        </w:tc>
      </w:tr>
      <w:tr w:rsidR="00A66BEB" w14:paraId="2E810558" w14:textId="77777777" w:rsidTr="00A66BEB">
        <w:trPr>
          <w:jc w:val="center"/>
        </w:trPr>
        <w:tc>
          <w:tcPr>
            <w:tcW w:w="784" w:type="pct"/>
            <w:tcBorders>
              <w:top w:val="single" w:sz="4" w:space="0" w:color="auto"/>
            </w:tcBorders>
            <w:vAlign w:val="center"/>
          </w:tcPr>
          <w:p w14:paraId="638DBF96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tcBorders>
              <w:top w:val="single" w:sz="4" w:space="0" w:color="auto"/>
            </w:tcBorders>
            <w:vAlign w:val="center"/>
          </w:tcPr>
          <w:p w14:paraId="4FFBD18E" w14:textId="77777777" w:rsidR="00A66BEB" w:rsidRDefault="00D36F33" w:rsidP="00A66BEB">
            <w:pPr>
              <w:spacing w:before="120" w:line="360" w:lineRule="auto"/>
              <w:jc w:val="center"/>
              <w:rPr>
                <w:rFonts w:ascii="Cambria" w:eastAsia="MS Mincho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lim>
                    </m:limLow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</m:func>
                <m:r>
                  <w:rPr>
                    <w:rFonts w:ascii="Cambria Math" w:hAnsi="Cambria Math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d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 d- λ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α)</m:t>
                </m:r>
              </m:oMath>
            </m:oMathPara>
          </w:p>
        </w:tc>
        <w:tc>
          <w:tcPr>
            <w:tcW w:w="419" w:type="pct"/>
            <w:tcBorders>
              <w:top w:val="single" w:sz="4" w:space="0" w:color="auto"/>
            </w:tcBorders>
            <w:vAlign w:val="center"/>
          </w:tcPr>
          <w:p w14:paraId="0AA31C4A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2</w:t>
            </w:r>
            <w:r>
              <w:t>)</w:t>
            </w:r>
          </w:p>
        </w:tc>
      </w:tr>
      <w:tr w:rsidR="00A66BEB" w14:paraId="41E4B59B" w14:textId="77777777" w:rsidTr="00A66BEB">
        <w:trPr>
          <w:jc w:val="center"/>
        </w:trPr>
        <w:tc>
          <w:tcPr>
            <w:tcW w:w="784" w:type="pct"/>
            <w:vAlign w:val="center"/>
          </w:tcPr>
          <w:p w14:paraId="26B6DF3B" w14:textId="77777777" w:rsidR="00A66BEB" w:rsidRDefault="00A66BEB" w:rsidP="00A66BEB">
            <w:pPr>
              <w:spacing w:before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</m:oMath>
            </m:oMathPara>
          </w:p>
        </w:tc>
        <w:tc>
          <w:tcPr>
            <w:tcW w:w="3797" w:type="pct"/>
            <w:vAlign w:val="center"/>
          </w:tcPr>
          <w:p w14:paraId="509EA13D" w14:textId="77777777" w:rsidR="00A66BEB" w:rsidRDefault="00A66BEB" w:rsidP="00A66BEB">
            <w:pPr>
              <w:spacing w:before="120" w:line="360" w:lineRule="auto"/>
              <w:jc w:val="center"/>
              <w:rPr>
                <w:rFonts w:ascii="Cambria" w:eastAsia="MS Mincho" w:hAnsi="Cambria" w:cs="Times New Roman"/>
              </w:rPr>
            </w:pPr>
          </w:p>
        </w:tc>
        <w:tc>
          <w:tcPr>
            <w:tcW w:w="419" w:type="pct"/>
            <w:vAlign w:val="center"/>
          </w:tcPr>
          <w:p w14:paraId="709C93F3" w14:textId="77777777" w:rsidR="00A66BEB" w:rsidRDefault="00A66BEB" w:rsidP="00A66BEB">
            <w:pPr>
              <w:spacing w:before="120"/>
              <w:jc w:val="center"/>
            </w:pPr>
          </w:p>
        </w:tc>
      </w:tr>
      <w:tr w:rsidR="00A66BEB" w14:paraId="52E4EBDE" w14:textId="77777777" w:rsidTr="00A66BEB">
        <w:trPr>
          <w:jc w:val="center"/>
        </w:trPr>
        <w:tc>
          <w:tcPr>
            <w:tcW w:w="784" w:type="pct"/>
            <w:vAlign w:val="center"/>
          </w:tcPr>
          <w:p w14:paraId="7E17DD89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749AD5FD" w14:textId="77777777" w:rsidR="00A66BEB" w:rsidRDefault="00D36F33" w:rsidP="00A66BEB">
            <w:pPr>
              <w:spacing w:before="120"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   ∀ i</m:t>
              </m:r>
            </m:oMath>
            <w:r w:rsidR="00A66BEB">
              <w:t xml:space="preserve"> </w:t>
            </w:r>
          </w:p>
        </w:tc>
        <w:tc>
          <w:tcPr>
            <w:tcW w:w="419" w:type="pct"/>
            <w:vAlign w:val="center"/>
          </w:tcPr>
          <w:p w14:paraId="7310499C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3</w:t>
            </w:r>
            <w:r>
              <w:t>)</w:t>
            </w:r>
          </w:p>
        </w:tc>
      </w:tr>
      <w:tr w:rsidR="00A66BEB" w14:paraId="2740B84C" w14:textId="77777777" w:rsidTr="00592187">
        <w:trPr>
          <w:jc w:val="center"/>
        </w:trPr>
        <w:tc>
          <w:tcPr>
            <w:tcW w:w="784" w:type="pct"/>
            <w:vAlign w:val="center"/>
          </w:tcPr>
          <w:p w14:paraId="333989C7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416760DF" w14:textId="77777777" w:rsidR="00A66BEB" w:rsidRDefault="00D36F33" w:rsidP="00A66BEB">
            <w:pPr>
              <w:spacing w:before="120"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419" w:type="pct"/>
            <w:vAlign w:val="center"/>
          </w:tcPr>
          <w:p w14:paraId="35FC3317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4</w:t>
            </w:r>
            <w:r>
              <w:t>)</w:t>
            </w:r>
          </w:p>
        </w:tc>
      </w:tr>
      <w:tr w:rsidR="00A66BEB" w14:paraId="24F192DE" w14:textId="77777777" w:rsidTr="00592187">
        <w:trPr>
          <w:jc w:val="center"/>
        </w:trPr>
        <w:tc>
          <w:tcPr>
            <w:tcW w:w="784" w:type="pct"/>
            <w:vAlign w:val="center"/>
          </w:tcPr>
          <w:p w14:paraId="78EB0543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6B35CA62" w14:textId="77777777" w:rsidR="00A66BEB" w:rsidRDefault="00A66BEB" w:rsidP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-0.05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≤0.05   ∀ i</m:t>
                </m:r>
              </m:oMath>
            </m:oMathPara>
          </w:p>
        </w:tc>
        <w:tc>
          <w:tcPr>
            <w:tcW w:w="419" w:type="pct"/>
            <w:vAlign w:val="center"/>
          </w:tcPr>
          <w:p w14:paraId="09A1F2F0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5</w:t>
            </w:r>
            <w:r>
              <w:t>)</w:t>
            </w:r>
          </w:p>
        </w:tc>
      </w:tr>
      <w:tr w:rsidR="00A66BEB" w14:paraId="378AE2A2" w14:textId="77777777" w:rsidTr="00592187">
        <w:trPr>
          <w:jc w:val="center"/>
        </w:trPr>
        <w:tc>
          <w:tcPr>
            <w:tcW w:w="784" w:type="pct"/>
            <w:vAlign w:val="center"/>
          </w:tcPr>
          <w:p w14:paraId="629C1288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187FDAFA" w14:textId="48BECD89" w:rsidR="00A66BEB" w:rsidRDefault="00A66BEB" w:rsidP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-0.1 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  ∊ sector 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≤0.1  ∀ j</m:t>
                </m:r>
              </m:oMath>
            </m:oMathPara>
          </w:p>
        </w:tc>
        <w:tc>
          <w:tcPr>
            <w:tcW w:w="419" w:type="pct"/>
            <w:vAlign w:val="center"/>
          </w:tcPr>
          <w:p w14:paraId="7C006E0D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6</w:t>
            </w:r>
            <w:r>
              <w:t>)</w:t>
            </w:r>
          </w:p>
        </w:tc>
      </w:tr>
      <w:tr w:rsidR="00A66BEB" w14:paraId="7F197864" w14:textId="77777777" w:rsidTr="00592187">
        <w:trPr>
          <w:jc w:val="center"/>
        </w:trPr>
        <w:tc>
          <w:tcPr>
            <w:tcW w:w="784" w:type="pct"/>
            <w:vAlign w:val="center"/>
          </w:tcPr>
          <w:p w14:paraId="662528B5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3A978903" w14:textId="15D811EC" w:rsidR="00A66BEB" w:rsidRDefault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-0.1 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 ∊ MCAPQ 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≤0.1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∀ k</m:t>
                </m:r>
              </m:oMath>
            </m:oMathPara>
          </w:p>
        </w:tc>
        <w:tc>
          <w:tcPr>
            <w:tcW w:w="419" w:type="pct"/>
            <w:vAlign w:val="center"/>
          </w:tcPr>
          <w:p w14:paraId="62700916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7</w:t>
            </w:r>
            <w:r>
              <w:t>)</w:t>
            </w:r>
          </w:p>
        </w:tc>
      </w:tr>
      <w:tr w:rsidR="00A66BEB" w14:paraId="792EE945" w14:textId="77777777" w:rsidTr="003B0490">
        <w:trPr>
          <w:jc w:val="center"/>
        </w:trPr>
        <w:tc>
          <w:tcPr>
            <w:tcW w:w="784" w:type="pct"/>
            <w:vAlign w:val="center"/>
          </w:tcPr>
          <w:p w14:paraId="0F2C87A5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3A5C8D66" w14:textId="77777777" w:rsidR="00A66BEB" w:rsidRDefault="00A66BEB" w:rsidP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-0.1 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≤0.1</m:t>
                    </m:r>
                  </m:e>
                </m:nary>
              </m:oMath>
            </m:oMathPara>
          </w:p>
        </w:tc>
        <w:tc>
          <w:tcPr>
            <w:tcW w:w="419" w:type="pct"/>
            <w:vAlign w:val="center"/>
          </w:tcPr>
          <w:p w14:paraId="0BA94E56" w14:textId="77777777" w:rsidR="00A66BEB" w:rsidRDefault="00244153" w:rsidP="00A66BEB">
            <w:pPr>
              <w:spacing w:before="120"/>
              <w:jc w:val="center"/>
            </w:pPr>
            <w:r>
              <w:t>(8</w:t>
            </w:r>
            <w:r w:rsidR="00A66BEB">
              <w:t>)</w:t>
            </w:r>
          </w:p>
        </w:tc>
      </w:tr>
      <w:tr w:rsidR="00A66BEB" w14:paraId="05113A60" w14:textId="77777777" w:rsidTr="003B0490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17B7E678" w14:textId="77777777" w:rsidR="00A66BEB" w:rsidRDefault="00A66BEB" w:rsidP="00A66BEB">
            <w:pPr>
              <w:spacing w:before="120"/>
              <w:jc w:val="center"/>
            </w:pPr>
            <w:r>
              <w:t xml:space="preserve">Extensions to </w:t>
            </w:r>
            <w:r w:rsidR="00B209EF">
              <w:t xml:space="preserve">the </w:t>
            </w:r>
            <w:r>
              <w:t>traditional problem</w:t>
            </w:r>
          </w:p>
        </w:tc>
      </w:tr>
      <w:tr w:rsidR="00A66BEB" w14:paraId="1F9B2AA7" w14:textId="77777777" w:rsidTr="003B0490">
        <w:trPr>
          <w:jc w:val="center"/>
        </w:trPr>
        <w:tc>
          <w:tcPr>
            <w:tcW w:w="784" w:type="pct"/>
            <w:tcBorders>
              <w:top w:val="single" w:sz="4" w:space="0" w:color="auto"/>
            </w:tcBorders>
            <w:vAlign w:val="center"/>
          </w:tcPr>
          <w:p w14:paraId="00F931DF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tcBorders>
              <w:top w:val="single" w:sz="4" w:space="0" w:color="auto"/>
            </w:tcBorders>
            <w:vAlign w:val="center"/>
          </w:tcPr>
          <w:p w14:paraId="72FAE5F1" w14:textId="77777777" w:rsidR="00A66BEB" w:rsidRDefault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50≤card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≠0</m:t>
                    </m:r>
                  </m:e>
                </m:d>
                <m:r>
                  <w:rPr>
                    <w:rFonts w:ascii="Cambria Math" w:hAnsi="Cambria Math"/>
                  </w:rPr>
                  <m:t>≤70</m:t>
                </m:r>
              </m:oMath>
            </m:oMathPara>
          </w:p>
        </w:tc>
        <w:tc>
          <w:tcPr>
            <w:tcW w:w="419" w:type="pct"/>
            <w:tcBorders>
              <w:top w:val="single" w:sz="4" w:space="0" w:color="auto"/>
            </w:tcBorders>
            <w:vAlign w:val="center"/>
          </w:tcPr>
          <w:p w14:paraId="1E5435A8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9</w:t>
            </w:r>
            <w:r>
              <w:t>)</w:t>
            </w:r>
          </w:p>
        </w:tc>
      </w:tr>
      <w:tr w:rsidR="00A66BEB" w14:paraId="225C9ADA" w14:textId="77777777" w:rsidTr="00592187">
        <w:trPr>
          <w:jc w:val="center"/>
        </w:trPr>
        <w:tc>
          <w:tcPr>
            <w:tcW w:w="784" w:type="pct"/>
            <w:vAlign w:val="center"/>
          </w:tcPr>
          <w:p w14:paraId="1EBFFA1F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45EB4C9B" w14:textId="77777777" w:rsidR="00A66BEB" w:rsidRDefault="00A66BEB" w:rsidP="00A66BEB">
            <w:pPr>
              <w:spacing w:before="12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0.6≤1-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bench 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≤1 </m:t>
                    </m:r>
                  </m:e>
                </m:nary>
              </m:oMath>
            </m:oMathPara>
          </w:p>
        </w:tc>
        <w:tc>
          <w:tcPr>
            <w:tcW w:w="419" w:type="pct"/>
            <w:vAlign w:val="center"/>
          </w:tcPr>
          <w:p w14:paraId="6EE6ABE0" w14:textId="77777777" w:rsidR="00A66BEB" w:rsidRDefault="00A66BEB" w:rsidP="00244153">
            <w:pPr>
              <w:spacing w:before="120"/>
              <w:jc w:val="center"/>
            </w:pPr>
            <w:r>
              <w:t>(</w:t>
            </w:r>
            <w:r w:rsidR="00244153">
              <w:t>10</w:t>
            </w:r>
            <w:r>
              <w:t>)</w:t>
            </w:r>
          </w:p>
        </w:tc>
      </w:tr>
      <w:tr w:rsidR="00A66BEB" w14:paraId="36A45ACC" w14:textId="77777777" w:rsidTr="00592187">
        <w:trPr>
          <w:jc w:val="center"/>
        </w:trPr>
        <w:tc>
          <w:tcPr>
            <w:tcW w:w="784" w:type="pct"/>
            <w:vAlign w:val="center"/>
          </w:tcPr>
          <w:p w14:paraId="55AD5504" w14:textId="77777777" w:rsidR="00A66BEB" w:rsidRDefault="00A66BEB" w:rsidP="00A66BEB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75A360A7" w14:textId="77777777" w:rsidR="00A66BEB" w:rsidRPr="00592187" w:rsidRDefault="00D36F33" w:rsidP="00B209EF">
            <w:pPr>
              <w:spacing w:before="120" w:line="360" w:lineRule="auto"/>
              <w:jc w:val="center"/>
              <w:rPr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0.05≤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T 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Ω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 0.1</m:t>
                </m:r>
              </m:oMath>
            </m:oMathPara>
          </w:p>
        </w:tc>
        <w:tc>
          <w:tcPr>
            <w:tcW w:w="419" w:type="pct"/>
            <w:vAlign w:val="center"/>
          </w:tcPr>
          <w:p w14:paraId="17BFDD95" w14:textId="77777777" w:rsidR="00A66BEB" w:rsidRDefault="00A66BEB" w:rsidP="00244153">
            <w:pPr>
              <w:spacing w:before="120"/>
              <w:jc w:val="center"/>
            </w:pPr>
            <w:r>
              <w:t>(1</w:t>
            </w:r>
            <w:r w:rsidR="00244153">
              <w:t>1</w:t>
            </w:r>
            <w:r>
              <w:t>)</w:t>
            </w:r>
          </w:p>
        </w:tc>
      </w:tr>
    </w:tbl>
    <w:p w14:paraId="5A3C0A64" w14:textId="77777777" w:rsidR="006444C7" w:rsidRDefault="006444C7" w:rsidP="005F2BD5"/>
    <w:p w14:paraId="4C6786B4" w14:textId="77777777" w:rsidR="006444C7" w:rsidRDefault="006444C7" w:rsidP="005F2BD5"/>
    <w:p w14:paraId="3AA78234" w14:textId="77777777" w:rsidR="006444C7" w:rsidRDefault="006444C7" w:rsidP="006444C7">
      <w:r>
        <w:t>Constraints Description:</w:t>
      </w:r>
    </w:p>
    <w:p w14:paraId="473AE46D" w14:textId="77777777" w:rsidR="00967444" w:rsidRDefault="00967444" w:rsidP="00967444">
      <w:pPr>
        <w:pStyle w:val="a3"/>
        <w:numPr>
          <w:ilvl w:val="0"/>
          <w:numId w:val="12"/>
        </w:numPr>
      </w:pPr>
      <w:r>
        <w:t xml:space="preserve">Active weight  </w:t>
      </w:r>
      <w:r w:rsidR="00801AA0">
        <w:t>Definition</w:t>
      </w:r>
    </w:p>
    <w:p w14:paraId="3959F3C7" w14:textId="7286AF68" w:rsidR="006444C7" w:rsidRDefault="006444C7" w:rsidP="006444C7">
      <w:pPr>
        <w:pStyle w:val="a3"/>
        <w:numPr>
          <w:ilvl w:val="0"/>
          <w:numId w:val="12"/>
        </w:numPr>
      </w:pPr>
      <w:r>
        <w:t>Markowitz Objective Function</w:t>
      </w:r>
      <w:r w:rsidR="00801AA0">
        <w:t xml:space="preserve"> balancing risk</w:t>
      </w:r>
      <w:r w:rsidR="00DC2941">
        <w:t xml:space="preserve"> (tracking error)</w:t>
      </w:r>
      <w:r w:rsidR="00801AA0">
        <w:t xml:space="preserve"> and </w:t>
      </w:r>
      <w:r w:rsidR="00DC2941">
        <w:t xml:space="preserve">excess </w:t>
      </w:r>
      <w:r w:rsidR="00801AA0">
        <w:t>return</w:t>
      </w:r>
    </w:p>
    <w:p w14:paraId="4AE9EC63" w14:textId="77777777" w:rsidR="006444C7" w:rsidRDefault="006444C7" w:rsidP="006444C7">
      <w:pPr>
        <w:pStyle w:val="a3"/>
        <w:numPr>
          <w:ilvl w:val="0"/>
          <w:numId w:val="12"/>
        </w:numPr>
      </w:pPr>
      <w:r>
        <w:t>Long-only (no negative weights): minimum asset weight = 0%</w:t>
      </w:r>
    </w:p>
    <w:p w14:paraId="0B1E7CAB" w14:textId="77777777" w:rsidR="006444C7" w:rsidRDefault="006444C7" w:rsidP="006444C7">
      <w:pPr>
        <w:pStyle w:val="a3"/>
        <w:numPr>
          <w:ilvl w:val="0"/>
          <w:numId w:val="12"/>
        </w:numPr>
      </w:pPr>
      <w:r>
        <w:t>No leverage</w:t>
      </w:r>
      <w:r w:rsidR="00801AA0">
        <w:t>, i.e., entire portfolio is invested</w:t>
      </w:r>
      <w:r>
        <w:t xml:space="preserve">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weights=100%</m:t>
            </m:r>
          </m:e>
        </m:nary>
      </m:oMath>
      <w:r>
        <w:t xml:space="preserve"> </w:t>
      </w:r>
    </w:p>
    <w:p w14:paraId="2BA15269" w14:textId="77777777" w:rsidR="006444C7" w:rsidRDefault="006444C7" w:rsidP="006444C7">
      <w:pPr>
        <w:pStyle w:val="a3"/>
        <w:numPr>
          <w:ilvl w:val="0"/>
          <w:numId w:val="12"/>
        </w:numPr>
      </w:pPr>
      <w:r>
        <w:lastRenderedPageBreak/>
        <w:t xml:space="preserve">Min/Max active weights per asset: Benchmark weight +/- 5% </w:t>
      </w:r>
    </w:p>
    <w:p w14:paraId="66E35903" w14:textId="77777777" w:rsidR="006444C7" w:rsidRDefault="00920C7B" w:rsidP="006444C7">
      <w:pPr>
        <w:pStyle w:val="a3"/>
        <w:numPr>
          <w:ilvl w:val="0"/>
          <w:numId w:val="12"/>
        </w:numPr>
      </w:pPr>
      <w:r>
        <w:t>Sector active weight: +/- 10%</w:t>
      </w:r>
    </w:p>
    <w:p w14:paraId="3ADAC43F" w14:textId="77777777" w:rsidR="00920C7B" w:rsidRDefault="00920C7B" w:rsidP="006444C7">
      <w:pPr>
        <w:pStyle w:val="a3"/>
        <w:numPr>
          <w:ilvl w:val="0"/>
          <w:numId w:val="12"/>
        </w:numPr>
      </w:pPr>
      <w:r>
        <w:t>Market Cap Quintile active weight: +/- 10%</w:t>
      </w:r>
    </w:p>
    <w:p w14:paraId="75A77DE6" w14:textId="77777777" w:rsidR="00920C7B" w:rsidRPr="00920C7B" w:rsidRDefault="00920C7B" w:rsidP="00920C7B">
      <w:pPr>
        <w:pStyle w:val="a3"/>
        <w:numPr>
          <w:ilvl w:val="0"/>
          <w:numId w:val="12"/>
        </w:numPr>
      </w:pPr>
      <w:r w:rsidRPr="00920C7B">
        <w:t>Beta (β)</w:t>
      </w:r>
      <w:r>
        <w:t xml:space="preserve"> active weight</w:t>
      </w:r>
      <w:r w:rsidRPr="00920C7B">
        <w:t xml:space="preserve">: </w:t>
      </w:r>
      <w:r>
        <w:t>-</w:t>
      </w:r>
      <w:r w:rsidRPr="00920C7B">
        <w:t>0.</w:t>
      </w:r>
      <w:r>
        <w:t xml:space="preserve">1 </w:t>
      </w:r>
      <w:r w:rsidRPr="00920C7B">
        <w:t>≤ β</w:t>
      </w:r>
      <w:r>
        <w:t xml:space="preserve"> </w:t>
      </w:r>
      <w:r w:rsidRPr="00920C7B">
        <w:t>≤</w:t>
      </w:r>
      <w:r>
        <w:t xml:space="preserve"> 0</w:t>
      </w:r>
      <w:r w:rsidRPr="00920C7B">
        <w:t>.1</w:t>
      </w:r>
    </w:p>
    <w:p w14:paraId="3595D8AA" w14:textId="1D34390B" w:rsidR="00920C7B" w:rsidRDefault="00920C7B" w:rsidP="00920C7B">
      <w:pPr>
        <w:pStyle w:val="a3"/>
        <w:numPr>
          <w:ilvl w:val="0"/>
          <w:numId w:val="12"/>
        </w:numPr>
      </w:pPr>
      <w:r>
        <w:t xml:space="preserve">Cardinality: Target range on number of stocks (consider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0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</m:oMath>
      <w:r>
        <w:t xml:space="preserve"> 0.001 ) between 50 to 70</w:t>
      </w:r>
    </w:p>
    <w:p w14:paraId="50A5D231" w14:textId="77777777" w:rsidR="00920C7B" w:rsidRPr="00920C7B" w:rsidRDefault="00920C7B" w:rsidP="00920C7B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0.6≤Active share≤1</m:t>
        </m:r>
      </m:oMath>
    </w:p>
    <w:p w14:paraId="047D72E1" w14:textId="77777777" w:rsidR="00920C7B" w:rsidRDefault="00F15329" w:rsidP="00920C7B">
      <w:pPr>
        <w:pStyle w:val="a3"/>
        <w:numPr>
          <w:ilvl w:val="0"/>
          <w:numId w:val="12"/>
        </w:numPr>
      </w:pPr>
      <w:r>
        <w:t xml:space="preserve"> Tracking Error (TE): </w:t>
      </w:r>
      <m:oMath>
        <m:r>
          <w:rPr>
            <w:rFonts w:ascii="Cambria Math" w:hAnsi="Cambria Math"/>
          </w:rPr>
          <m:t>5%≤TE≤10%</m:t>
        </m:r>
      </m:oMath>
    </w:p>
    <w:p w14:paraId="5BACC361" w14:textId="77777777" w:rsidR="006444C7" w:rsidRDefault="006444C7" w:rsidP="005F2BD5"/>
    <w:p w14:paraId="0DD04F6F" w14:textId="77777777" w:rsidR="006444C7" w:rsidRDefault="006444C7" w:rsidP="005F2BD5"/>
    <w:p w14:paraId="0B841E15" w14:textId="77777777" w:rsidR="005F2BD5" w:rsidRPr="00AD308A" w:rsidRDefault="005F2BD5" w:rsidP="005F2BD5">
      <w:pPr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t>5)</w:t>
      </w:r>
      <w:r w:rsidR="005673C7" w:rsidRPr="00AD308A">
        <w:rPr>
          <w:b/>
          <w:color w:val="FF0000"/>
          <w:sz w:val="28"/>
          <w:szCs w:val="28"/>
        </w:rPr>
        <w:t xml:space="preserve"> </w:t>
      </w:r>
      <w:r w:rsidRPr="00AD308A">
        <w:rPr>
          <w:b/>
          <w:color w:val="FF0000"/>
          <w:sz w:val="28"/>
          <w:szCs w:val="28"/>
        </w:rPr>
        <w:t>Data</w:t>
      </w:r>
      <w:r w:rsidR="005673C7" w:rsidRPr="00AD308A">
        <w:rPr>
          <w:b/>
          <w:color w:val="FF0000"/>
          <w:sz w:val="28"/>
          <w:szCs w:val="28"/>
        </w:rPr>
        <w:t>sets</w:t>
      </w:r>
    </w:p>
    <w:p w14:paraId="6682CD6A" w14:textId="77777777" w:rsidR="005F2BD5" w:rsidRDefault="005F2BD5" w:rsidP="005F2BD5"/>
    <w:p w14:paraId="430F47C8" w14:textId="68E98BD6" w:rsidR="00957096" w:rsidRDefault="00957096" w:rsidP="005F2BD5">
      <w:r>
        <w:t>Data provided is an extract of the constituents of the S&amp;P500 at pre</w:t>
      </w:r>
      <w:r w:rsidR="00C574DF">
        <w:t>-</w:t>
      </w:r>
      <w:r>
        <w:t xml:space="preserve">specified dates. </w:t>
      </w:r>
      <w:r w:rsidR="00D3220C">
        <w:t>The d</w:t>
      </w:r>
      <w:r>
        <w:t xml:space="preserve">ata </w:t>
      </w:r>
      <w:r w:rsidR="00F15329">
        <w:t xml:space="preserve">extract </w:t>
      </w:r>
      <w:r w:rsidR="00D3220C">
        <w:t xml:space="preserve">is </w:t>
      </w:r>
      <w:r w:rsidR="00F15329">
        <w:t xml:space="preserve">taken every </w:t>
      </w:r>
      <w:r>
        <w:t>4 week</w:t>
      </w:r>
      <w:r w:rsidR="00F15329">
        <w:t>s</w:t>
      </w:r>
      <w:r>
        <w:t xml:space="preserve"> </w:t>
      </w:r>
      <w:r w:rsidR="0085758A">
        <w:t>over a 10</w:t>
      </w:r>
      <w:r w:rsidR="0011295D">
        <w:t>-year</w:t>
      </w:r>
      <w:r w:rsidR="0085758A">
        <w:t xml:space="preserve"> horizon, starting 2007-Jan-03.</w:t>
      </w:r>
      <w:r w:rsidR="001277B1">
        <w:t xml:space="preserve"> The number of data points per date will vary slightly.</w:t>
      </w:r>
    </w:p>
    <w:p w14:paraId="3C418931" w14:textId="77777777" w:rsidR="00957096" w:rsidRDefault="00957096" w:rsidP="005F2BD5"/>
    <w:p w14:paraId="3938E5DB" w14:textId="7EE8BD45" w:rsidR="005F2BD5" w:rsidRDefault="00957096" w:rsidP="005F2BD5">
      <w:pPr>
        <w:pStyle w:val="a3"/>
        <w:numPr>
          <w:ilvl w:val="0"/>
          <w:numId w:val="1"/>
        </w:numPr>
      </w:pPr>
      <w:r>
        <w:t>Time</w:t>
      </w:r>
      <w:r w:rsidR="005F2BD5">
        <w:t xml:space="preserve"> series data includes </w:t>
      </w:r>
      <w:r>
        <w:t xml:space="preserve">the following </w:t>
      </w:r>
      <w:r w:rsidR="005F2BD5">
        <w:t>fields:</w:t>
      </w:r>
      <w:r w:rsidR="00403F99">
        <w:t xml:space="preserve"> </w:t>
      </w:r>
    </w:p>
    <w:p w14:paraId="56D6E038" w14:textId="77777777" w:rsidR="005F2BD5" w:rsidRDefault="005F2BD5" w:rsidP="005F2BD5">
      <w:pPr>
        <w:pStyle w:val="a3"/>
        <w:numPr>
          <w:ilvl w:val="1"/>
          <w:numId w:val="1"/>
        </w:numPr>
      </w:pPr>
      <w:r>
        <w:t>Date</w:t>
      </w:r>
    </w:p>
    <w:p w14:paraId="0C64A022" w14:textId="77777777" w:rsidR="005F2BD5" w:rsidRDefault="005F2BD5" w:rsidP="005F2BD5">
      <w:pPr>
        <w:pStyle w:val="a3"/>
        <w:numPr>
          <w:ilvl w:val="1"/>
          <w:numId w:val="1"/>
        </w:numPr>
      </w:pPr>
      <w:r>
        <w:t>Identifier (SEDOL (</w:t>
      </w:r>
      <w:r w:rsidRPr="00D912B2">
        <w:rPr>
          <w:b/>
        </w:rPr>
        <w:t>S</w:t>
      </w:r>
      <w:r>
        <w:t xml:space="preserve">tock </w:t>
      </w:r>
      <w:r w:rsidRPr="00D912B2">
        <w:rPr>
          <w:b/>
        </w:rPr>
        <w:t>E</w:t>
      </w:r>
      <w:r>
        <w:t xml:space="preserve">xchange </w:t>
      </w:r>
      <w:r w:rsidRPr="00D912B2">
        <w:rPr>
          <w:b/>
        </w:rPr>
        <w:t>D</w:t>
      </w:r>
      <w:r>
        <w:t xml:space="preserve">aily </w:t>
      </w:r>
      <w:r w:rsidRPr="00D912B2">
        <w:rPr>
          <w:b/>
        </w:rPr>
        <w:t>O</w:t>
      </w:r>
      <w:r>
        <w:t xml:space="preserve">fficial </w:t>
      </w:r>
      <w:r w:rsidRPr="00D912B2">
        <w:rPr>
          <w:b/>
        </w:rPr>
        <w:t>L</w:t>
      </w:r>
      <w:r>
        <w:t>ist))</w:t>
      </w:r>
    </w:p>
    <w:p w14:paraId="0B5FFF63" w14:textId="77777777" w:rsidR="005F2BD5" w:rsidRDefault="005F2BD5" w:rsidP="005F2BD5">
      <w:pPr>
        <w:pStyle w:val="a3"/>
        <w:numPr>
          <w:ilvl w:val="1"/>
          <w:numId w:val="1"/>
        </w:numPr>
      </w:pPr>
      <w:r>
        <w:t>Sector</w:t>
      </w:r>
    </w:p>
    <w:p w14:paraId="7CD533EE" w14:textId="77777777" w:rsidR="005F2BD5" w:rsidRDefault="005F2BD5" w:rsidP="005F2BD5">
      <w:pPr>
        <w:pStyle w:val="a3"/>
        <w:numPr>
          <w:ilvl w:val="1"/>
          <w:numId w:val="1"/>
        </w:numPr>
      </w:pPr>
      <w:r>
        <w:t>Beta</w:t>
      </w:r>
    </w:p>
    <w:p w14:paraId="1A362FCB" w14:textId="77777777" w:rsidR="005F2BD5" w:rsidRDefault="006F62F9" w:rsidP="005F2BD5">
      <w:pPr>
        <w:pStyle w:val="a3"/>
        <w:numPr>
          <w:ilvl w:val="1"/>
          <w:numId w:val="1"/>
        </w:numPr>
      </w:pPr>
      <w:r>
        <w:t>Alpha Score</w:t>
      </w:r>
    </w:p>
    <w:p w14:paraId="2BD43BD0" w14:textId="77777777" w:rsidR="005F2BD5" w:rsidRDefault="005F2BD5" w:rsidP="005F2BD5">
      <w:pPr>
        <w:pStyle w:val="a3"/>
        <w:numPr>
          <w:ilvl w:val="1"/>
          <w:numId w:val="1"/>
        </w:numPr>
      </w:pPr>
      <w:r>
        <w:t>Name</w:t>
      </w:r>
    </w:p>
    <w:p w14:paraId="080775D4" w14:textId="77777777" w:rsidR="005F2BD5" w:rsidRDefault="005F2BD5" w:rsidP="005F2BD5">
      <w:pPr>
        <w:pStyle w:val="a3"/>
        <w:numPr>
          <w:ilvl w:val="1"/>
          <w:numId w:val="1"/>
        </w:numPr>
      </w:pPr>
      <w:r>
        <w:t>Benchmark (S&amp;P 500)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bench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>)</w:t>
      </w:r>
    </w:p>
    <w:p w14:paraId="214002A3" w14:textId="77777777" w:rsidR="005F2BD5" w:rsidRDefault="005F2BD5" w:rsidP="005F2BD5">
      <w:pPr>
        <w:pStyle w:val="a3"/>
        <w:numPr>
          <w:ilvl w:val="1"/>
          <w:numId w:val="1"/>
        </w:numPr>
      </w:pPr>
      <w:r>
        <w:t>Market cap quintile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MCAPQ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</w:p>
    <w:p w14:paraId="148FC3CD" w14:textId="77777777" w:rsidR="005F2BD5" w:rsidRDefault="005F2BD5" w:rsidP="009060B6">
      <w:pPr>
        <w:pStyle w:val="a3"/>
      </w:pPr>
    </w:p>
    <w:p w14:paraId="00BF82B9" w14:textId="3FB44088" w:rsidR="009060B6" w:rsidRDefault="005F2BD5" w:rsidP="009060B6">
      <w:pPr>
        <w:pStyle w:val="a3"/>
        <w:numPr>
          <w:ilvl w:val="0"/>
          <w:numId w:val="11"/>
        </w:numPr>
      </w:pPr>
      <w:r>
        <w:t xml:space="preserve">Historical risk model data (upper half of </w:t>
      </w:r>
      <w:r w:rsidR="0011295D">
        <w:t xml:space="preserve">the </w:t>
      </w:r>
      <w:r>
        <w:t>covariance matrix)</w:t>
      </w:r>
      <w:r w:rsidR="00801AA0">
        <w:t xml:space="preserve"> used for optimization done on the corresponding date</w:t>
      </w:r>
      <w:r w:rsidR="00596C32">
        <w:t>.</w:t>
      </w:r>
      <w:r w:rsidR="001277B1">
        <w:t xml:space="preserve"> </w:t>
      </w:r>
    </w:p>
    <w:p w14:paraId="46933678" w14:textId="77777777" w:rsidR="009060B6" w:rsidRDefault="009060B6" w:rsidP="00D22044"/>
    <w:p w14:paraId="323673B2" w14:textId="77777777" w:rsidR="009060B6" w:rsidRDefault="009060B6" w:rsidP="00D22044">
      <w:pPr>
        <w:pStyle w:val="a3"/>
        <w:numPr>
          <w:ilvl w:val="0"/>
          <w:numId w:val="1"/>
        </w:numPr>
      </w:pPr>
      <w:r>
        <w:t>Historical returns for each 4 week period in the 10-year horizon for each stock, in percentage, e.g. 0.05 = 5% (part of the evaluation criteria, see section 7. Included in the results template)</w:t>
      </w:r>
    </w:p>
    <w:p w14:paraId="6A575395" w14:textId="39515C2C" w:rsidR="0058142D" w:rsidRDefault="0058142D" w:rsidP="00D22044">
      <w:pPr>
        <w:pStyle w:val="a3"/>
      </w:pPr>
    </w:p>
    <w:p w14:paraId="332E593D" w14:textId="77777777" w:rsidR="0058142D" w:rsidRDefault="0058142D"/>
    <w:p w14:paraId="14225866" w14:textId="0B161DF8" w:rsidR="005673C7" w:rsidRPr="00AD308A" w:rsidRDefault="004059FC">
      <w:pPr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t>6)</w:t>
      </w:r>
      <w:r w:rsidR="005673C7" w:rsidRPr="00AD308A">
        <w:rPr>
          <w:b/>
          <w:color w:val="FF0000"/>
          <w:sz w:val="28"/>
          <w:szCs w:val="28"/>
        </w:rPr>
        <w:t xml:space="preserve"> </w:t>
      </w:r>
      <w:r w:rsidRPr="00AD308A">
        <w:rPr>
          <w:b/>
          <w:color w:val="FF0000"/>
          <w:sz w:val="28"/>
          <w:szCs w:val="28"/>
        </w:rPr>
        <w:t xml:space="preserve">Simulation </w:t>
      </w:r>
      <w:r w:rsidR="000617DE" w:rsidRPr="00AD308A">
        <w:rPr>
          <w:b/>
          <w:color w:val="FF0000"/>
          <w:sz w:val="28"/>
          <w:szCs w:val="28"/>
        </w:rPr>
        <w:t>P</w:t>
      </w:r>
      <w:r w:rsidRPr="00AD308A">
        <w:rPr>
          <w:b/>
          <w:color w:val="FF0000"/>
          <w:sz w:val="28"/>
          <w:szCs w:val="28"/>
        </w:rPr>
        <w:t>rocess</w:t>
      </w:r>
    </w:p>
    <w:p w14:paraId="04A5EF5D" w14:textId="77777777" w:rsidR="004059FC" w:rsidRPr="005673C7" w:rsidRDefault="004059FC"/>
    <w:p w14:paraId="1CFBA445" w14:textId="132E0D6F" w:rsidR="00607C1D" w:rsidRDefault="004059FC" w:rsidP="007E1895">
      <w:pPr>
        <w:rPr>
          <w:rFonts w:hint="eastAsia"/>
          <w:lang w:eastAsia="ko-KR"/>
        </w:rPr>
      </w:pPr>
      <w:r>
        <w:t xml:space="preserve">A sequence of portfolio rebalances has to be performed on the whole set of data provided. </w:t>
      </w:r>
      <w:r w:rsidR="00957096">
        <w:t>The rebalance dates a</w:t>
      </w:r>
      <w:r w:rsidR="00095B58">
        <w:t>re</w:t>
      </w:r>
      <w:r w:rsidR="00957096">
        <w:t xml:space="preserve"> </w:t>
      </w:r>
      <w:r w:rsidR="0064522A">
        <w:t>pre</w:t>
      </w:r>
      <w:r w:rsidR="00D85286">
        <w:t>-</w:t>
      </w:r>
      <w:r w:rsidR="0064522A">
        <w:t>spec</w:t>
      </w:r>
      <w:r w:rsidR="00095B58">
        <w:t>i</w:t>
      </w:r>
      <w:r w:rsidR="0064522A">
        <w:t>fi</w:t>
      </w:r>
      <w:r w:rsidR="00095B58">
        <w:t xml:space="preserve">ed by the data provided. Every rebalance will result in a </w:t>
      </w:r>
      <w:r w:rsidR="0064522A">
        <w:t xml:space="preserve">new </w:t>
      </w:r>
      <w:r w:rsidR="00095B58">
        <w:t>set of weights</w:t>
      </w:r>
      <w:r w:rsidR="00F76DCE">
        <w:t xml:space="preserve"> for each asset</w:t>
      </w:r>
      <w:r w:rsidR="00095B58">
        <w:t>.</w:t>
      </w:r>
      <w:r w:rsidR="007E1895">
        <w:rPr>
          <w:rFonts w:hint="eastAsia"/>
          <w:lang w:eastAsia="ko-KR"/>
        </w:rPr>
        <w:t xml:space="preserve"> </w:t>
      </w:r>
      <w:r w:rsidR="00892724">
        <w:t xml:space="preserve">Institutional investors are required to rebalance their portfolios </w:t>
      </w:r>
      <w:r w:rsidR="009071F6">
        <w:t>at</w:t>
      </w:r>
      <w:r w:rsidR="00892724">
        <w:t xml:space="preserve"> regular intervals, or more frequently if market conditions change </w:t>
      </w:r>
      <w:r w:rsidR="00ED10F3">
        <w:t>and</w:t>
      </w:r>
      <w:r w:rsidR="00892724">
        <w:t xml:space="preserve"> </w:t>
      </w:r>
      <w:r w:rsidR="00ED10F3">
        <w:t>therefore portfolio diversification worsens</w:t>
      </w:r>
      <w:r w:rsidR="00892724">
        <w:t>.</w:t>
      </w:r>
      <w:r w:rsidR="00ED10F3">
        <w:t xml:space="preserve"> Typical rebalance intervals are </w:t>
      </w:r>
      <w:r w:rsidR="009071F6">
        <w:t xml:space="preserve">daily, weekly, </w:t>
      </w:r>
      <w:r w:rsidR="00ED10F3">
        <w:t>monthly, quarterly, semi-annually or annually. The more frequently a portfolio gets rebalanced, the closer it reflects the present market conditions and therefore holds less risk and a higher chance to outperform. Unfortunately the cost associated with rebalancing the portfolio can</w:t>
      </w:r>
      <w:r w:rsidR="00AF307C">
        <w:t>no</w:t>
      </w:r>
      <w:r w:rsidR="00ED10F3">
        <w:t xml:space="preserve">t be neglected and </w:t>
      </w:r>
      <w:r w:rsidR="00535643">
        <w:t>make</w:t>
      </w:r>
      <w:r w:rsidR="00157895">
        <w:t>s</w:t>
      </w:r>
      <w:r w:rsidR="00535643">
        <w:t xml:space="preserve"> or break</w:t>
      </w:r>
      <w:r w:rsidR="00157895">
        <w:t>s</w:t>
      </w:r>
      <w:r w:rsidR="00535643">
        <w:t xml:space="preserve"> a portfolio manag</w:t>
      </w:r>
      <w:bookmarkStart w:id="0" w:name="_GoBack"/>
      <w:bookmarkEnd w:id="0"/>
      <w:r w:rsidR="00535643">
        <w:t>er</w:t>
      </w:r>
      <w:r w:rsidR="00535643">
        <w:rPr>
          <w:rFonts w:ascii="Helvetica" w:eastAsia="Helvetica" w:hAnsi="Helvetica" w:cs="Helvetica"/>
        </w:rPr>
        <w:t>’s performance.</w:t>
      </w:r>
      <w:r w:rsidR="00ED10F3">
        <w:t xml:space="preserve"> </w:t>
      </w:r>
      <w:r w:rsidR="00535643">
        <w:t xml:space="preserve">It therefore is necessary to find that sweet-spot between rebalancing as </w:t>
      </w:r>
      <w:r w:rsidR="00986539">
        <w:t>frequently</w:t>
      </w:r>
      <w:r w:rsidR="00535643">
        <w:t xml:space="preserve"> as necessary</w:t>
      </w:r>
      <w:r w:rsidR="00F76DCE">
        <w:t xml:space="preserve"> to capture the potential excess return </w:t>
      </w:r>
      <w:r w:rsidR="00535643">
        <w:t xml:space="preserve">and </w:t>
      </w:r>
      <w:r w:rsidR="00F76DCE">
        <w:t>minimizing the cost of doing so</w:t>
      </w:r>
      <w:r w:rsidR="00535643">
        <w:t>.</w:t>
      </w:r>
      <w:r w:rsidR="00ED10F3">
        <w:t xml:space="preserve"> </w:t>
      </w:r>
      <w:r w:rsidR="00535643">
        <w:t xml:space="preserve">For this project we want you to simulate this behaviour </w:t>
      </w:r>
      <w:r w:rsidR="00AF307C">
        <w:t xml:space="preserve">of a portfolio manager, </w:t>
      </w:r>
      <w:r w:rsidR="00535643">
        <w:t xml:space="preserve">by rebalancing your portfolios at pre-defined dates throughout a </w:t>
      </w:r>
      <w:proofErr w:type="gramStart"/>
      <w:r w:rsidR="00535643">
        <w:t>10 year</w:t>
      </w:r>
      <w:proofErr w:type="gramEnd"/>
      <w:r w:rsidR="00535643">
        <w:t xml:space="preserve"> history. Every 4 weeks you will be running an optimization based on a </w:t>
      </w:r>
      <w:r w:rsidR="00535643">
        <w:lastRenderedPageBreak/>
        <w:t xml:space="preserve">new dataset. You will be responsible for managing how many assets in your portfolio change from rebalance to rebalance, i.e. the portfolio </w:t>
      </w:r>
      <w:r w:rsidR="00AF307C">
        <w:t>turnover</w:t>
      </w:r>
      <w:r w:rsidR="00535643">
        <w:t xml:space="preserve">. </w:t>
      </w:r>
      <w:r w:rsidR="00986539">
        <w:t>To reflect the costs of trading</w:t>
      </w:r>
      <w:r w:rsidR="00801AA0">
        <w:t>,</w:t>
      </w:r>
      <w:r w:rsidR="00986539">
        <w:t xml:space="preserve"> the turnover number will be used to </w:t>
      </w:r>
      <w:r w:rsidR="009071F6">
        <w:t>reduce</w:t>
      </w:r>
      <w:r w:rsidR="00986539">
        <w:t xml:space="preserve"> your overall returns before you calculate how well your portfolio performed over time.  </w:t>
      </w:r>
      <w:r w:rsidR="00535643">
        <w:t xml:space="preserve">One way of </w:t>
      </w:r>
      <w:r w:rsidR="009071F6">
        <w:t>controlling turnover</w:t>
      </w:r>
      <w:r w:rsidR="00535643">
        <w:t xml:space="preserve"> is by</w:t>
      </w:r>
      <w:r w:rsidR="00AF307C">
        <w:t xml:space="preserve"> introducing further constraints. While rebalancing</w:t>
      </w:r>
      <w:r w:rsidR="00991848">
        <w:t>,</w:t>
      </w:r>
      <w:r w:rsidR="00AF307C">
        <w:t xml:space="preserve"> you can only use information available to you up until that point in time, i.e. you cannot look into the future. The outcome of your simulation will be a set of assets and the proportion they make up in the portfolio for each rebalance date</w:t>
      </w:r>
      <w:r w:rsidR="009071F6">
        <w:t xml:space="preserve"> (and the resulting time series of portfolio returns)</w:t>
      </w:r>
      <w:r w:rsidR="00AF307C">
        <w:t xml:space="preserve">. This information will be used in the final step to evaluate how well your portfolio performed compared to a benchmark. </w:t>
      </w:r>
      <w:r w:rsidR="00252D74">
        <w:t>The first portfolio composition</w:t>
      </w:r>
      <w:r w:rsidR="009071F6">
        <w:t xml:space="preserve"> (your starting point)</w:t>
      </w:r>
      <w:r w:rsidR="00252D74">
        <w:t xml:space="preserve"> will be provided.</w:t>
      </w:r>
      <w:r w:rsidR="009071F6">
        <w:t xml:space="preserve"> Any further rebalance will be performed by you. </w:t>
      </w:r>
    </w:p>
    <w:p w14:paraId="7CD99D44" w14:textId="77777777" w:rsidR="0085758A" w:rsidRDefault="0085758A"/>
    <w:p w14:paraId="43732E5E" w14:textId="77777777" w:rsidR="00607C1D" w:rsidRDefault="00A74D42" w:rsidP="00607C1D">
      <w:pPr>
        <w:keepNext/>
        <w:jc w:val="center"/>
      </w:pPr>
      <w:r>
        <w:rPr>
          <w:noProof/>
          <w:lang w:val="en-US" w:eastAsia="ko-KR"/>
        </w:rPr>
        <w:drawing>
          <wp:inline distT="0" distB="0" distL="0" distR="0" wp14:anchorId="07B50CA5" wp14:editId="47B2D781">
            <wp:extent cx="5600700" cy="2423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04" cy="24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EF2" w14:textId="77777777" w:rsidR="00607C1D" w:rsidRDefault="00607C1D" w:rsidP="00607C1D">
      <w:pPr>
        <w:pStyle w:val="af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4641">
        <w:rPr>
          <w:noProof/>
        </w:rPr>
        <w:t>1</w:t>
      </w:r>
      <w:r>
        <w:fldChar w:fldCharType="end"/>
      </w:r>
      <w:r>
        <w:t>: Portfolio simulation timeline</w:t>
      </w:r>
    </w:p>
    <w:p w14:paraId="52933557" w14:textId="77777777" w:rsidR="000617DE" w:rsidRDefault="000617DE"/>
    <w:p w14:paraId="42CC78BD" w14:textId="6A885808" w:rsidR="000D6E0D" w:rsidRPr="00AD308A" w:rsidRDefault="000D6E0D">
      <w:pPr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t>7)</w:t>
      </w:r>
      <w:r w:rsidR="005673C7" w:rsidRPr="00AD308A">
        <w:rPr>
          <w:b/>
          <w:color w:val="FF0000"/>
          <w:sz w:val="28"/>
          <w:szCs w:val="28"/>
        </w:rPr>
        <w:t xml:space="preserve"> </w:t>
      </w:r>
      <w:r w:rsidRPr="00AD308A">
        <w:rPr>
          <w:b/>
          <w:color w:val="FF0000"/>
          <w:sz w:val="28"/>
          <w:szCs w:val="28"/>
        </w:rPr>
        <w:t xml:space="preserve">Evaluation </w:t>
      </w:r>
      <w:r w:rsidR="000617DE">
        <w:rPr>
          <w:b/>
          <w:color w:val="FF0000"/>
          <w:sz w:val="28"/>
          <w:szCs w:val="28"/>
        </w:rPr>
        <w:t>C</w:t>
      </w:r>
      <w:r w:rsidRPr="00AD308A">
        <w:rPr>
          <w:b/>
          <w:color w:val="FF0000"/>
          <w:sz w:val="28"/>
          <w:szCs w:val="28"/>
        </w:rPr>
        <w:t>riteria</w:t>
      </w:r>
    </w:p>
    <w:p w14:paraId="3940C7CC" w14:textId="77777777" w:rsidR="009504AB" w:rsidRDefault="009504AB"/>
    <w:p w14:paraId="053DAE7C" w14:textId="0149D596" w:rsidR="00C6248F" w:rsidRDefault="009504AB" w:rsidP="009504AB">
      <w:r>
        <w:t xml:space="preserve">After all the simulations have been performed the provided </w:t>
      </w:r>
      <w:r w:rsidR="00F63451">
        <w:t xml:space="preserve">4 weekly </w:t>
      </w:r>
      <w:r>
        <w:t xml:space="preserve">return numbers will be </w:t>
      </w:r>
      <w:r w:rsidR="0011295D">
        <w:t>used to compute overall portfolio returns</w:t>
      </w:r>
      <w:r>
        <w:t xml:space="preserve">. The returns will be aggregated to a total return for the whole portfolio per rebalance date </w:t>
      </w:r>
      <w:r w:rsidR="00FC68EA">
        <w:t xml:space="preserve">based on each asset’s return and its weight in the portfolio on the rebalance date </w:t>
      </w:r>
      <w:r>
        <w:t xml:space="preserve">and will be turnover adjusted. </w:t>
      </w:r>
      <w:r w:rsidR="00FC68EA">
        <w:t xml:space="preserve">In reality, rebalancing is not free. </w:t>
      </w:r>
      <w:r w:rsidR="005E58CA">
        <w:t xml:space="preserve">The turnover adjustment represents a proxy for the costs that would occur for trading stocks to rebalance </w:t>
      </w:r>
      <w:r w:rsidR="00157895">
        <w:t>the portfolio.</w:t>
      </w:r>
      <w:r w:rsidR="00C6248F">
        <w:t xml:space="preserve"> </w:t>
      </w:r>
      <w:r w:rsidR="00157895">
        <w:t>E</w:t>
      </w:r>
      <w:r w:rsidR="005E58CA">
        <w:t xml:space="preserve">very 100% </w:t>
      </w:r>
      <w:r w:rsidR="00157895">
        <w:t xml:space="preserve">in </w:t>
      </w:r>
      <w:r w:rsidR="005E58CA">
        <w:t>portfolio turnover</w:t>
      </w:r>
      <w:r w:rsidR="00157895">
        <w:t xml:space="preserve"> will reduce the subsequent overall portfolio return by 0.5%</w:t>
      </w:r>
      <w:r w:rsidR="005E58CA">
        <w:t xml:space="preserve">. </w:t>
      </w:r>
    </w:p>
    <w:p w14:paraId="2A5B8891" w14:textId="77777777" w:rsidR="00C6248F" w:rsidRDefault="00C6248F" w:rsidP="009504AB"/>
    <w:p w14:paraId="1492DB06" w14:textId="25D92091" w:rsidR="00526337" w:rsidRDefault="00761322" w:rsidP="009504AB">
      <w:r>
        <w:t>Start off with calculating the overall turnover numbers</w:t>
      </w:r>
      <w:r w:rsidR="005D1240">
        <w:t xml:space="preserve"> (equation 1</w:t>
      </w:r>
      <w:r w:rsidR="00200632">
        <w:t>3</w:t>
      </w:r>
      <w:r w:rsidR="005D1240">
        <w:t>)</w:t>
      </w:r>
      <w:r>
        <w:t xml:space="preserve"> for your portfolio for every rebalance date t. Then </w:t>
      </w:r>
      <w:r w:rsidR="005D1240">
        <w:t>calculate the overall return for your portfolio (equation 1</w:t>
      </w:r>
      <w:r w:rsidR="00200632">
        <w:t>4</w:t>
      </w:r>
      <w:r w:rsidR="005D1240">
        <w:t>) for every date t using your calculated portfolio weights and the 1 month returns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</m:oMath>
      <w:r w:rsidR="005D1240">
        <w:t xml:space="preserve"> provided to you. In your final step, using equation 1</w:t>
      </w:r>
      <w:r w:rsidR="00200632">
        <w:t>5</w:t>
      </w:r>
      <w:r w:rsidR="005D1240">
        <w:t>, calculate your turnover adjusted overall portfolio returns for each date t.</w:t>
      </w:r>
    </w:p>
    <w:p w14:paraId="60E93F6F" w14:textId="77777777" w:rsidR="00526337" w:rsidRDefault="00526337" w:rsidP="009504AB"/>
    <w:p w14:paraId="34536366" w14:textId="77777777" w:rsidR="00F63451" w:rsidRDefault="00F63451" w:rsidP="009504AB"/>
    <w:p w14:paraId="580410D3" w14:textId="77777777" w:rsidR="00200632" w:rsidRDefault="00200632" w:rsidP="009504AB"/>
    <w:p w14:paraId="2F066185" w14:textId="77777777" w:rsidR="00200632" w:rsidRDefault="00200632" w:rsidP="009504AB"/>
    <w:p w14:paraId="22D7F041" w14:textId="77777777" w:rsidR="00200632" w:rsidRDefault="00200632" w:rsidP="009504AB"/>
    <w:p w14:paraId="20DF3F8B" w14:textId="77777777" w:rsidR="009504AB" w:rsidRDefault="009504AB" w:rsidP="009504AB">
      <w:r w:rsidRPr="00C65ADC">
        <w:t>Portfolio turnover</w:t>
      </w:r>
      <w:r w:rsidR="00801AA0">
        <w:t xml:space="preserve"> for period </w:t>
      </w:r>
      <w:proofErr w:type="gramStart"/>
      <w:r w:rsidR="00801AA0">
        <w:rPr>
          <w:i/>
        </w:rPr>
        <w:t>t</w:t>
      </w:r>
      <w:r w:rsidR="00801AA0">
        <w:t xml:space="preserve"> </w:t>
      </w:r>
      <w:r w:rsidRPr="00C65ADC">
        <w:t xml:space="preserve"> is</w:t>
      </w:r>
      <w:proofErr w:type="gramEnd"/>
      <w:r w:rsidR="00761322">
        <w:t xml:space="preserve"> defined as:</w:t>
      </w:r>
    </w:p>
    <w:p w14:paraId="2F958499" w14:textId="77777777" w:rsidR="009504AB" w:rsidRDefault="009504AB"/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681"/>
        <w:gridCol w:w="4291"/>
        <w:gridCol w:w="681"/>
      </w:tblGrid>
      <w:tr w:rsidR="007E2738" w14:paraId="4850FDF0" w14:textId="77777777" w:rsidTr="007E2738">
        <w:trPr>
          <w:jc w:val="center"/>
        </w:trPr>
        <w:tc>
          <w:tcPr>
            <w:tcW w:w="2161" w:type="pct"/>
            <w:vAlign w:val="center"/>
          </w:tcPr>
          <w:p w14:paraId="60E97BE4" w14:textId="77777777" w:rsidR="007E2738" w:rsidRPr="00CE1980" w:rsidRDefault="00D36F33" w:rsidP="007E2738"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Pre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*(1+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 t-1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*(1+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 t-1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01A499D5" w14:textId="31C80160" w:rsidR="007E2738" w:rsidRDefault="007E2738" w:rsidP="008C0BB4">
            <w:pPr>
              <w:jc w:val="center"/>
            </w:pPr>
          </w:p>
        </w:tc>
        <w:tc>
          <w:tcPr>
            <w:tcW w:w="342" w:type="pct"/>
            <w:vAlign w:val="center"/>
          </w:tcPr>
          <w:p w14:paraId="22AE2C10" w14:textId="5A078CD2" w:rsidR="007E2738" w:rsidRDefault="00200632" w:rsidP="008C0BB4">
            <w:pPr>
              <w:jc w:val="center"/>
            </w:pPr>
            <w:r>
              <w:t>(12)</w:t>
            </w:r>
          </w:p>
        </w:tc>
        <w:tc>
          <w:tcPr>
            <w:tcW w:w="2155" w:type="pct"/>
            <w:vAlign w:val="center"/>
          </w:tcPr>
          <w:p w14:paraId="624B4264" w14:textId="3B977C08" w:rsidR="007E2738" w:rsidRPr="00CE1980" w:rsidRDefault="00D36F33" w:rsidP="007E2738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turnover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  <m:sup/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Pre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  <w:p w14:paraId="0EDD37AF" w14:textId="48A44DD8" w:rsidR="007E2738" w:rsidRDefault="007E2738" w:rsidP="008C0BB4">
            <w:pPr>
              <w:jc w:val="center"/>
            </w:pPr>
          </w:p>
        </w:tc>
        <w:tc>
          <w:tcPr>
            <w:tcW w:w="342" w:type="pct"/>
            <w:vAlign w:val="center"/>
          </w:tcPr>
          <w:p w14:paraId="57ADF9B2" w14:textId="4812F1F5" w:rsidR="007E2738" w:rsidRDefault="007E2738" w:rsidP="00200632">
            <w:pPr>
              <w:jc w:val="center"/>
            </w:pPr>
            <w:r>
              <w:t>(1</w:t>
            </w:r>
            <w:r w:rsidR="00200632">
              <w:t>3</w:t>
            </w:r>
            <w:r>
              <w:t>)</w:t>
            </w:r>
          </w:p>
        </w:tc>
      </w:tr>
    </w:tbl>
    <w:p w14:paraId="2426DACC" w14:textId="77777777" w:rsidR="007E2738" w:rsidRDefault="007E2738"/>
    <w:p w14:paraId="27224B9A" w14:textId="73A0E7C1" w:rsidR="005E3EE2" w:rsidRDefault="00AF7645">
      <w:r>
        <w:t xml:space="preserve">Where </w:t>
      </w:r>
      <m:oMath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i,t-1</m:t>
            </m:r>
          </m:sub>
          <m:sup/>
        </m:sSubSup>
      </m:oMath>
      <w:r>
        <w:t xml:space="preserve"> and </w:t>
      </w:r>
      <m:oMath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/>
        </m:sSubSup>
      </m:oMath>
      <w:r>
        <w:t xml:space="preserve"> are your calculated</w:t>
      </w:r>
      <w:r w:rsidR="003B12D4">
        <w:t>, post-rebalance,</w:t>
      </w:r>
      <w:r>
        <w:t xml:space="preserve"> portfolio weights at two consecutive</w:t>
      </w:r>
      <w:r w:rsidR="003B12D4">
        <w:t xml:space="preserve"> rebalance dates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i,t-1</m:t>
            </m:r>
          </m:sub>
        </m:sSub>
      </m:oMath>
      <w:r w:rsidR="003B12D4">
        <w:t xml:space="preserve"> are the 4 week forward returns from your previous rebalance date.</w:t>
      </w:r>
      <w:r w:rsidR="007E2738">
        <w:t xml:space="preserve"> To incorporate time variance in the weights since the previous rebalance,</w:t>
      </w:r>
      <w:r w:rsidR="007E2738">
        <w:rPr>
          <w:lang w:eastAsia="en-US"/>
        </w:rPr>
        <w:t xml:space="preserve"> due to underlying price movements, we have to adjust  </w:t>
      </w:r>
      <m:oMath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i,t-1</m:t>
            </m:r>
          </m:sub>
          <m:sup/>
        </m:sSubSup>
      </m:oMath>
      <w:r w:rsidR="007E2738">
        <w:rPr>
          <w:lang w:eastAsia="en-US"/>
        </w:rPr>
        <w:t xml:space="preserve"> first by using the returns</w:t>
      </w:r>
      <w:r w:rsidR="00200632">
        <w:rPr>
          <w:lang w:eastAsia="en-US"/>
        </w:rPr>
        <w:t xml:space="preserve"> in equation 12</w:t>
      </w:r>
      <w:r w:rsidR="007E2738">
        <w:rPr>
          <w:lang w:eastAsia="en-US"/>
        </w:rPr>
        <w:t>.</w:t>
      </w:r>
      <w:r w:rsidR="0045354B">
        <w:rPr>
          <w:lang w:eastAsia="en-US"/>
        </w:rPr>
        <w:t xml:space="preserve"> Thus </w:t>
      </w:r>
      <m:oMath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eastAsiaTheme="minorHAnsi" w:hAnsi="Cambria Math"/>
                <w:lang w:eastAsia="en-US"/>
              </w:rPr>
              <m:t>Pre</m:t>
            </m:r>
          </m:sup>
        </m:sSubSup>
      </m:oMath>
      <w:r w:rsidR="0045354B">
        <w:rPr>
          <w:lang w:eastAsia="en-US"/>
        </w:rPr>
        <w:t xml:space="preserve"> represents the weights of the portfolio from time period </w:t>
      </w:r>
      <w:r w:rsidR="0045354B" w:rsidRPr="006A376F">
        <w:rPr>
          <w:i/>
          <w:lang w:eastAsia="en-US"/>
        </w:rPr>
        <w:t>t</w:t>
      </w:r>
      <w:r w:rsidR="0045354B">
        <w:rPr>
          <w:lang w:eastAsia="en-US"/>
        </w:rPr>
        <w:t xml:space="preserve">-1, adjusted for returns in that prior period, prior to the rebalancing that occurs in period </w:t>
      </w:r>
      <w:r w:rsidR="0045354B" w:rsidRPr="006A376F">
        <w:rPr>
          <w:i/>
          <w:lang w:eastAsia="en-US"/>
        </w:rPr>
        <w:t>t</w:t>
      </w:r>
      <w:r w:rsidR="0045354B">
        <w:rPr>
          <w:lang w:eastAsia="en-US"/>
        </w:rPr>
        <w:t>.</w:t>
      </w:r>
    </w:p>
    <w:p w14:paraId="69BB17CD" w14:textId="77777777" w:rsidR="00801AA0" w:rsidRDefault="00801AA0"/>
    <w:p w14:paraId="498D10E7" w14:textId="77777777" w:rsidR="00801AA0" w:rsidRPr="00801AA0" w:rsidRDefault="00801AA0">
      <w:r>
        <w:t xml:space="preserve">Overall return for period </w:t>
      </w:r>
      <w:r>
        <w:rPr>
          <w:i/>
        </w:rPr>
        <w:t>t</w:t>
      </w:r>
      <w:r>
        <w:t xml:space="preserve"> of your portfolio is defined as:</w:t>
      </w:r>
    </w:p>
    <w:p w14:paraId="43CE4A4E" w14:textId="77777777" w:rsidR="001A5DD9" w:rsidRDefault="001A5DD9" w:rsidP="00AF7645"/>
    <w:tbl>
      <w:tblPr>
        <w:tblStyle w:val="af0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53"/>
        <w:gridCol w:w="833"/>
      </w:tblGrid>
      <w:tr w:rsidR="001A5DD9" w14:paraId="65388CA0" w14:textId="77777777" w:rsidTr="004775AA">
        <w:trPr>
          <w:jc w:val="center"/>
        </w:trPr>
        <w:tc>
          <w:tcPr>
            <w:tcW w:w="784" w:type="pct"/>
            <w:vAlign w:val="center"/>
          </w:tcPr>
          <w:p w14:paraId="5C056AC0" w14:textId="77777777" w:rsidR="001A5DD9" w:rsidRDefault="001A5DD9" w:rsidP="004775AA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56DD2E7A" w14:textId="77777777" w:rsidR="001A5DD9" w:rsidRPr="007C7040" w:rsidRDefault="00D36F33" w:rsidP="001A5DD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Opt t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419" w:type="pct"/>
            <w:vAlign w:val="center"/>
          </w:tcPr>
          <w:p w14:paraId="7E4CD948" w14:textId="396BF85E" w:rsidR="001A5DD9" w:rsidRDefault="001A5DD9" w:rsidP="00200632">
            <w:pPr>
              <w:spacing w:before="120"/>
              <w:jc w:val="center"/>
            </w:pPr>
            <w:r>
              <w:t>(</w:t>
            </w:r>
            <w:r w:rsidR="00244153">
              <w:t>1</w:t>
            </w:r>
            <w:r w:rsidR="00200632">
              <w:t>4</w:t>
            </w:r>
            <w:r>
              <w:t>)</w:t>
            </w:r>
          </w:p>
        </w:tc>
      </w:tr>
    </w:tbl>
    <w:p w14:paraId="4577BE80" w14:textId="77777777" w:rsidR="001A5DD9" w:rsidRDefault="001A5DD9" w:rsidP="00AF7645"/>
    <w:p w14:paraId="1DD40F51" w14:textId="0893878E" w:rsidR="001A5DD9" w:rsidRPr="007A31C7" w:rsidRDefault="001A5DD9" w:rsidP="00AF7645">
      <w:r>
        <w:t xml:space="preserve">Adjusted returns (return adjusted = </w:t>
      </w:r>
      <w:r w:rsidR="00F63451">
        <w:t xml:space="preserve">4 weekly </w:t>
      </w:r>
      <w:r>
        <w:t>return – cost penalty * turnover)</w:t>
      </w:r>
      <w:r w:rsidR="007A31C7">
        <w:t xml:space="preserve"> for period </w:t>
      </w:r>
      <w:r w:rsidR="007A31C7">
        <w:rPr>
          <w:i/>
        </w:rPr>
        <w:t>t</w:t>
      </w:r>
      <w:r w:rsidR="007A31C7">
        <w:t>:</w:t>
      </w:r>
    </w:p>
    <w:p w14:paraId="6B5C4F98" w14:textId="77777777" w:rsidR="005E58CA" w:rsidRDefault="005E58CA" w:rsidP="009504AB">
      <w:pPr>
        <w:ind w:left="720"/>
      </w:pPr>
    </w:p>
    <w:tbl>
      <w:tblPr>
        <w:tblStyle w:val="af0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53"/>
        <w:gridCol w:w="833"/>
      </w:tblGrid>
      <w:tr w:rsidR="00F95D83" w14:paraId="1515591E" w14:textId="77777777" w:rsidTr="004775AA">
        <w:trPr>
          <w:jc w:val="center"/>
        </w:trPr>
        <w:tc>
          <w:tcPr>
            <w:tcW w:w="784" w:type="pct"/>
            <w:vAlign w:val="center"/>
          </w:tcPr>
          <w:p w14:paraId="4F666AC3" w14:textId="77777777" w:rsidR="00F95D83" w:rsidRDefault="00F95D83" w:rsidP="004775AA">
            <w:pPr>
              <w:spacing w:before="120"/>
              <w:jc w:val="center"/>
            </w:pPr>
          </w:p>
        </w:tc>
        <w:tc>
          <w:tcPr>
            <w:tcW w:w="3797" w:type="pct"/>
            <w:vAlign w:val="center"/>
          </w:tcPr>
          <w:p w14:paraId="271A8E16" w14:textId="77777777" w:rsidR="00F95D83" w:rsidRPr="007C7040" w:rsidRDefault="00D36F33" w:rsidP="001A5DD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Txadj 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Opt t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- 0.5%*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turnover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19" w:type="pct"/>
            <w:vAlign w:val="center"/>
          </w:tcPr>
          <w:p w14:paraId="40C9B444" w14:textId="438D7209" w:rsidR="00F95D83" w:rsidRDefault="00F95D83" w:rsidP="00200632">
            <w:pPr>
              <w:spacing w:before="120"/>
              <w:jc w:val="center"/>
            </w:pPr>
            <w:r>
              <w:t>(1</w:t>
            </w:r>
            <w:r w:rsidR="00200632">
              <w:t>5</w:t>
            </w:r>
            <w:r>
              <w:t>)</w:t>
            </w:r>
          </w:p>
        </w:tc>
      </w:tr>
    </w:tbl>
    <w:p w14:paraId="6F446265" w14:textId="77777777" w:rsidR="005E58CA" w:rsidRDefault="005E58CA" w:rsidP="005E58CA">
      <w:pPr>
        <w:jc w:val="both"/>
      </w:pPr>
      <w:r w:rsidRPr="005E58CA">
        <w:rPr>
          <w:u w:val="single"/>
        </w:rPr>
        <w:t>Metrics</w:t>
      </w:r>
      <w:r>
        <w:t>:</w:t>
      </w:r>
    </w:p>
    <w:p w14:paraId="2D7FBF85" w14:textId="77777777" w:rsidR="005E58CA" w:rsidRPr="00C65ADC" w:rsidRDefault="005E58CA" w:rsidP="005E58CA">
      <w:pPr>
        <w:jc w:val="both"/>
      </w:pPr>
    </w:p>
    <w:p w14:paraId="18E30A7D" w14:textId="77777777" w:rsidR="009504AB" w:rsidRDefault="005E58CA" w:rsidP="005E58CA">
      <w:pPr>
        <w:pStyle w:val="a3"/>
        <w:numPr>
          <w:ilvl w:val="0"/>
          <w:numId w:val="11"/>
        </w:numPr>
      </w:pPr>
      <w:r>
        <w:t>A</w:t>
      </w:r>
      <w:r w:rsidR="009504AB">
        <w:t>djusted information ratio</w:t>
      </w:r>
    </w:p>
    <w:p w14:paraId="59162797" w14:textId="77777777" w:rsidR="009504AB" w:rsidRPr="00C65ADC" w:rsidRDefault="009504AB" w:rsidP="007C7040">
      <w:pPr>
        <w:pStyle w:val="a3"/>
      </w:pPr>
    </w:p>
    <w:p w14:paraId="41F99EF3" w14:textId="77777777" w:rsidR="009504AB" w:rsidRPr="00F95D83" w:rsidRDefault="009504AB" w:rsidP="007C7040">
      <w:pPr>
        <w:ind w:left="720"/>
        <w:jc w:val="center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6977"/>
        <w:gridCol w:w="769"/>
        <w:gridCol w:w="769"/>
      </w:tblGrid>
      <w:tr w:rsidR="007C7040" w14:paraId="24318D37" w14:textId="77777777" w:rsidTr="007C7040">
        <w:trPr>
          <w:jc w:val="center"/>
        </w:trPr>
        <w:tc>
          <w:tcPr>
            <w:tcW w:w="724" w:type="pct"/>
            <w:vAlign w:val="center"/>
          </w:tcPr>
          <w:p w14:paraId="2053BAFA" w14:textId="77777777" w:rsidR="007C7040" w:rsidRDefault="007C7040" w:rsidP="007C7040">
            <w:pPr>
              <w:spacing w:before="120"/>
              <w:jc w:val="center"/>
            </w:pPr>
          </w:p>
        </w:tc>
        <w:tc>
          <w:tcPr>
            <w:tcW w:w="3504" w:type="pct"/>
            <w:vAlign w:val="center"/>
          </w:tcPr>
          <w:p w14:paraId="4738D579" w14:textId="77777777" w:rsidR="007C7040" w:rsidRPr="007C7040" w:rsidRDefault="007C7040" w:rsidP="00406B28">
            <w:pPr>
              <w:spacing w:before="120" w:line="360" w:lineRule="auto"/>
              <w:jc w:val="center"/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IR=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Txadj 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bench 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std(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Txadj 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bench 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86" w:type="pct"/>
          </w:tcPr>
          <w:p w14:paraId="6A6255D3" w14:textId="77777777" w:rsidR="007C7040" w:rsidRDefault="007C7040" w:rsidP="007C7040">
            <w:pPr>
              <w:spacing w:before="120"/>
              <w:jc w:val="center"/>
            </w:pPr>
          </w:p>
        </w:tc>
        <w:tc>
          <w:tcPr>
            <w:tcW w:w="386" w:type="pct"/>
            <w:vAlign w:val="center"/>
          </w:tcPr>
          <w:p w14:paraId="59837BCF" w14:textId="10828728" w:rsidR="007C7040" w:rsidRDefault="007C7040" w:rsidP="00200632">
            <w:pPr>
              <w:spacing w:before="120"/>
              <w:jc w:val="center"/>
            </w:pPr>
            <w:r>
              <w:t>(1</w:t>
            </w:r>
            <w:r w:rsidR="00200632">
              <w:t>6</w:t>
            </w:r>
            <w:r>
              <w:t>)</w:t>
            </w:r>
          </w:p>
        </w:tc>
      </w:tr>
    </w:tbl>
    <w:p w14:paraId="1C0348BB" w14:textId="77777777" w:rsidR="00F95D83" w:rsidRDefault="00F95D83" w:rsidP="007C7040">
      <w:pPr>
        <w:ind w:left="720"/>
      </w:pPr>
    </w:p>
    <w:p w14:paraId="4509E7EE" w14:textId="77777777" w:rsidR="005D1240" w:rsidRPr="007A31C7" w:rsidRDefault="005D1240" w:rsidP="007C7040">
      <w:pPr>
        <w:ind w:left="720"/>
      </w:pPr>
      <w: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bench</m:t>
            </m:r>
          </m:sub>
        </m:sSub>
      </m:oMath>
      <w:r>
        <w:t xml:space="preserve">  for every date t, using the provided benchmark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bench</m:t>
            </m:r>
          </m:sub>
        </m:sSub>
      </m:oMath>
      <w:r>
        <w:t xml:space="preserve"> and the 1 month returns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7A31C7">
        <w:t xml:space="preserve"> </w:t>
      </w:r>
      <w:proofErr w:type="spellStart"/>
      <w:r w:rsidR="007A31C7">
        <w:rPr>
          <w:i/>
        </w:rPr>
        <w:t>std</w:t>
      </w:r>
      <w:proofErr w:type="spellEnd"/>
      <w:r w:rsidR="007A31C7">
        <w:t>() represents the standard deviation of the difference of the adjusted returns and the benchmark returns, where the standard deviation is taken over all the time periods in the simulation.</w:t>
      </w:r>
    </w:p>
    <w:p w14:paraId="28135F91" w14:textId="77777777" w:rsidR="009504AB" w:rsidRPr="001257FA" w:rsidRDefault="009504AB" w:rsidP="009504AB">
      <w:pPr>
        <w:ind w:left="720"/>
        <w:rPr>
          <w:sz w:val="16"/>
          <w:szCs w:val="16"/>
        </w:rPr>
      </w:pPr>
    </w:p>
    <w:p w14:paraId="0A4609CE" w14:textId="3F8D2C74" w:rsidR="009504AB" w:rsidRDefault="003B12D4" w:rsidP="009504AB">
      <w:pPr>
        <w:pStyle w:val="a3"/>
        <w:numPr>
          <w:ilvl w:val="0"/>
          <w:numId w:val="1"/>
        </w:numPr>
      </w:pPr>
      <w:r>
        <w:t>S</w:t>
      </w:r>
      <w:r w:rsidR="009504AB">
        <w:t>imulation run time</w:t>
      </w:r>
      <w:r w:rsidR="008141D7">
        <w:t xml:space="preserve"> (&lt;</w:t>
      </w:r>
      <w:r w:rsidR="005E58CA">
        <w:t xml:space="preserve"> 3</w:t>
      </w:r>
      <w:r w:rsidR="008141D7">
        <w:t xml:space="preserve"> </w:t>
      </w:r>
      <w:r w:rsidR="005E58CA">
        <w:t>min per rebalance</w:t>
      </w:r>
      <w:r w:rsidR="00731529">
        <w:t xml:space="preserve"> date</w:t>
      </w:r>
      <w:r>
        <w:t xml:space="preserve">, on a </w:t>
      </w:r>
      <w:r w:rsidR="007A31C7">
        <w:t xml:space="preserve">standard </w:t>
      </w:r>
      <w:r>
        <w:t>8 core machine</w:t>
      </w:r>
      <w:r w:rsidR="005E58CA">
        <w:t>)</w:t>
      </w:r>
    </w:p>
    <w:p w14:paraId="3BF2EC4B" w14:textId="77777777" w:rsidR="009504AB" w:rsidRDefault="009504AB" w:rsidP="009504AB">
      <w:pPr>
        <w:pStyle w:val="a3"/>
        <w:numPr>
          <w:ilvl w:val="0"/>
          <w:numId w:val="1"/>
        </w:numPr>
      </w:pPr>
      <w:r>
        <w:t>Turnover</w:t>
      </w:r>
    </w:p>
    <w:p w14:paraId="715FC585" w14:textId="77777777" w:rsidR="009504AB" w:rsidRDefault="009504AB" w:rsidP="009504AB">
      <w:pPr>
        <w:pStyle w:val="a3"/>
        <w:numPr>
          <w:ilvl w:val="0"/>
          <w:numId w:val="1"/>
        </w:numPr>
      </w:pPr>
      <w:r>
        <w:t xml:space="preserve">Elegance and </w:t>
      </w:r>
      <w:proofErr w:type="spellStart"/>
      <w:r>
        <w:t>implementability</w:t>
      </w:r>
      <w:proofErr w:type="spellEnd"/>
      <w:r>
        <w:t xml:space="preserve"> of solution and framework</w:t>
      </w:r>
    </w:p>
    <w:p w14:paraId="02297C13" w14:textId="77777777" w:rsidR="009504AB" w:rsidRDefault="009504AB" w:rsidP="009504AB"/>
    <w:p w14:paraId="0C89A904" w14:textId="77777777" w:rsidR="009504AB" w:rsidRDefault="009504AB" w:rsidP="009504AB"/>
    <w:p w14:paraId="1825B634" w14:textId="77777777" w:rsidR="009504AB" w:rsidRPr="00AD308A" w:rsidRDefault="00FD66A1" w:rsidP="009504AB">
      <w:pPr>
        <w:rPr>
          <w:b/>
          <w:color w:val="FF0000"/>
          <w:sz w:val="28"/>
          <w:szCs w:val="28"/>
        </w:rPr>
      </w:pPr>
      <w:r w:rsidRPr="00AD308A">
        <w:rPr>
          <w:b/>
          <w:color w:val="FF0000"/>
          <w:sz w:val="28"/>
          <w:szCs w:val="28"/>
        </w:rPr>
        <w:t>8) Submission</w:t>
      </w:r>
    </w:p>
    <w:p w14:paraId="79CBB8C0" w14:textId="77777777" w:rsidR="009504AB" w:rsidRDefault="009504AB" w:rsidP="009504AB"/>
    <w:p w14:paraId="789FCBC6" w14:textId="5EA2BB45" w:rsidR="00B5734B" w:rsidRDefault="00B5734B" w:rsidP="00B7164C">
      <w:pPr>
        <w:pStyle w:val="a3"/>
        <w:numPr>
          <w:ilvl w:val="0"/>
          <w:numId w:val="8"/>
        </w:numPr>
        <w:jc w:val="both"/>
      </w:pPr>
      <w:r>
        <w:t>Performance statistics such as</w:t>
      </w:r>
      <w:r w:rsidR="00B7164C">
        <w:t>:</w:t>
      </w:r>
      <w:r>
        <w:t xml:space="preserve"> </w:t>
      </w:r>
      <w:r w:rsidR="008E5036">
        <w:t>Cumulative return for portfolio and benchmark</w:t>
      </w:r>
      <w:r w:rsidR="00200632">
        <w:t xml:space="preserve"> (see equation 17</w:t>
      </w:r>
      <w:r w:rsidR="00FB06A3">
        <w:t>)</w:t>
      </w:r>
      <w:r w:rsidR="008E5036">
        <w:t xml:space="preserve">, </w:t>
      </w:r>
      <w:r w:rsidR="007313F7">
        <w:t>annualized return for portfolio and benchmark (see equation 1</w:t>
      </w:r>
      <w:r w:rsidR="00200632">
        <w:t>8</w:t>
      </w:r>
      <w:r w:rsidR="007313F7">
        <w:t xml:space="preserve">), </w:t>
      </w:r>
      <w:r>
        <w:t xml:space="preserve">annualized excess return for portfolio </w:t>
      </w:r>
      <w:r w:rsidR="00FB06A3">
        <w:t>vs.</w:t>
      </w:r>
      <w:r>
        <w:t xml:space="preserve"> benchmark</w:t>
      </w:r>
      <w:r w:rsidR="00200632">
        <w:t xml:space="preserve"> (see equation 19</w:t>
      </w:r>
      <w:r w:rsidR="00FB06A3">
        <w:t>)</w:t>
      </w:r>
      <w:r w:rsidR="003C3244">
        <w:t xml:space="preserve"> where n = </w:t>
      </w:r>
      <w:r w:rsidR="00DC010F">
        <w:t xml:space="preserve">total number of </w:t>
      </w:r>
      <w:r w:rsidR="006A3F0B">
        <w:t>rebalances</w:t>
      </w:r>
      <w:r w:rsidR="00332E15">
        <w:t xml:space="preserve"> and 13 the number of rebalances per year</w:t>
      </w:r>
      <w:r>
        <w:t>, annualized tracking error</w:t>
      </w:r>
      <w:r w:rsidR="00FB06A3">
        <w:t xml:space="preserve"> (see equation </w:t>
      </w:r>
      <w:r w:rsidR="00200632">
        <w:t>20</w:t>
      </w:r>
      <w:r w:rsidR="00FB06A3">
        <w:t>)</w:t>
      </w:r>
      <w:r>
        <w:t>, Sharpe ratios</w:t>
      </w:r>
      <w:r w:rsidR="00B7164C">
        <w:t xml:space="preserve"> </w:t>
      </w:r>
      <w:r>
        <w:t>for portfolio</w:t>
      </w:r>
      <w:r w:rsidR="003C3244">
        <w:t xml:space="preserve"> and benchmark</w:t>
      </w:r>
      <w:r w:rsidR="00B7164C">
        <w:t xml:space="preserve"> (see equation </w:t>
      </w:r>
      <w:r w:rsidR="00FB06A3">
        <w:t>2</w:t>
      </w:r>
      <w:r w:rsidR="00200632">
        <w:t>1</w:t>
      </w:r>
      <w:r w:rsidR="00B7164C">
        <w:t>)</w:t>
      </w:r>
      <w:r w:rsidR="003C3244">
        <w:t xml:space="preserve"> </w:t>
      </w:r>
      <w:r w:rsidR="003C3244">
        <w:lastRenderedPageBreak/>
        <w:t>and</w:t>
      </w:r>
      <w:r>
        <w:t xml:space="preserve"> information ratio</w:t>
      </w:r>
      <w:r w:rsidR="00B7164C">
        <w:t xml:space="preserve"> (</w:t>
      </w:r>
      <w:r>
        <w:t>see equation 1</w:t>
      </w:r>
      <w:r w:rsidR="00200632">
        <w:t>6</w:t>
      </w:r>
      <w:r w:rsidR="00B7164C">
        <w:t>)</w:t>
      </w:r>
      <w:r>
        <w:t>. Performance numbers must be calculated using transaction cost adjusted returns</w:t>
      </w:r>
      <w:r w:rsidR="007313F7">
        <w:t xml:space="preserve"> (see equation 1</w:t>
      </w:r>
      <w:r w:rsidR="00200632">
        <w:t>5</w:t>
      </w:r>
      <w:r w:rsidR="007313F7">
        <w:t>)</w:t>
      </w:r>
      <w:r>
        <w:t xml:space="preserve">. Feel free to include additional output metrics you consider valuable. </w:t>
      </w:r>
    </w:p>
    <w:p w14:paraId="1A966976" w14:textId="77777777" w:rsidR="008D09A4" w:rsidRDefault="008D09A4" w:rsidP="00F63451">
      <w:pPr>
        <w:jc w:val="both"/>
      </w:pPr>
    </w:p>
    <w:p w14:paraId="22EF4448" w14:textId="77777777" w:rsidR="00F63451" w:rsidRDefault="00F63451" w:rsidP="00F63451">
      <w:pPr>
        <w:jc w:val="both"/>
      </w:pPr>
    </w:p>
    <w:p w14:paraId="501B3D52" w14:textId="77777777" w:rsidR="00F63451" w:rsidRDefault="00F63451" w:rsidP="00F63451">
      <w:pPr>
        <w:jc w:val="both"/>
      </w:pPr>
    </w:p>
    <w:p w14:paraId="400C5159" w14:textId="77777777" w:rsidR="00F63451" w:rsidRDefault="00F63451" w:rsidP="00F63451">
      <w:pPr>
        <w:jc w:val="both"/>
      </w:pPr>
    </w:p>
    <w:p w14:paraId="3399A604" w14:textId="77777777" w:rsidR="00F63451" w:rsidRDefault="00F63451" w:rsidP="00F63451">
      <w:pPr>
        <w:jc w:val="both"/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666"/>
        <w:gridCol w:w="4295"/>
        <w:gridCol w:w="666"/>
      </w:tblGrid>
      <w:tr w:rsidR="00074781" w14:paraId="1E563707" w14:textId="77777777" w:rsidTr="00332E15">
        <w:trPr>
          <w:jc w:val="center"/>
        </w:trPr>
        <w:tc>
          <w:tcPr>
            <w:tcW w:w="4390" w:type="dxa"/>
            <w:vAlign w:val="center"/>
          </w:tcPr>
          <w:p w14:paraId="5872D6B6" w14:textId="05237370" w:rsidR="008D09A4" w:rsidRDefault="00D36F33" w:rsidP="00F634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cumul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nary>
              </m:oMath>
            </m:oMathPara>
          </w:p>
        </w:tc>
        <w:tc>
          <w:tcPr>
            <w:tcW w:w="474" w:type="dxa"/>
            <w:vAlign w:val="center"/>
          </w:tcPr>
          <w:p w14:paraId="48A3F4BC" w14:textId="45EBF612" w:rsidR="008D09A4" w:rsidRDefault="008D09A4" w:rsidP="00200632">
            <w:pPr>
              <w:jc w:val="center"/>
            </w:pPr>
            <w:r>
              <w:t>(1</w:t>
            </w:r>
            <w:r w:rsidR="00200632">
              <w:t>7</w:t>
            </w:r>
            <w:r>
              <w:t>)</w:t>
            </w:r>
          </w:p>
        </w:tc>
        <w:tc>
          <w:tcPr>
            <w:tcW w:w="4345" w:type="dxa"/>
            <w:vAlign w:val="center"/>
          </w:tcPr>
          <w:p w14:paraId="54F0AA5C" w14:textId="683BF2B2" w:rsidR="008D09A4" w:rsidRDefault="00D36F33" w:rsidP="00F634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anual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cumul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21" w:type="dxa"/>
            <w:vAlign w:val="center"/>
          </w:tcPr>
          <w:p w14:paraId="2FC47200" w14:textId="611577CF" w:rsidR="008D09A4" w:rsidRDefault="008D09A4" w:rsidP="00200632">
            <w:pPr>
              <w:jc w:val="center"/>
            </w:pPr>
            <w:r>
              <w:t>(1</w:t>
            </w:r>
            <w:r w:rsidR="00200632">
              <w:t>8</w:t>
            </w:r>
            <w:r>
              <w:t>)</w:t>
            </w:r>
          </w:p>
        </w:tc>
      </w:tr>
    </w:tbl>
    <w:p w14:paraId="613C0B6C" w14:textId="77777777" w:rsidR="008D09A4" w:rsidRDefault="008D09A4" w:rsidP="00F63451">
      <w:pPr>
        <w:jc w:val="both"/>
      </w:pPr>
    </w:p>
    <w:p w14:paraId="7F9C40B9" w14:textId="77777777" w:rsidR="002F4641" w:rsidRDefault="002F4641" w:rsidP="00F63451">
      <w:pPr>
        <w:jc w:val="both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6977"/>
        <w:gridCol w:w="769"/>
        <w:gridCol w:w="769"/>
      </w:tblGrid>
      <w:tr w:rsidR="001E4F94" w14:paraId="544D3A5A" w14:textId="77777777" w:rsidTr="0088320B">
        <w:trPr>
          <w:jc w:val="center"/>
        </w:trPr>
        <w:tc>
          <w:tcPr>
            <w:tcW w:w="724" w:type="pct"/>
            <w:vAlign w:val="center"/>
          </w:tcPr>
          <w:p w14:paraId="66977BD6" w14:textId="77777777" w:rsidR="001E4F94" w:rsidRDefault="001E4F94" w:rsidP="0088320B">
            <w:pPr>
              <w:spacing w:before="120"/>
              <w:jc w:val="center"/>
            </w:pPr>
          </w:p>
        </w:tc>
        <w:tc>
          <w:tcPr>
            <w:tcW w:w="3504" w:type="pct"/>
            <w:vAlign w:val="center"/>
          </w:tcPr>
          <w:p w14:paraId="5C76A12C" w14:textId="791E03E6" w:rsidR="001E4F94" w:rsidRPr="007C7040" w:rsidRDefault="00D36F33">
            <w:pPr>
              <w:spacing w:before="120" w:line="360" w:lineRule="auto"/>
              <w:jc w:val="center"/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excess, anual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anual,  portfolio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anual,benchmark</m:t>
                    </m:r>
                  </m:sub>
                </m:sSub>
              </m:oMath>
            </m:oMathPara>
          </w:p>
        </w:tc>
        <w:tc>
          <w:tcPr>
            <w:tcW w:w="386" w:type="pct"/>
          </w:tcPr>
          <w:p w14:paraId="4E120C6B" w14:textId="77777777" w:rsidR="001E4F94" w:rsidRDefault="001E4F94" w:rsidP="0088320B">
            <w:pPr>
              <w:spacing w:before="120"/>
              <w:jc w:val="center"/>
            </w:pPr>
          </w:p>
        </w:tc>
        <w:tc>
          <w:tcPr>
            <w:tcW w:w="386" w:type="pct"/>
            <w:vAlign w:val="center"/>
          </w:tcPr>
          <w:p w14:paraId="2573533E" w14:textId="5AB66D51" w:rsidR="001E4F94" w:rsidRDefault="001E4F94" w:rsidP="00200632">
            <w:pPr>
              <w:spacing w:before="120"/>
              <w:jc w:val="center"/>
            </w:pPr>
            <w:r>
              <w:t>(1</w:t>
            </w:r>
            <w:r w:rsidR="00200632">
              <w:t>9</w:t>
            </w:r>
            <w:r>
              <w:t>)</w:t>
            </w:r>
          </w:p>
        </w:tc>
      </w:tr>
    </w:tbl>
    <w:p w14:paraId="16EB93F2" w14:textId="77777777" w:rsidR="001E4F94" w:rsidRDefault="001E4F94" w:rsidP="00F63451">
      <w:pPr>
        <w:jc w:val="both"/>
      </w:pPr>
    </w:p>
    <w:p w14:paraId="45E90181" w14:textId="77777777" w:rsidR="001E4F94" w:rsidRDefault="001E4F94" w:rsidP="00F63451">
      <w:pPr>
        <w:jc w:val="both"/>
        <w:rPr>
          <w:rFonts w:hint="eastAsia"/>
          <w:lang w:eastAsia="ko-KR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666"/>
        <w:gridCol w:w="4295"/>
        <w:gridCol w:w="666"/>
      </w:tblGrid>
      <w:tr w:rsidR="00332E15" w14:paraId="2F1ECD17" w14:textId="77777777" w:rsidTr="00332E15">
        <w:trPr>
          <w:jc w:val="center"/>
        </w:trPr>
        <w:tc>
          <w:tcPr>
            <w:tcW w:w="4390" w:type="dxa"/>
            <w:vAlign w:val="center"/>
          </w:tcPr>
          <w:p w14:paraId="0FC55717" w14:textId="26D28368" w:rsidR="002F4641" w:rsidRDefault="002F4641" w:rsidP="00F634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TE=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  <m:r>
                  <w:rPr>
                    <w:rFonts w:ascii="Cambria Math" w:hAnsi="Cambria Math"/>
                  </w:rPr>
                  <m:t>* std(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Txadj 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bench 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4" w:type="dxa"/>
            <w:vAlign w:val="center"/>
          </w:tcPr>
          <w:p w14:paraId="20AAD48A" w14:textId="39349B98" w:rsidR="002F4641" w:rsidRDefault="002F4641" w:rsidP="00200632">
            <w:pPr>
              <w:jc w:val="center"/>
            </w:pPr>
            <w:r>
              <w:t>(</w:t>
            </w:r>
            <w:r w:rsidR="00200632">
              <w:t>20</w:t>
            </w:r>
            <w:r>
              <w:t>)</w:t>
            </w:r>
          </w:p>
        </w:tc>
        <w:tc>
          <w:tcPr>
            <w:tcW w:w="4345" w:type="dxa"/>
            <w:vAlign w:val="center"/>
          </w:tcPr>
          <w:p w14:paraId="54A87B09" w14:textId="1D8A7D5E" w:rsidR="002F4641" w:rsidRDefault="002F464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SR=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std(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21" w:type="dxa"/>
            <w:vAlign w:val="center"/>
          </w:tcPr>
          <w:p w14:paraId="5E84FE5B" w14:textId="22C94D7B" w:rsidR="002F4641" w:rsidRDefault="002F4641" w:rsidP="00200632">
            <w:pPr>
              <w:jc w:val="center"/>
            </w:pPr>
            <w:r>
              <w:t>(2</w:t>
            </w:r>
            <w:r w:rsidR="00200632">
              <w:t>1</w:t>
            </w:r>
            <w:r>
              <w:t>)</w:t>
            </w:r>
          </w:p>
        </w:tc>
      </w:tr>
    </w:tbl>
    <w:p w14:paraId="578F18DB" w14:textId="77777777" w:rsidR="008D09A4" w:rsidRDefault="008D09A4" w:rsidP="00F63451">
      <w:pPr>
        <w:jc w:val="both"/>
      </w:pPr>
    </w:p>
    <w:p w14:paraId="0C2BF98C" w14:textId="77777777" w:rsidR="00B5734B" w:rsidRDefault="00B5734B" w:rsidP="007619C9">
      <w:pPr>
        <w:pStyle w:val="a3"/>
        <w:jc w:val="both"/>
      </w:pPr>
    </w:p>
    <w:p w14:paraId="386A8954" w14:textId="77777777" w:rsidR="000617DE" w:rsidRDefault="000617DE" w:rsidP="007619C9">
      <w:pPr>
        <w:pStyle w:val="a3"/>
        <w:jc w:val="both"/>
      </w:pPr>
    </w:p>
    <w:p w14:paraId="7DBC0C05" w14:textId="77777777" w:rsidR="009504AB" w:rsidRDefault="009504AB" w:rsidP="00836D49">
      <w:pPr>
        <w:pStyle w:val="a3"/>
        <w:numPr>
          <w:ilvl w:val="0"/>
          <w:numId w:val="8"/>
        </w:numPr>
        <w:jc w:val="both"/>
      </w:pPr>
      <w:r>
        <w:t>Portfolio rebalance output data:</w:t>
      </w:r>
    </w:p>
    <w:p w14:paraId="3226296F" w14:textId="77777777" w:rsidR="009504AB" w:rsidRDefault="009504AB" w:rsidP="00836D49">
      <w:pPr>
        <w:pStyle w:val="a3"/>
        <w:numPr>
          <w:ilvl w:val="1"/>
          <w:numId w:val="8"/>
        </w:numPr>
        <w:jc w:val="both"/>
      </w:pPr>
      <w:r>
        <w:t>Date of rebalance</w:t>
      </w:r>
    </w:p>
    <w:p w14:paraId="7D10467C" w14:textId="77777777" w:rsidR="009504AB" w:rsidRDefault="009504AB" w:rsidP="00836D49">
      <w:pPr>
        <w:pStyle w:val="a3"/>
        <w:numPr>
          <w:ilvl w:val="1"/>
          <w:numId w:val="8"/>
        </w:numPr>
        <w:jc w:val="both"/>
      </w:pPr>
      <w:r>
        <w:t>SEDOLs selected</w:t>
      </w:r>
    </w:p>
    <w:p w14:paraId="746D07F8" w14:textId="27115098" w:rsidR="009504AB" w:rsidRDefault="009504AB" w:rsidP="00836D49">
      <w:pPr>
        <w:pStyle w:val="a3"/>
        <w:numPr>
          <w:ilvl w:val="1"/>
          <w:numId w:val="8"/>
        </w:numPr>
        <w:jc w:val="both"/>
      </w:pPr>
      <w:r>
        <w:t>Associated weights for each SEDOL</w:t>
      </w:r>
    </w:p>
    <w:p w14:paraId="2816C07E" w14:textId="77777777" w:rsidR="009504AB" w:rsidRDefault="009504AB" w:rsidP="00836D49">
      <w:pPr>
        <w:pStyle w:val="a3"/>
        <w:numPr>
          <w:ilvl w:val="0"/>
          <w:numId w:val="8"/>
        </w:numPr>
        <w:jc w:val="both"/>
      </w:pPr>
      <w:r>
        <w:t>Complete codebase to run the simulation</w:t>
      </w:r>
    </w:p>
    <w:p w14:paraId="0BE36D4E" w14:textId="77777777" w:rsidR="009504AB" w:rsidRDefault="009504AB" w:rsidP="00836D49">
      <w:pPr>
        <w:pStyle w:val="a3"/>
        <w:numPr>
          <w:ilvl w:val="0"/>
          <w:numId w:val="8"/>
        </w:numPr>
        <w:jc w:val="both"/>
      </w:pPr>
      <w:r>
        <w:t>Documentation, includ</w:t>
      </w:r>
      <w:r w:rsidR="00731529">
        <w:t>ing</w:t>
      </w:r>
      <w:r>
        <w:t xml:space="preserve"> details on any libraries or commercial packages used</w:t>
      </w:r>
    </w:p>
    <w:p w14:paraId="006A27EA" w14:textId="2C46D877" w:rsidR="00B5734B" w:rsidRDefault="00B5734B" w:rsidP="00B5734B">
      <w:pPr>
        <w:pStyle w:val="a3"/>
        <w:numPr>
          <w:ilvl w:val="0"/>
          <w:numId w:val="8"/>
        </w:numPr>
        <w:jc w:val="both"/>
      </w:pPr>
      <w:r>
        <w:t>Specify any additional techniques used, e.g. parallel processing (no distributed computing)</w:t>
      </w:r>
    </w:p>
    <w:p w14:paraId="6A342270" w14:textId="5E4D9AE1" w:rsidR="00B5734B" w:rsidRDefault="00B5734B" w:rsidP="00B5734B">
      <w:pPr>
        <w:pStyle w:val="a3"/>
        <w:numPr>
          <w:ilvl w:val="0"/>
          <w:numId w:val="8"/>
        </w:numPr>
        <w:jc w:val="both"/>
      </w:pPr>
      <w:r>
        <w:t xml:space="preserve">A template will be provided </w:t>
      </w:r>
      <w:r w:rsidR="00596C32">
        <w:t xml:space="preserve">that will determine the format for </w:t>
      </w:r>
      <w:r w:rsidR="00045796">
        <w:t xml:space="preserve">submitting </w:t>
      </w:r>
      <w:r>
        <w:t xml:space="preserve">your results. </w:t>
      </w:r>
    </w:p>
    <w:p w14:paraId="224D8307" w14:textId="5257CA0F" w:rsidR="009504AB" w:rsidRDefault="007313F7" w:rsidP="00F63451">
      <w:pPr>
        <w:ind w:left="708"/>
        <w:jc w:val="both"/>
      </w:pPr>
      <w:r>
        <w:t>Included in the results template is the ‘FOUR_WEEKLY_RETURN’ data, which can only be used to calculate the performance statistics.</w:t>
      </w:r>
    </w:p>
    <w:p w14:paraId="12A876F1" w14:textId="77777777" w:rsidR="009504AB" w:rsidRDefault="009504AB" w:rsidP="00836D49">
      <w:pPr>
        <w:jc w:val="both"/>
        <w:rPr>
          <w:u w:val="single"/>
        </w:rPr>
      </w:pPr>
    </w:p>
    <w:p w14:paraId="63E7B565" w14:textId="77777777" w:rsidR="00F3701A" w:rsidRDefault="00F3701A" w:rsidP="00836D49">
      <w:pPr>
        <w:jc w:val="both"/>
        <w:rPr>
          <w:u w:val="single"/>
        </w:rPr>
      </w:pPr>
    </w:p>
    <w:p w14:paraId="4B26C639" w14:textId="77777777" w:rsidR="00F3701A" w:rsidRDefault="00F3701A" w:rsidP="00836D49">
      <w:pPr>
        <w:jc w:val="both"/>
        <w:rPr>
          <w:u w:val="single"/>
        </w:rPr>
      </w:pPr>
    </w:p>
    <w:p w14:paraId="298F4D14" w14:textId="77777777" w:rsidR="009504AB" w:rsidRDefault="009504AB" w:rsidP="00836D49">
      <w:pPr>
        <w:jc w:val="both"/>
      </w:pPr>
      <w:r w:rsidRPr="0037207F">
        <w:rPr>
          <w:u w:val="single"/>
        </w:rPr>
        <w:t>Highly Recommended</w:t>
      </w:r>
      <w:r>
        <w:t>:</w:t>
      </w:r>
    </w:p>
    <w:p w14:paraId="2DC815BE" w14:textId="77777777" w:rsidR="000F51BC" w:rsidRDefault="009504AB" w:rsidP="00836D49">
      <w:pPr>
        <w:jc w:val="both"/>
      </w:pPr>
      <w:r w:rsidRPr="00123790">
        <w:t xml:space="preserve">Attention has to be paid </w:t>
      </w:r>
      <w:r w:rsidR="00731529">
        <w:t xml:space="preserve">to </w:t>
      </w:r>
      <w:r w:rsidRPr="00123790">
        <w:t xml:space="preserve">whether all constraints will be implementable in the chosen framework, non-traditional implementations might be necessary, i.e. non-convex. </w:t>
      </w:r>
      <w:r w:rsidR="0058142D" w:rsidRPr="00123790">
        <w:t>Furthermore,</w:t>
      </w:r>
      <w:r w:rsidRPr="00123790">
        <w:t xml:space="preserve"> t</w:t>
      </w:r>
      <w:r>
        <w:t>he project will involve a large</w:t>
      </w:r>
      <w:r w:rsidRPr="00123790">
        <w:t xml:space="preserve"> data</w:t>
      </w:r>
      <w:r>
        <w:t xml:space="preserve"> set</w:t>
      </w:r>
      <w:r w:rsidRPr="00123790">
        <w:t>, therefore a programming framework should be chosen that can handle large amounts of data points.</w:t>
      </w:r>
      <w:r>
        <w:t xml:space="preserve">  </w:t>
      </w:r>
      <w:r w:rsidR="00836D49">
        <w:t xml:space="preserve">It is also highly recommended to try different </w:t>
      </w:r>
      <m:oMath>
        <m:r>
          <w:rPr>
            <w:rFonts w:ascii="Cambria Math" w:hAnsi="Cambria Math"/>
          </w:rPr>
          <m:t>λ</m:t>
        </m:r>
      </m:oMath>
      <w:r w:rsidR="00836D49">
        <w:t xml:space="preserve"> values in your objective functions to get a feeling for how much your risk levels scale to achieve higher returns. </w:t>
      </w:r>
      <w:r w:rsidR="00F3701A">
        <w:t>If you find your</w:t>
      </w:r>
      <w:r w:rsidR="005D1240">
        <w:t xml:space="preserve">self in a situation where your </w:t>
      </w:r>
      <w:r w:rsidR="00F3701A">
        <w:t xml:space="preserve">trading </w:t>
      </w:r>
    </w:p>
    <w:p w14:paraId="6BA0A8E0" w14:textId="77777777" w:rsidR="000F51BC" w:rsidRDefault="000F51BC">
      <w:r>
        <w:br w:type="page"/>
      </w:r>
    </w:p>
    <w:p w14:paraId="798CBFF8" w14:textId="6FF6D6F0" w:rsidR="009504AB" w:rsidRDefault="00F3701A" w:rsidP="00836D49">
      <w:pPr>
        <w:jc w:val="both"/>
      </w:pPr>
      <w:r>
        <w:lastRenderedPageBreak/>
        <w:t>costs/ turnover gets too high</w:t>
      </w:r>
      <w:r w:rsidR="005D1240">
        <w:t>,</w:t>
      </w:r>
      <w:r>
        <w:t xml:space="preserve"> consider implementing a constraint based on equation 1</w:t>
      </w:r>
      <w:r w:rsidR="00200632">
        <w:t>3</w:t>
      </w:r>
      <w:r>
        <w:t>, to limit your turnover to a certain threshold.</w:t>
      </w:r>
      <w:r w:rsidR="001277B1">
        <w:t xml:space="preserve"> In case you encounter any data issues, i.e. missing entries, replace them with dummy entries, in case of the covariance matrix, set 0 for the off-diagonal and 0.5 for the diagonal elements.</w:t>
      </w:r>
    </w:p>
    <w:p w14:paraId="27AD86C7" w14:textId="77777777" w:rsidR="009504AB" w:rsidRDefault="009504AB" w:rsidP="00836D49">
      <w:pPr>
        <w:jc w:val="both"/>
      </w:pPr>
    </w:p>
    <w:p w14:paraId="241F18B8" w14:textId="77777777" w:rsidR="00200632" w:rsidRDefault="00200632" w:rsidP="00836D49">
      <w:pPr>
        <w:jc w:val="both"/>
      </w:pPr>
    </w:p>
    <w:p w14:paraId="47185988" w14:textId="77777777" w:rsidR="009504AB" w:rsidRDefault="009504AB" w:rsidP="00836D49">
      <w:pPr>
        <w:jc w:val="both"/>
      </w:pPr>
      <w:r w:rsidRPr="001F39ED">
        <w:rPr>
          <w:u w:val="single"/>
        </w:rPr>
        <w:t>Bonus Question</w:t>
      </w:r>
      <w:r>
        <w:t>:</w:t>
      </w:r>
    </w:p>
    <w:p w14:paraId="19A91C72" w14:textId="4058A92C" w:rsidR="000D6E0D" w:rsidRDefault="009504AB" w:rsidP="00CD58B7">
      <w:pPr>
        <w:jc w:val="both"/>
      </w:pPr>
      <w:r>
        <w:t xml:space="preserve">In the previous discussion,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have been assumed to be deterministic. In </w:t>
      </w:r>
      <w:r w:rsidR="0058142D">
        <w:t>reality,</w:t>
      </w:r>
      <w:r>
        <w:t xml:space="preserve"> they are estimates. How would you handle them if </w:t>
      </w:r>
      <w:r w:rsidR="00731529">
        <w:t>they are</w:t>
      </w:r>
      <w:r>
        <w:t xml:space="preserve"> treated </w:t>
      </w:r>
      <w:r w:rsidR="00731529">
        <w:t xml:space="preserve">as </w:t>
      </w:r>
      <w:r>
        <w:t>stochastic variables and reflect the uncertainty in the estimates?</w:t>
      </w:r>
    </w:p>
    <w:sectPr w:rsidR="000D6E0D" w:rsidSect="007B72D3"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D064E" w14:textId="77777777" w:rsidR="00D36F33" w:rsidRDefault="00D36F33" w:rsidP="001F39ED">
      <w:r>
        <w:separator/>
      </w:r>
    </w:p>
  </w:endnote>
  <w:endnote w:type="continuationSeparator" w:id="0">
    <w:p w14:paraId="10B80BB7" w14:textId="77777777" w:rsidR="00D36F33" w:rsidRDefault="00D36F33" w:rsidP="001F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038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68EE2" w14:textId="66690B8D" w:rsidR="008C7406" w:rsidRDefault="008C7406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8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B466F7" w14:textId="77777777" w:rsidR="008C7406" w:rsidRDefault="008C7406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618BD" w14:textId="77777777" w:rsidR="00D36F33" w:rsidRDefault="00D36F33" w:rsidP="001F39ED">
      <w:r>
        <w:separator/>
      </w:r>
    </w:p>
  </w:footnote>
  <w:footnote w:type="continuationSeparator" w:id="0">
    <w:p w14:paraId="6070F01B" w14:textId="77777777" w:rsidR="00D36F33" w:rsidRDefault="00D36F33" w:rsidP="001F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6A34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A800FF"/>
    <w:multiLevelType w:val="hybridMultilevel"/>
    <w:tmpl w:val="E5DC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A678E"/>
    <w:multiLevelType w:val="hybridMultilevel"/>
    <w:tmpl w:val="08EA5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761EA"/>
    <w:multiLevelType w:val="hybridMultilevel"/>
    <w:tmpl w:val="2654CC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834C8"/>
    <w:multiLevelType w:val="hybridMultilevel"/>
    <w:tmpl w:val="11983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C1EAA"/>
    <w:multiLevelType w:val="hybridMultilevel"/>
    <w:tmpl w:val="DD0CB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824D5"/>
    <w:multiLevelType w:val="hybridMultilevel"/>
    <w:tmpl w:val="313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C3A6C"/>
    <w:multiLevelType w:val="hybridMultilevel"/>
    <w:tmpl w:val="13064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6266DE"/>
    <w:multiLevelType w:val="hybridMultilevel"/>
    <w:tmpl w:val="25EC5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474BC"/>
    <w:multiLevelType w:val="hybridMultilevel"/>
    <w:tmpl w:val="3438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51435"/>
    <w:multiLevelType w:val="hybridMultilevel"/>
    <w:tmpl w:val="B0D08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320510"/>
    <w:multiLevelType w:val="hybridMultilevel"/>
    <w:tmpl w:val="E306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7E"/>
    <w:rsid w:val="000116EE"/>
    <w:rsid w:val="00013405"/>
    <w:rsid w:val="00022F70"/>
    <w:rsid w:val="0003058D"/>
    <w:rsid w:val="00042B98"/>
    <w:rsid w:val="00045796"/>
    <w:rsid w:val="00061397"/>
    <w:rsid w:val="000617DE"/>
    <w:rsid w:val="00074781"/>
    <w:rsid w:val="00077600"/>
    <w:rsid w:val="000921D6"/>
    <w:rsid w:val="000953F0"/>
    <w:rsid w:val="00095B58"/>
    <w:rsid w:val="000A5F11"/>
    <w:rsid w:val="000A7750"/>
    <w:rsid w:val="000C51E1"/>
    <w:rsid w:val="000D3924"/>
    <w:rsid w:val="000D6E0D"/>
    <w:rsid w:val="000E1A4A"/>
    <w:rsid w:val="000E1D38"/>
    <w:rsid w:val="000E2A7B"/>
    <w:rsid w:val="000E582E"/>
    <w:rsid w:val="000F51BC"/>
    <w:rsid w:val="00103B94"/>
    <w:rsid w:val="00110AC7"/>
    <w:rsid w:val="0011295D"/>
    <w:rsid w:val="0011576E"/>
    <w:rsid w:val="001207A2"/>
    <w:rsid w:val="00122558"/>
    <w:rsid w:val="00123790"/>
    <w:rsid w:val="001257FA"/>
    <w:rsid w:val="001277B1"/>
    <w:rsid w:val="00140A4F"/>
    <w:rsid w:val="001414EC"/>
    <w:rsid w:val="00145060"/>
    <w:rsid w:val="0014796B"/>
    <w:rsid w:val="00151D9C"/>
    <w:rsid w:val="00155FB5"/>
    <w:rsid w:val="00157895"/>
    <w:rsid w:val="00171F79"/>
    <w:rsid w:val="00177941"/>
    <w:rsid w:val="001845B7"/>
    <w:rsid w:val="001A5DD9"/>
    <w:rsid w:val="001D2EE0"/>
    <w:rsid w:val="001E2BD0"/>
    <w:rsid w:val="001E4F94"/>
    <w:rsid w:val="001F39ED"/>
    <w:rsid w:val="00200632"/>
    <w:rsid w:val="002113F3"/>
    <w:rsid w:val="00234306"/>
    <w:rsid w:val="0024005B"/>
    <w:rsid w:val="00243602"/>
    <w:rsid w:val="00244153"/>
    <w:rsid w:val="0024704D"/>
    <w:rsid w:val="00250D99"/>
    <w:rsid w:val="00252D74"/>
    <w:rsid w:val="002541D7"/>
    <w:rsid w:val="00260E89"/>
    <w:rsid w:val="002629FD"/>
    <w:rsid w:val="00264495"/>
    <w:rsid w:val="002744E4"/>
    <w:rsid w:val="00280B6F"/>
    <w:rsid w:val="00283C3F"/>
    <w:rsid w:val="00283F9B"/>
    <w:rsid w:val="00287E79"/>
    <w:rsid w:val="0029635D"/>
    <w:rsid w:val="002A0B27"/>
    <w:rsid w:val="002A0FF3"/>
    <w:rsid w:val="002C1AE2"/>
    <w:rsid w:val="002C4286"/>
    <w:rsid w:val="002D36F2"/>
    <w:rsid w:val="002E571A"/>
    <w:rsid w:val="002F4641"/>
    <w:rsid w:val="0030388A"/>
    <w:rsid w:val="00312940"/>
    <w:rsid w:val="00314341"/>
    <w:rsid w:val="00321A13"/>
    <w:rsid w:val="00321AC0"/>
    <w:rsid w:val="00327AC7"/>
    <w:rsid w:val="00332E15"/>
    <w:rsid w:val="003412AA"/>
    <w:rsid w:val="003572EF"/>
    <w:rsid w:val="00363C68"/>
    <w:rsid w:val="00367B3A"/>
    <w:rsid w:val="0037207F"/>
    <w:rsid w:val="00380656"/>
    <w:rsid w:val="00382170"/>
    <w:rsid w:val="003840BC"/>
    <w:rsid w:val="00386C87"/>
    <w:rsid w:val="00394BAD"/>
    <w:rsid w:val="003958E4"/>
    <w:rsid w:val="003B021E"/>
    <w:rsid w:val="003B0490"/>
    <w:rsid w:val="003B0F85"/>
    <w:rsid w:val="003B12D4"/>
    <w:rsid w:val="003B489E"/>
    <w:rsid w:val="003C0BA1"/>
    <w:rsid w:val="003C1BB0"/>
    <w:rsid w:val="003C1E74"/>
    <w:rsid w:val="003C3244"/>
    <w:rsid w:val="003D24B9"/>
    <w:rsid w:val="00400847"/>
    <w:rsid w:val="00403F99"/>
    <w:rsid w:val="004058F7"/>
    <w:rsid w:val="004059FC"/>
    <w:rsid w:val="00406B28"/>
    <w:rsid w:val="0041229E"/>
    <w:rsid w:val="004171B9"/>
    <w:rsid w:val="00421702"/>
    <w:rsid w:val="00424D23"/>
    <w:rsid w:val="004304DB"/>
    <w:rsid w:val="00432996"/>
    <w:rsid w:val="00450D8D"/>
    <w:rsid w:val="0045354B"/>
    <w:rsid w:val="00462DF7"/>
    <w:rsid w:val="004654BA"/>
    <w:rsid w:val="004727FE"/>
    <w:rsid w:val="00474C1D"/>
    <w:rsid w:val="0048788C"/>
    <w:rsid w:val="0049115D"/>
    <w:rsid w:val="004951A2"/>
    <w:rsid w:val="00496709"/>
    <w:rsid w:val="004A22F2"/>
    <w:rsid w:val="004A5F52"/>
    <w:rsid w:val="004F455B"/>
    <w:rsid w:val="00525246"/>
    <w:rsid w:val="00526337"/>
    <w:rsid w:val="00531FD2"/>
    <w:rsid w:val="00535643"/>
    <w:rsid w:val="0054135B"/>
    <w:rsid w:val="005417A4"/>
    <w:rsid w:val="00557F34"/>
    <w:rsid w:val="00565DF7"/>
    <w:rsid w:val="005673C7"/>
    <w:rsid w:val="0057021D"/>
    <w:rsid w:val="0058142D"/>
    <w:rsid w:val="0059097E"/>
    <w:rsid w:val="00592187"/>
    <w:rsid w:val="00596C32"/>
    <w:rsid w:val="005A3533"/>
    <w:rsid w:val="005A385C"/>
    <w:rsid w:val="005A3D92"/>
    <w:rsid w:val="005A59C4"/>
    <w:rsid w:val="005B1E9D"/>
    <w:rsid w:val="005C1FA8"/>
    <w:rsid w:val="005D1240"/>
    <w:rsid w:val="005D5A73"/>
    <w:rsid w:val="005E065C"/>
    <w:rsid w:val="005E3EE2"/>
    <w:rsid w:val="005E58CA"/>
    <w:rsid w:val="005E7099"/>
    <w:rsid w:val="005E7291"/>
    <w:rsid w:val="005F1CC7"/>
    <w:rsid w:val="005F2BD5"/>
    <w:rsid w:val="005F3E39"/>
    <w:rsid w:val="00601C77"/>
    <w:rsid w:val="00604DC7"/>
    <w:rsid w:val="00607445"/>
    <w:rsid w:val="00607C1D"/>
    <w:rsid w:val="00614F0C"/>
    <w:rsid w:val="0061784C"/>
    <w:rsid w:val="00625EEF"/>
    <w:rsid w:val="0062776B"/>
    <w:rsid w:val="00631465"/>
    <w:rsid w:val="0063611A"/>
    <w:rsid w:val="006372B7"/>
    <w:rsid w:val="006444C7"/>
    <w:rsid w:val="0064522A"/>
    <w:rsid w:val="00647F0C"/>
    <w:rsid w:val="006541DE"/>
    <w:rsid w:val="00654B88"/>
    <w:rsid w:val="00657ABD"/>
    <w:rsid w:val="00657BC9"/>
    <w:rsid w:val="00657EC2"/>
    <w:rsid w:val="0066163C"/>
    <w:rsid w:val="00661C2C"/>
    <w:rsid w:val="00665D66"/>
    <w:rsid w:val="006705FA"/>
    <w:rsid w:val="00674808"/>
    <w:rsid w:val="00687003"/>
    <w:rsid w:val="00695808"/>
    <w:rsid w:val="006A376F"/>
    <w:rsid w:val="006A3F0B"/>
    <w:rsid w:val="006B07D3"/>
    <w:rsid w:val="006C34C5"/>
    <w:rsid w:val="006C5A25"/>
    <w:rsid w:val="006E20B8"/>
    <w:rsid w:val="006E73B3"/>
    <w:rsid w:val="006F62F9"/>
    <w:rsid w:val="00717D14"/>
    <w:rsid w:val="007313F7"/>
    <w:rsid w:val="00731529"/>
    <w:rsid w:val="00740CC9"/>
    <w:rsid w:val="0075697C"/>
    <w:rsid w:val="00761322"/>
    <w:rsid w:val="007619C9"/>
    <w:rsid w:val="00763DA4"/>
    <w:rsid w:val="007715D2"/>
    <w:rsid w:val="00774A56"/>
    <w:rsid w:val="00783F67"/>
    <w:rsid w:val="00791DB3"/>
    <w:rsid w:val="00793463"/>
    <w:rsid w:val="00797828"/>
    <w:rsid w:val="007A2376"/>
    <w:rsid w:val="007A31C7"/>
    <w:rsid w:val="007A4A6B"/>
    <w:rsid w:val="007B0D9C"/>
    <w:rsid w:val="007B271D"/>
    <w:rsid w:val="007B5D6B"/>
    <w:rsid w:val="007B72D3"/>
    <w:rsid w:val="007B7577"/>
    <w:rsid w:val="007C3E94"/>
    <w:rsid w:val="007C7040"/>
    <w:rsid w:val="007E1895"/>
    <w:rsid w:val="007E2738"/>
    <w:rsid w:val="007E6F07"/>
    <w:rsid w:val="007F0CD0"/>
    <w:rsid w:val="00800784"/>
    <w:rsid w:val="00801415"/>
    <w:rsid w:val="00801AA0"/>
    <w:rsid w:val="008141D7"/>
    <w:rsid w:val="00830EAE"/>
    <w:rsid w:val="00835596"/>
    <w:rsid w:val="00836D49"/>
    <w:rsid w:val="0085758A"/>
    <w:rsid w:val="0086309F"/>
    <w:rsid w:val="0088078C"/>
    <w:rsid w:val="00892724"/>
    <w:rsid w:val="008A5433"/>
    <w:rsid w:val="008B5588"/>
    <w:rsid w:val="008B69CA"/>
    <w:rsid w:val="008B6EDC"/>
    <w:rsid w:val="008C492C"/>
    <w:rsid w:val="008C7406"/>
    <w:rsid w:val="008D09A4"/>
    <w:rsid w:val="008D4261"/>
    <w:rsid w:val="008D7207"/>
    <w:rsid w:val="008D7494"/>
    <w:rsid w:val="008E21E9"/>
    <w:rsid w:val="008E5036"/>
    <w:rsid w:val="008E6379"/>
    <w:rsid w:val="008F37EA"/>
    <w:rsid w:val="009060B6"/>
    <w:rsid w:val="009071F6"/>
    <w:rsid w:val="0091632F"/>
    <w:rsid w:val="00920C7B"/>
    <w:rsid w:val="0092707A"/>
    <w:rsid w:val="0094033D"/>
    <w:rsid w:val="00940F9A"/>
    <w:rsid w:val="00941F73"/>
    <w:rsid w:val="00944041"/>
    <w:rsid w:val="00950162"/>
    <w:rsid w:val="009504AB"/>
    <w:rsid w:val="00957096"/>
    <w:rsid w:val="00963DAB"/>
    <w:rsid w:val="009652F0"/>
    <w:rsid w:val="00965427"/>
    <w:rsid w:val="00967444"/>
    <w:rsid w:val="00970366"/>
    <w:rsid w:val="00971455"/>
    <w:rsid w:val="00977A46"/>
    <w:rsid w:val="00986539"/>
    <w:rsid w:val="0098683A"/>
    <w:rsid w:val="00991848"/>
    <w:rsid w:val="00992167"/>
    <w:rsid w:val="009A0B49"/>
    <w:rsid w:val="009A351A"/>
    <w:rsid w:val="009A747E"/>
    <w:rsid w:val="009D1721"/>
    <w:rsid w:val="009E122D"/>
    <w:rsid w:val="009E2BD8"/>
    <w:rsid w:val="009E3BCB"/>
    <w:rsid w:val="009F0529"/>
    <w:rsid w:val="009F55EE"/>
    <w:rsid w:val="00A169D0"/>
    <w:rsid w:val="00A17401"/>
    <w:rsid w:val="00A216CF"/>
    <w:rsid w:val="00A230A7"/>
    <w:rsid w:val="00A37260"/>
    <w:rsid w:val="00A66BEB"/>
    <w:rsid w:val="00A72295"/>
    <w:rsid w:val="00A74D42"/>
    <w:rsid w:val="00A86770"/>
    <w:rsid w:val="00A9750E"/>
    <w:rsid w:val="00AA10F0"/>
    <w:rsid w:val="00AA2B7F"/>
    <w:rsid w:val="00AB0800"/>
    <w:rsid w:val="00AB72E4"/>
    <w:rsid w:val="00AC117E"/>
    <w:rsid w:val="00AD0CF9"/>
    <w:rsid w:val="00AD1F88"/>
    <w:rsid w:val="00AD308A"/>
    <w:rsid w:val="00AF307C"/>
    <w:rsid w:val="00AF7645"/>
    <w:rsid w:val="00B02A26"/>
    <w:rsid w:val="00B02A7E"/>
    <w:rsid w:val="00B05CE1"/>
    <w:rsid w:val="00B12335"/>
    <w:rsid w:val="00B13023"/>
    <w:rsid w:val="00B17D4E"/>
    <w:rsid w:val="00B209EF"/>
    <w:rsid w:val="00B32156"/>
    <w:rsid w:val="00B35139"/>
    <w:rsid w:val="00B42A08"/>
    <w:rsid w:val="00B44BA0"/>
    <w:rsid w:val="00B50F1F"/>
    <w:rsid w:val="00B55E3A"/>
    <w:rsid w:val="00B5734B"/>
    <w:rsid w:val="00B62E54"/>
    <w:rsid w:val="00B7164C"/>
    <w:rsid w:val="00B733E7"/>
    <w:rsid w:val="00B769BC"/>
    <w:rsid w:val="00B83CA7"/>
    <w:rsid w:val="00B96ADE"/>
    <w:rsid w:val="00B974A7"/>
    <w:rsid w:val="00BA2046"/>
    <w:rsid w:val="00BA4157"/>
    <w:rsid w:val="00BB3FF7"/>
    <w:rsid w:val="00BB5363"/>
    <w:rsid w:val="00BC30BD"/>
    <w:rsid w:val="00BC534C"/>
    <w:rsid w:val="00BE73B4"/>
    <w:rsid w:val="00BF514F"/>
    <w:rsid w:val="00C03047"/>
    <w:rsid w:val="00C037EF"/>
    <w:rsid w:val="00C309C3"/>
    <w:rsid w:val="00C3175C"/>
    <w:rsid w:val="00C341E7"/>
    <w:rsid w:val="00C5654C"/>
    <w:rsid w:val="00C574DF"/>
    <w:rsid w:val="00C60234"/>
    <w:rsid w:val="00C60B06"/>
    <w:rsid w:val="00C6248F"/>
    <w:rsid w:val="00C65ADC"/>
    <w:rsid w:val="00C75CD3"/>
    <w:rsid w:val="00C81DF9"/>
    <w:rsid w:val="00C8244A"/>
    <w:rsid w:val="00C83951"/>
    <w:rsid w:val="00C83FE7"/>
    <w:rsid w:val="00C94EEE"/>
    <w:rsid w:val="00C955C0"/>
    <w:rsid w:val="00CA0E34"/>
    <w:rsid w:val="00CA7C4E"/>
    <w:rsid w:val="00CB0B0F"/>
    <w:rsid w:val="00CB699E"/>
    <w:rsid w:val="00CC3DCF"/>
    <w:rsid w:val="00CD58B7"/>
    <w:rsid w:val="00CE5D7A"/>
    <w:rsid w:val="00CF3453"/>
    <w:rsid w:val="00CF6015"/>
    <w:rsid w:val="00D1183A"/>
    <w:rsid w:val="00D22044"/>
    <w:rsid w:val="00D226ED"/>
    <w:rsid w:val="00D3220C"/>
    <w:rsid w:val="00D35D4E"/>
    <w:rsid w:val="00D36F33"/>
    <w:rsid w:val="00D37B10"/>
    <w:rsid w:val="00D524BE"/>
    <w:rsid w:val="00D5298A"/>
    <w:rsid w:val="00D71AC6"/>
    <w:rsid w:val="00D72D85"/>
    <w:rsid w:val="00D85286"/>
    <w:rsid w:val="00D85AB7"/>
    <w:rsid w:val="00D912B2"/>
    <w:rsid w:val="00D923B6"/>
    <w:rsid w:val="00D92B13"/>
    <w:rsid w:val="00DA7869"/>
    <w:rsid w:val="00DB16E1"/>
    <w:rsid w:val="00DC010F"/>
    <w:rsid w:val="00DC14A8"/>
    <w:rsid w:val="00DC2941"/>
    <w:rsid w:val="00DD4498"/>
    <w:rsid w:val="00E03C0A"/>
    <w:rsid w:val="00E127A0"/>
    <w:rsid w:val="00E25F89"/>
    <w:rsid w:val="00E31D32"/>
    <w:rsid w:val="00E414C2"/>
    <w:rsid w:val="00E46762"/>
    <w:rsid w:val="00E54B24"/>
    <w:rsid w:val="00E64EC8"/>
    <w:rsid w:val="00E74496"/>
    <w:rsid w:val="00E76AF0"/>
    <w:rsid w:val="00EA1EEA"/>
    <w:rsid w:val="00EC6AC2"/>
    <w:rsid w:val="00ED10F3"/>
    <w:rsid w:val="00EE0DAF"/>
    <w:rsid w:val="00EE2892"/>
    <w:rsid w:val="00EE3F21"/>
    <w:rsid w:val="00EE4B0A"/>
    <w:rsid w:val="00EF2C90"/>
    <w:rsid w:val="00EF6837"/>
    <w:rsid w:val="00F149A1"/>
    <w:rsid w:val="00F15329"/>
    <w:rsid w:val="00F2429D"/>
    <w:rsid w:val="00F254D8"/>
    <w:rsid w:val="00F32B50"/>
    <w:rsid w:val="00F3701A"/>
    <w:rsid w:val="00F37A9E"/>
    <w:rsid w:val="00F63451"/>
    <w:rsid w:val="00F64B16"/>
    <w:rsid w:val="00F73DE3"/>
    <w:rsid w:val="00F76DCE"/>
    <w:rsid w:val="00F93EA3"/>
    <w:rsid w:val="00F95D83"/>
    <w:rsid w:val="00FA1031"/>
    <w:rsid w:val="00FB06A3"/>
    <w:rsid w:val="00FC68EA"/>
    <w:rsid w:val="00FD1B27"/>
    <w:rsid w:val="00FD1C42"/>
    <w:rsid w:val="00FD66A1"/>
    <w:rsid w:val="00FE2ED6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FC4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4DC7"/>
    <w:rPr>
      <w:rFonts w:ascii="Segoe UI" w:hAnsi="Segoe UI" w:cs="Segoe UI"/>
      <w:sz w:val="18"/>
      <w:szCs w:val="18"/>
    </w:rPr>
  </w:style>
  <w:style w:type="character" w:customStyle="1" w:styleId="a5">
    <w:name w:val="풍선 도움말 텍스트 문자"/>
    <w:basedOn w:val="a0"/>
    <w:link w:val="a4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04D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04DC7"/>
    <w:rPr>
      <w:sz w:val="20"/>
      <w:szCs w:val="20"/>
    </w:rPr>
  </w:style>
  <w:style w:type="character" w:customStyle="1" w:styleId="a8">
    <w:name w:val="메모 텍스트 문자"/>
    <w:basedOn w:val="a0"/>
    <w:link w:val="a7"/>
    <w:uiPriority w:val="99"/>
    <w:semiHidden/>
    <w:rsid w:val="00604D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04DC7"/>
    <w:rPr>
      <w:b/>
      <w:bCs/>
    </w:rPr>
  </w:style>
  <w:style w:type="character" w:customStyle="1" w:styleId="aa">
    <w:name w:val="메모 주제 문자"/>
    <w:basedOn w:val="a8"/>
    <w:link w:val="a9"/>
    <w:uiPriority w:val="99"/>
    <w:semiHidden/>
    <w:rsid w:val="00604DC7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8683A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1F39ED"/>
    <w:rPr>
      <w:sz w:val="20"/>
      <w:szCs w:val="20"/>
    </w:rPr>
  </w:style>
  <w:style w:type="character" w:customStyle="1" w:styleId="ad">
    <w:name w:val="각주 텍스트 문자"/>
    <w:basedOn w:val="a0"/>
    <w:link w:val="ac"/>
    <w:uiPriority w:val="99"/>
    <w:semiHidden/>
    <w:rsid w:val="001F39ED"/>
    <w:rPr>
      <w:sz w:val="20"/>
      <w:szCs w:val="20"/>
      <w:lang w:val="en-GB"/>
    </w:rPr>
  </w:style>
  <w:style w:type="character" w:styleId="ae">
    <w:name w:val="footnote reference"/>
    <w:basedOn w:val="a0"/>
    <w:uiPriority w:val="99"/>
    <w:semiHidden/>
    <w:unhideWhenUsed/>
    <w:rsid w:val="001F39ED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1E2BD0"/>
    <w:pPr>
      <w:spacing w:after="200"/>
    </w:pPr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59"/>
    <w:rsid w:val="00EE2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4304DB"/>
    <w:rPr>
      <w:lang w:val="en-GB"/>
    </w:rPr>
  </w:style>
  <w:style w:type="paragraph" w:styleId="af2">
    <w:name w:val="header"/>
    <w:basedOn w:val="a"/>
    <w:link w:val="af3"/>
    <w:uiPriority w:val="99"/>
    <w:unhideWhenUsed/>
    <w:rsid w:val="008C7406"/>
    <w:pPr>
      <w:tabs>
        <w:tab w:val="center" w:pos="4513"/>
        <w:tab w:val="right" w:pos="9026"/>
      </w:tabs>
    </w:pPr>
  </w:style>
  <w:style w:type="character" w:customStyle="1" w:styleId="af3">
    <w:name w:val="머리글 문자"/>
    <w:basedOn w:val="a0"/>
    <w:link w:val="af2"/>
    <w:uiPriority w:val="99"/>
    <w:rsid w:val="008C7406"/>
    <w:rPr>
      <w:lang w:val="en-GB"/>
    </w:rPr>
  </w:style>
  <w:style w:type="paragraph" w:styleId="af4">
    <w:name w:val="footer"/>
    <w:basedOn w:val="a"/>
    <w:link w:val="af5"/>
    <w:uiPriority w:val="99"/>
    <w:unhideWhenUsed/>
    <w:rsid w:val="008C7406"/>
    <w:pPr>
      <w:tabs>
        <w:tab w:val="center" w:pos="4513"/>
        <w:tab w:val="right" w:pos="9026"/>
      </w:tabs>
    </w:pPr>
  </w:style>
  <w:style w:type="character" w:customStyle="1" w:styleId="af5">
    <w:name w:val="바닥글 문자"/>
    <w:basedOn w:val="a0"/>
    <w:link w:val="af4"/>
    <w:uiPriority w:val="99"/>
    <w:rsid w:val="008C740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E153-3591-8844-A89A-E8DB80A1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2556</Words>
  <Characters>14570</Characters>
  <Application>Microsoft Macintosh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Hm München</Company>
  <LinksUpToDate>false</LinksUpToDate>
  <CharactersWithSpaces>17092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Schneur</dc:creator>
  <cp:lastModifiedBy>Microsoft Office 사용자</cp:lastModifiedBy>
  <cp:revision>6</cp:revision>
  <cp:lastPrinted>2017-10-11T09:43:00Z</cp:lastPrinted>
  <dcterms:created xsi:type="dcterms:W3CDTF">2017-11-13T15:12:00Z</dcterms:created>
  <dcterms:modified xsi:type="dcterms:W3CDTF">2018-01-25T11:32:00Z</dcterms:modified>
</cp:coreProperties>
</file>