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Dissertation Weekly Report</w:t>
      </w:r>
    </w:p>
    <w:p>
      <w:pPr>
        <w:spacing w:after="160"/>
      </w:pPr>
      <w:r>
        <w:t xml:space="preserve">Week ending 11 July 2026</w:t>
      </w:r>
    </w:p>
    <w:p>
      <w:pPr>
        <w:spacing w:after="160"/>
      </w:pPr>
      <w:r>
        <w:t xml:space="preserve">Project: Homophone-Aware Phoneme-to-Text Decoding for Lip-Reading</w:t>
      </w:r>
    </w:p>
    <w:p>
      <w:pPr>
        <w:spacing w:after="160"/>
      </w:pPr>
      <w:r>
        <w:t xml:space="preserve">Supervisor: Dr. Daqing Chen</w:t>
      </w:r>
    </w:p>
    <w:p>
      <w:pPr>
        <w:pStyle w:val="Heading1"/>
        <w:spacing w:after="120" w:before="240"/>
      </w:pPr>
      <w:r>
        <w:t xml:space="preserve">Executive Summary</w:t>
      </w:r>
    </w:p>
    <w:p>
      <w:pPr>
        <w:spacing w:after="160"/>
      </w:pPr>
      <w:r>
        <w:t xml:space="preserve">This report evaluates two methods for converting ARPAbet phoneme sequences into English text, using a sample of about 5,000 sentences from the LRS2 corpus. The first method fine-tunes Llama-3.2-3B with LoRA; the second prompts the same base model with no training. Under fine-tuning, the model reached a Word Error Rate (WER) of 19.96% and an exact-match rate of 41.2%. Under zero-shot prompting, tested with both cleaned and raw phoneme strings, WER stayed above 100% in both configurations and exact-match accuracy was close to zero. A non-LLM baseline based on a GRU encoder-decoder is in preparation and will be reported once results are available.</w:t>
      </w:r>
    </w:p>
    <w:p>
      <w:pPr>
        <w:spacing w:after="160"/>
      </w:pPr>
      <w:r>
        <w:t xml:space="preserve">One observation stands out. Under fine-tuning, homophone-containing sentences scored marginally better than non-homophone sentences (19.26% against 23.86% WER), which runs counter to our starting expectation that homophones would be the harder case. The error analysis found that most substitution errors, in every model, bear no phonetic relationship to the reference word. Even so, the fine-tuned model produced roughly six times the proportion of homophone and near-homophone errors seen in the zero-shot runs.</w:t>
      </w:r>
    </w:p>
    <w:p>
      <w:pPr>
        <w:pStyle w:val="Heading1"/>
        <w:spacing w:after="120" w:before="240"/>
      </w:pPr>
      <w:r>
        <w:t xml:space="preserve">1. LoRA Fine-Tuning Results</w:t>
      </w:r>
    </w:p>
    <w:p>
      <w:pPr>
        <w:spacing w:after="160"/>
      </w:pPr>
      <w:r>
        <w:t xml:space="preserve">We fine-tuned Llama-3.2-3B with 4-bit QLoRA, using rank 8, alpha 16, and dropout 0.1, with adapters placed on the attention projections (q/k/v/o). The training set contained 4,000 sentence pairs and the evaluation set contained a held-out 1,000 pairs, both sampled from a homophone-stratified pool in which about 79% of sentences contain a homophone. Earlier full-corpus experiments had included a contrastive hard-negative loss; we disabled it here after observing that it pushed apart the representations of phoneme-identical homophones, which worked against the training objective. The present run therefore relies on standard cross-entropy fine-tuning.</w:t>
      </w:r>
    </w:p>
    <w:p>
      <w:pPr>
        <w:pStyle w:val="Heading2"/>
        <w:spacing w:after="100" w:before="200"/>
      </w:pPr>
      <w:r>
        <w:t xml:space="preserve">1.1 Performance Metrics</w:t>
      </w:r>
    </w:p>
    <w:p>
      <w:pPr>
        <w:spacing w:after="80"/>
      </w:pPr>
      <w:r>
        <w:rPr>
          <w:i/>
          <w:iCs/>
          <w:sz w:val="18"/>
          <w:szCs w:val="18"/>
        </w:rPr>
        <w:t xml:space="preserve">Table 1: LoRA fine-tuning results by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color="auto" w:val="clear"/>
          </w:tcPr>
          <w:p>
            <w:r>
              <w:rPr>
                <w:b/>
                <w:bCs/>
                <w:sz w:val="18"/>
                <w:szCs w:val="18"/>
              </w:rPr>
              <w:t xml:space="preserve">Subset</w:t>
            </w:r>
          </w:p>
        </w:tc>
        <w:tc>
          <w:tcPr>
            <w:tcW w:type="dxa" w:w="1560"/>
            <w:shd w:fill="D9E2F3" w:color="auto" w:val="clear"/>
          </w:tcPr>
          <w:p>
            <w:r>
              <w:rPr>
                <w:b/>
                <w:bCs/>
                <w:sz w:val="18"/>
                <w:szCs w:val="18"/>
              </w:rPr>
              <w:t xml:space="preserve">n</w:t>
            </w:r>
          </w:p>
        </w:tc>
        <w:tc>
          <w:tcPr>
            <w:tcW w:type="dxa" w:w="1560"/>
            <w:shd w:fill="D9E2F3" w:color="auto" w:val="clear"/>
          </w:tcPr>
          <w:p>
            <w:r>
              <w:rPr>
                <w:b/>
                <w:bCs/>
                <w:sz w:val="18"/>
                <w:szCs w:val="18"/>
              </w:rPr>
              <w:t xml:space="preserve">WER</w:t>
            </w:r>
          </w:p>
        </w:tc>
        <w:tc>
          <w:tcPr>
            <w:tcW w:type="dxa" w:w="1560"/>
            <w:shd w:fill="D9E2F3" w:color="auto" w:val="clear"/>
          </w:tcPr>
          <w:p>
            <w:r>
              <w:rPr>
                <w:b/>
                <w:bCs/>
                <w:sz w:val="18"/>
                <w:szCs w:val="18"/>
              </w:rPr>
              <w:t xml:space="preserve">CER</w:t>
            </w:r>
          </w:p>
        </w:tc>
        <w:tc>
          <w:tcPr>
            <w:tcW w:type="dxa" w:w="1560"/>
            <w:shd w:fill="D9E2F3" w:color="auto" w:val="clear"/>
          </w:tcPr>
          <w:p>
            <w:r>
              <w:rPr>
                <w:b/>
                <w:bCs/>
                <w:sz w:val="18"/>
                <w:szCs w:val="18"/>
              </w:rPr>
              <w:t xml:space="preserve">BLEU-4</w:t>
            </w:r>
          </w:p>
        </w:tc>
        <w:tc>
          <w:tcPr>
            <w:tcW w:type="dxa" w:w="1560"/>
            <w:shd w:fill="D9E2F3" w:color="auto" w:val="clear"/>
          </w:tcPr>
          <w:p>
            <w:r>
              <w:rPr>
                <w:b/>
                <w:bCs/>
                <w:sz w:val="18"/>
                <w:szCs w:val="18"/>
              </w:rPr>
              <w:t xml:space="preserve">Exact Match</w:t>
            </w:r>
          </w:p>
        </w:tc>
      </w:tr>
      <w:tr>
        <w:tc>
          <w:tcPr>
            <w:tcW w:type="dxa" w:w="1560"/>
          </w:tcPr>
          <w:p>
            <w:r>
              <w:rPr>
                <w:b w:val="false"/>
                <w:bCs w:val="false"/>
                <w:sz w:val="18"/>
                <w:szCs w:val="18"/>
              </w:rPr>
              <w:t xml:space="preserve">Overall</w:t>
            </w:r>
          </w:p>
        </w:tc>
        <w:tc>
          <w:tcPr>
            <w:tcW w:type="dxa" w:w="1560"/>
          </w:tcPr>
          <w:p>
            <w:r>
              <w:rPr>
                <w:b w:val="false"/>
                <w:bCs w:val="false"/>
                <w:sz w:val="18"/>
                <w:szCs w:val="18"/>
              </w:rPr>
              <w:t xml:space="preserve">1,000</w:t>
            </w:r>
          </w:p>
        </w:tc>
        <w:tc>
          <w:tcPr>
            <w:tcW w:type="dxa" w:w="1560"/>
          </w:tcPr>
          <w:p>
            <w:r>
              <w:rPr>
                <w:b w:val="false"/>
                <w:bCs w:val="false"/>
                <w:sz w:val="18"/>
                <w:szCs w:val="18"/>
              </w:rPr>
              <w:t xml:space="preserve">19.96%</w:t>
            </w:r>
          </w:p>
        </w:tc>
        <w:tc>
          <w:tcPr>
            <w:tcW w:type="dxa" w:w="1560"/>
          </w:tcPr>
          <w:p>
            <w:r>
              <w:rPr>
                <w:b w:val="false"/>
                <w:bCs w:val="false"/>
                <w:sz w:val="18"/>
                <w:szCs w:val="18"/>
              </w:rPr>
              <w:t xml:space="preserve">11.50%</w:t>
            </w:r>
          </w:p>
        </w:tc>
        <w:tc>
          <w:tcPr>
            <w:tcW w:type="dxa" w:w="1560"/>
          </w:tcPr>
          <w:p>
            <w:r>
              <w:rPr>
                <w:b w:val="false"/>
                <w:bCs w:val="false"/>
                <w:sz w:val="18"/>
                <w:szCs w:val="18"/>
              </w:rPr>
              <w:t xml:space="preserve">0.673</w:t>
            </w:r>
          </w:p>
        </w:tc>
        <w:tc>
          <w:tcPr>
            <w:tcW w:type="dxa" w:w="1560"/>
          </w:tcPr>
          <w:p>
            <w:r>
              <w:rPr>
                <w:b w:val="false"/>
                <w:bCs w:val="false"/>
                <w:sz w:val="18"/>
                <w:szCs w:val="18"/>
              </w:rPr>
              <w:t xml:space="preserve">41.20%</w:t>
            </w:r>
          </w:p>
        </w:tc>
      </w:tr>
      <w:tr>
        <w:tc>
          <w:tcPr>
            <w:tcW w:type="dxa" w:w="1560"/>
            <w:shd w:fill="F2F2F2" w:color="auto" w:val="clear"/>
          </w:tcPr>
          <w:p>
            <w:r>
              <w:rPr>
                <w:b w:val="false"/>
                <w:bCs w:val="false"/>
                <w:sz w:val="18"/>
                <w:szCs w:val="18"/>
              </w:rPr>
              <w:t xml:space="preserve">Homophone</w:t>
            </w:r>
          </w:p>
        </w:tc>
        <w:tc>
          <w:tcPr>
            <w:tcW w:type="dxa" w:w="1560"/>
            <w:shd w:fill="F2F2F2" w:color="auto" w:val="clear"/>
          </w:tcPr>
          <w:p>
            <w:r>
              <w:rPr>
                <w:b w:val="false"/>
                <w:bCs w:val="false"/>
                <w:sz w:val="18"/>
                <w:szCs w:val="18"/>
              </w:rPr>
              <w:t xml:space="preserve">791</w:t>
            </w:r>
          </w:p>
        </w:tc>
        <w:tc>
          <w:tcPr>
            <w:tcW w:type="dxa" w:w="1560"/>
            <w:shd w:fill="F2F2F2" w:color="auto" w:val="clear"/>
          </w:tcPr>
          <w:p>
            <w:r>
              <w:rPr>
                <w:b w:val="false"/>
                <w:bCs w:val="false"/>
                <w:sz w:val="18"/>
                <w:szCs w:val="18"/>
              </w:rPr>
              <w:t xml:space="preserve">19.26%</w:t>
            </w:r>
          </w:p>
        </w:tc>
        <w:tc>
          <w:tcPr>
            <w:tcW w:type="dxa" w:w="1560"/>
            <w:shd w:fill="F2F2F2" w:color="auto" w:val="clear"/>
          </w:tcPr>
          <w:p>
            <w:r>
              <w:rPr>
                <w:b w:val="false"/>
                <w:bCs w:val="false"/>
                <w:sz w:val="18"/>
                <w:szCs w:val="18"/>
              </w:rPr>
              <w:t xml:space="preserve">11.30%</w:t>
            </w:r>
          </w:p>
        </w:tc>
        <w:tc>
          <w:tcPr>
            <w:tcW w:type="dxa" w:w="1560"/>
            <w:shd w:fill="F2F2F2" w:color="auto" w:val="clear"/>
          </w:tcPr>
          <w:p>
            <w:r>
              <w:rPr>
                <w:b w:val="false"/>
                <w:bCs w:val="false"/>
                <w:sz w:val="18"/>
                <w:szCs w:val="18"/>
              </w:rPr>
              <w:t xml:space="preserve">0.682</w:t>
            </w:r>
          </w:p>
        </w:tc>
        <w:tc>
          <w:tcPr>
            <w:tcW w:type="dxa" w:w="1560"/>
            <w:shd w:fill="F2F2F2" w:color="auto" w:val="clear"/>
          </w:tcPr>
          <w:p>
            <w:r>
              <w:rPr>
                <w:b w:val="false"/>
                <w:bCs w:val="false"/>
                <w:sz w:val="18"/>
                <w:szCs w:val="18"/>
              </w:rPr>
              <w:t xml:space="preserve">41.85%</w:t>
            </w:r>
          </w:p>
        </w:tc>
      </w:tr>
      <w:tr>
        <w:tc>
          <w:tcPr>
            <w:tcW w:type="dxa" w:w="1560"/>
          </w:tcPr>
          <w:p>
            <w:r>
              <w:rPr>
                <w:b w:val="false"/>
                <w:bCs w:val="false"/>
                <w:sz w:val="18"/>
                <w:szCs w:val="18"/>
              </w:rPr>
              <w:t xml:space="preserve">Non-homophone</w:t>
            </w:r>
          </w:p>
        </w:tc>
        <w:tc>
          <w:tcPr>
            <w:tcW w:type="dxa" w:w="1560"/>
          </w:tcPr>
          <w:p>
            <w:r>
              <w:rPr>
                <w:b w:val="false"/>
                <w:bCs w:val="false"/>
                <w:sz w:val="18"/>
                <w:szCs w:val="18"/>
              </w:rPr>
              <w:t xml:space="preserve">209</w:t>
            </w:r>
          </w:p>
        </w:tc>
        <w:tc>
          <w:tcPr>
            <w:tcW w:type="dxa" w:w="1560"/>
          </w:tcPr>
          <w:p>
            <w:r>
              <w:rPr>
                <w:b w:val="false"/>
                <w:bCs w:val="false"/>
                <w:sz w:val="18"/>
                <w:szCs w:val="18"/>
              </w:rPr>
              <w:t xml:space="preserve">23.86%</w:t>
            </w:r>
          </w:p>
        </w:tc>
        <w:tc>
          <w:tcPr>
            <w:tcW w:type="dxa" w:w="1560"/>
          </w:tcPr>
          <w:p>
            <w:r>
              <w:rPr>
                <w:b w:val="false"/>
                <w:bCs w:val="false"/>
                <w:sz w:val="18"/>
                <w:szCs w:val="18"/>
              </w:rPr>
              <w:t xml:space="preserve">12.52%</w:t>
            </w:r>
          </w:p>
        </w:tc>
        <w:tc>
          <w:tcPr>
            <w:tcW w:type="dxa" w:w="1560"/>
          </w:tcPr>
          <w:p>
            <w:r>
              <w:rPr>
                <w:b w:val="false"/>
                <w:bCs w:val="false"/>
                <w:sz w:val="18"/>
                <w:szCs w:val="18"/>
              </w:rPr>
              <w:t xml:space="preserve">0.604</w:t>
            </w:r>
          </w:p>
        </w:tc>
        <w:tc>
          <w:tcPr>
            <w:tcW w:type="dxa" w:w="1560"/>
          </w:tcPr>
          <w:p>
            <w:r>
              <w:rPr>
                <w:b w:val="false"/>
                <w:bCs w:val="false"/>
                <w:sz w:val="18"/>
                <w:szCs w:val="18"/>
              </w:rPr>
              <w:t xml:space="preserve">38.76%</w:t>
            </w:r>
          </w:p>
        </w:tc>
      </w:tr>
    </w:tbl>
    <w:p>
      <w:pPr>
        <w:spacing w:after="80"/>
      </w:pPr>
    </w:p>
    <w:p>
      <w:pPr>
        <w:spacing w:after="160"/>
      </w:pPr>
      <w:r>
        <w:t xml:space="preserve">Across every metric, homophone-containing sentences performed slightly better than non-homophone sentences, which reverses the pattern the 'homophones are harder' hypothesis would predict. A similar small and inconsistent gap appeared in the earlier full-corpus run (9.32% against 10.78% WER, with the contrastive loss active). Because the present run omits that mechanism and still shows the gap, the effect appears to be independent of the contrastive component.</w:t>
      </w:r>
    </w:p>
    <w:p>
      <w:pPr>
        <w:pStyle w:val="Heading1"/>
        <w:spacing w:after="120" w:before="240"/>
      </w:pPr>
      <w:r>
        <w:t xml:space="preserve">2. Zero-Shot Results</w:t>
      </w:r>
    </w:p>
    <w:p>
      <w:pPr>
        <w:spacing w:after="160"/>
      </w:pPr>
      <w:r>
        <w:t xml:space="preserve">We evaluated the same base model on the same 5,000-row pool without any training. Two prompt formats were compared. The 'clean' format presents phonemes with the SOS, EOS, space, and stress markers removed. The 'raw' format presents the original phoneme string together with a longer instruction that explains the notation.</w:t>
      </w:r>
    </w:p>
    <w:p>
      <w:pPr>
        <w:pStyle w:val="Heading2"/>
        <w:spacing w:after="100" w:before="200"/>
      </w:pPr>
      <w:r>
        <w:t xml:space="preserve">2.1 Performance Metrics</w:t>
      </w:r>
    </w:p>
    <w:p>
      <w:pPr>
        <w:spacing w:after="80"/>
      </w:pPr>
      <w:r>
        <w:rPr>
          <w:i/>
          <w:iCs/>
          <w:sz w:val="18"/>
          <w:szCs w:val="18"/>
        </w:rPr>
        <w:t xml:space="preserve">Table 2: Zero-shot results by prompt format and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D9E2F3" w:color="auto" w:val="clear"/>
          </w:tcPr>
          <w:p>
            <w:r>
              <w:rPr>
                <w:b/>
                <w:bCs/>
                <w:sz w:val="18"/>
                <w:szCs w:val="18"/>
              </w:rPr>
              <w:t xml:space="preserve">Mode</w:t>
            </w:r>
          </w:p>
        </w:tc>
        <w:tc>
          <w:tcPr>
            <w:tcW w:type="dxa" w:w="1170"/>
            <w:shd w:fill="D9E2F3" w:color="auto" w:val="clear"/>
          </w:tcPr>
          <w:p>
            <w:r>
              <w:rPr>
                <w:b/>
                <w:bCs/>
                <w:sz w:val="18"/>
                <w:szCs w:val="18"/>
              </w:rPr>
              <w:t xml:space="preserve">Subset</w:t>
            </w:r>
          </w:p>
        </w:tc>
        <w:tc>
          <w:tcPr>
            <w:tcW w:type="dxa" w:w="1170"/>
            <w:shd w:fill="D9E2F3" w:color="auto" w:val="clear"/>
          </w:tcPr>
          <w:p>
            <w:r>
              <w:rPr>
                <w:b/>
                <w:bCs/>
                <w:sz w:val="18"/>
                <w:szCs w:val="18"/>
              </w:rPr>
              <w:t xml:space="preserve">n</w:t>
            </w:r>
          </w:p>
        </w:tc>
        <w:tc>
          <w:tcPr>
            <w:tcW w:type="dxa" w:w="1170"/>
            <w:shd w:fill="D9E2F3" w:color="auto" w:val="clear"/>
          </w:tcPr>
          <w:p>
            <w:r>
              <w:rPr>
                <w:b/>
                <w:bCs/>
                <w:sz w:val="18"/>
                <w:szCs w:val="18"/>
              </w:rPr>
              <w:t xml:space="preserve">WER</w:t>
            </w:r>
          </w:p>
        </w:tc>
        <w:tc>
          <w:tcPr>
            <w:tcW w:type="dxa" w:w="1170"/>
            <w:shd w:fill="D9E2F3" w:color="auto" w:val="clear"/>
          </w:tcPr>
          <w:p>
            <w:r>
              <w:rPr>
                <w:b/>
                <w:bCs/>
                <w:sz w:val="18"/>
                <w:szCs w:val="18"/>
              </w:rPr>
              <w:t xml:space="preserve">CER</w:t>
            </w:r>
          </w:p>
        </w:tc>
        <w:tc>
          <w:tcPr>
            <w:tcW w:type="dxa" w:w="1170"/>
            <w:shd w:fill="D9E2F3" w:color="auto" w:val="clear"/>
          </w:tcPr>
          <w:p>
            <w:r>
              <w:rPr>
                <w:b/>
                <w:bCs/>
                <w:sz w:val="18"/>
                <w:szCs w:val="18"/>
              </w:rPr>
              <w:t xml:space="preserve">PER</w:t>
            </w:r>
          </w:p>
        </w:tc>
        <w:tc>
          <w:tcPr>
            <w:tcW w:type="dxa" w:w="1170"/>
            <w:shd w:fill="D9E2F3" w:color="auto" w:val="clear"/>
          </w:tcPr>
          <w:p>
            <w:r>
              <w:rPr>
                <w:b/>
                <w:bCs/>
                <w:sz w:val="18"/>
                <w:szCs w:val="18"/>
              </w:rPr>
              <w:t xml:space="preserve">BLEU-4</w:t>
            </w:r>
          </w:p>
        </w:tc>
        <w:tc>
          <w:tcPr>
            <w:tcW w:type="dxa" w:w="1170"/>
            <w:shd w:fill="D9E2F3" w:color="auto" w:val="clear"/>
          </w:tcPr>
          <w:p>
            <w:r>
              <w:rPr>
                <w:b/>
                <w:bCs/>
                <w:sz w:val="18"/>
                <w:szCs w:val="18"/>
              </w:rPr>
              <w:t xml:space="preserve">Exact Match</w:t>
            </w:r>
          </w:p>
        </w:tc>
      </w:tr>
      <w:tr>
        <w:tc>
          <w:tcPr>
            <w:tcW w:type="dxa" w:w="1170"/>
          </w:tcPr>
          <w:p>
            <w:r>
              <w:rPr>
                <w:b w:val="false"/>
                <w:bCs w:val="false"/>
                <w:sz w:val="18"/>
                <w:szCs w:val="18"/>
              </w:rPr>
              <w:t xml:space="preserve">Clean</w:t>
            </w:r>
          </w:p>
        </w:tc>
        <w:tc>
          <w:tcPr>
            <w:tcW w:type="dxa" w:w="1170"/>
          </w:tcPr>
          <w:p>
            <w:r>
              <w:rPr>
                <w:b w:val="false"/>
                <w:bCs w:val="false"/>
                <w:sz w:val="18"/>
                <w:szCs w:val="18"/>
              </w:rPr>
              <w:t xml:space="preserve">Overall</w:t>
            </w:r>
          </w:p>
        </w:tc>
        <w:tc>
          <w:tcPr>
            <w:tcW w:type="dxa" w:w="1170"/>
          </w:tcPr>
          <w:p>
            <w:r>
              <w:rPr>
                <w:b w:val="false"/>
                <w:bCs w:val="false"/>
                <w:sz w:val="18"/>
                <w:szCs w:val="18"/>
              </w:rPr>
              <w:t xml:space="preserve">5,000</w:t>
            </w:r>
          </w:p>
        </w:tc>
        <w:tc>
          <w:tcPr>
            <w:tcW w:type="dxa" w:w="1170"/>
          </w:tcPr>
          <w:p>
            <w:r>
              <w:rPr>
                <w:b w:val="false"/>
                <w:bCs w:val="false"/>
                <w:sz w:val="18"/>
                <w:szCs w:val="18"/>
              </w:rPr>
              <w:t xml:space="preserve">128.33%</w:t>
            </w:r>
          </w:p>
        </w:tc>
        <w:tc>
          <w:tcPr>
            <w:tcW w:type="dxa" w:w="1170"/>
          </w:tcPr>
          <w:p>
            <w:r>
              <w:rPr>
                <w:b w:val="false"/>
                <w:bCs w:val="false"/>
                <w:sz w:val="18"/>
                <w:szCs w:val="18"/>
              </w:rPr>
              <w:t xml:space="preserve">94.47%</w:t>
            </w:r>
          </w:p>
        </w:tc>
        <w:tc>
          <w:tcPr>
            <w:tcW w:type="dxa" w:w="1170"/>
          </w:tcPr>
          <w:p>
            <w:r>
              <w:rPr>
                <w:b w:val="false"/>
                <w:bCs w:val="false"/>
                <w:sz w:val="18"/>
                <w:szCs w:val="18"/>
              </w:rPr>
              <w:t xml:space="preserve">103.41%</w:t>
            </w:r>
          </w:p>
        </w:tc>
        <w:tc>
          <w:tcPr>
            <w:tcW w:type="dxa" w:w="1170"/>
          </w:tcPr>
          <w:p>
            <w:r>
              <w:rPr>
                <w:b w:val="false"/>
                <w:bCs w:val="false"/>
                <w:sz w:val="18"/>
                <w:szCs w:val="18"/>
              </w:rPr>
              <w:t xml:space="preserve">0.0123</w:t>
            </w:r>
          </w:p>
        </w:tc>
        <w:tc>
          <w:tcPr>
            <w:tcW w:type="dxa" w:w="1170"/>
          </w:tcPr>
          <w:p>
            <w:r>
              <w:rPr>
                <w:b w:val="false"/>
                <w:bCs w:val="false"/>
                <w:sz w:val="18"/>
                <w:szCs w:val="18"/>
              </w:rPr>
              <w:t xml:space="preserve">0.20%</w:t>
            </w:r>
          </w:p>
        </w:tc>
      </w:tr>
      <w:tr>
        <w:tc>
          <w:tcPr>
            <w:tcW w:type="dxa" w:w="1170"/>
            <w:shd w:fill="F2F2F2" w:color="auto" w:val="clear"/>
          </w:tcPr>
          <w:p>
            <w:r>
              <w:rPr>
                <w:b w:val="false"/>
                <w:bCs w:val="false"/>
                <w:sz w:val="18"/>
                <w:szCs w:val="18"/>
              </w:rPr>
              <w:t xml:space="preserve">Clean</w:t>
            </w:r>
          </w:p>
        </w:tc>
        <w:tc>
          <w:tcPr>
            <w:tcW w:type="dxa" w:w="1170"/>
            <w:shd w:fill="F2F2F2" w:color="auto" w:val="clear"/>
          </w:tcPr>
          <w:p>
            <w:r>
              <w:rPr>
                <w:b w:val="false"/>
                <w:bCs w:val="false"/>
                <w:sz w:val="18"/>
                <w:szCs w:val="18"/>
              </w:rPr>
              <w:t xml:space="preserve">Homophone</w:t>
            </w:r>
          </w:p>
        </w:tc>
        <w:tc>
          <w:tcPr>
            <w:tcW w:type="dxa" w:w="1170"/>
            <w:shd w:fill="F2F2F2" w:color="auto" w:val="clear"/>
          </w:tcPr>
          <w:p>
            <w:r>
              <w:rPr>
                <w:b w:val="false"/>
                <w:bCs w:val="false"/>
                <w:sz w:val="18"/>
                <w:szCs w:val="18"/>
              </w:rPr>
              <w:t xml:space="preserve">3,912</w:t>
            </w:r>
          </w:p>
        </w:tc>
        <w:tc>
          <w:tcPr>
            <w:tcW w:type="dxa" w:w="1170"/>
            <w:shd w:fill="F2F2F2" w:color="auto" w:val="clear"/>
          </w:tcPr>
          <w:p>
            <w:r>
              <w:rPr>
                <w:b w:val="false"/>
                <w:bCs w:val="false"/>
                <w:sz w:val="18"/>
                <w:szCs w:val="18"/>
              </w:rPr>
              <w:t xml:space="preserve">127.16%</w:t>
            </w:r>
          </w:p>
        </w:tc>
        <w:tc>
          <w:tcPr>
            <w:tcW w:type="dxa" w:w="1170"/>
            <w:shd w:fill="F2F2F2" w:color="auto" w:val="clear"/>
          </w:tcPr>
          <w:p>
            <w:r>
              <w:rPr>
                <w:b w:val="false"/>
                <w:bCs w:val="false"/>
                <w:sz w:val="18"/>
                <w:szCs w:val="18"/>
              </w:rPr>
              <w:t xml:space="preserve">95.28%</w:t>
            </w:r>
          </w:p>
        </w:tc>
        <w:tc>
          <w:tcPr>
            <w:tcW w:type="dxa" w:w="1170"/>
            <w:shd w:fill="F2F2F2" w:color="auto" w:val="clear"/>
          </w:tcPr>
          <w:p>
            <w:r>
              <w:rPr>
                <w:b w:val="false"/>
                <w:bCs w:val="false"/>
                <w:sz w:val="18"/>
                <w:szCs w:val="18"/>
              </w:rPr>
              <w:t xml:space="preserve">104.80%</w:t>
            </w:r>
          </w:p>
        </w:tc>
        <w:tc>
          <w:tcPr>
            <w:tcW w:type="dxa" w:w="1170"/>
            <w:shd w:fill="F2F2F2" w:color="auto" w:val="clear"/>
          </w:tcPr>
          <w:p>
            <w:r>
              <w:rPr>
                <w:b w:val="false"/>
                <w:bCs w:val="false"/>
                <w:sz w:val="18"/>
                <w:szCs w:val="18"/>
              </w:rPr>
              <w:t xml:space="preserve">0.0123</w:t>
            </w:r>
          </w:p>
        </w:tc>
        <w:tc>
          <w:tcPr>
            <w:tcW w:type="dxa" w:w="1170"/>
            <w:shd w:fill="F2F2F2" w:color="auto" w:val="clear"/>
          </w:tcPr>
          <w:p>
            <w:r>
              <w:rPr>
                <w:b w:val="false"/>
                <w:bCs w:val="false"/>
                <w:sz w:val="18"/>
                <w:szCs w:val="18"/>
              </w:rPr>
              <w:t xml:space="preserve">0.23%</w:t>
            </w:r>
          </w:p>
        </w:tc>
      </w:tr>
      <w:tr>
        <w:tc>
          <w:tcPr>
            <w:tcW w:type="dxa" w:w="1170"/>
          </w:tcPr>
          <w:p>
            <w:r>
              <w:rPr>
                <w:b w:val="false"/>
                <w:bCs w:val="false"/>
                <w:sz w:val="18"/>
                <w:szCs w:val="18"/>
              </w:rPr>
              <w:t xml:space="preserve">Clean</w:t>
            </w:r>
          </w:p>
        </w:tc>
        <w:tc>
          <w:tcPr>
            <w:tcW w:type="dxa" w:w="1170"/>
          </w:tcPr>
          <w:p>
            <w:r>
              <w:rPr>
                <w:b w:val="false"/>
                <w:bCs w:val="false"/>
                <w:sz w:val="18"/>
                <w:szCs w:val="18"/>
              </w:rPr>
              <w:t xml:space="preserve">Non-homophone</w:t>
            </w:r>
          </w:p>
        </w:tc>
        <w:tc>
          <w:tcPr>
            <w:tcW w:type="dxa" w:w="1170"/>
          </w:tcPr>
          <w:p>
            <w:r>
              <w:rPr>
                <w:b w:val="false"/>
                <w:bCs w:val="false"/>
                <w:sz w:val="18"/>
                <w:szCs w:val="18"/>
              </w:rPr>
              <w:t xml:space="preserve">1,088</w:t>
            </w:r>
          </w:p>
        </w:tc>
        <w:tc>
          <w:tcPr>
            <w:tcW w:type="dxa" w:w="1170"/>
          </w:tcPr>
          <w:p>
            <w:r>
              <w:rPr>
                <w:b w:val="false"/>
                <w:bCs w:val="false"/>
                <w:sz w:val="18"/>
                <w:szCs w:val="18"/>
              </w:rPr>
              <w:t xml:space="preserve">134.81%</w:t>
            </w:r>
          </w:p>
        </w:tc>
        <w:tc>
          <w:tcPr>
            <w:tcW w:type="dxa" w:w="1170"/>
          </w:tcPr>
          <w:p>
            <w:r>
              <w:rPr>
                <w:b w:val="false"/>
                <w:bCs w:val="false"/>
                <w:sz w:val="18"/>
                <w:szCs w:val="18"/>
              </w:rPr>
              <w:t xml:space="preserve">90.35%</w:t>
            </w:r>
          </w:p>
        </w:tc>
        <w:tc>
          <w:tcPr>
            <w:tcW w:type="dxa" w:w="1170"/>
          </w:tcPr>
          <w:p>
            <w:r>
              <w:rPr>
                <w:b w:val="false"/>
                <w:bCs w:val="false"/>
                <w:sz w:val="18"/>
                <w:szCs w:val="18"/>
              </w:rPr>
              <w:t xml:space="preserve">96.56%</w:t>
            </w:r>
          </w:p>
        </w:tc>
        <w:tc>
          <w:tcPr>
            <w:tcW w:type="dxa" w:w="1170"/>
          </w:tcPr>
          <w:p>
            <w:r>
              <w:rPr>
                <w:b w:val="false"/>
                <w:bCs w:val="false"/>
                <w:sz w:val="18"/>
                <w:szCs w:val="18"/>
              </w:rPr>
              <w:t xml:space="preserve">0.0125</w:t>
            </w:r>
          </w:p>
        </w:tc>
        <w:tc>
          <w:tcPr>
            <w:tcW w:type="dxa" w:w="1170"/>
          </w:tcPr>
          <w:p>
            <w:r>
              <w:rPr>
                <w:b w:val="false"/>
                <w:bCs w:val="false"/>
                <w:sz w:val="18"/>
                <w:szCs w:val="18"/>
              </w:rPr>
              <w:t xml:space="preserve">0.09%</w:t>
            </w:r>
          </w:p>
        </w:tc>
      </w:tr>
      <w:tr>
        <w:tc>
          <w:tcPr>
            <w:tcW w:type="dxa" w:w="1170"/>
            <w:shd w:fill="F2F2F2" w:color="auto" w:val="clear"/>
          </w:tcPr>
          <w:p>
            <w:r>
              <w:rPr>
                <w:b w:val="false"/>
                <w:bCs w:val="false"/>
                <w:sz w:val="18"/>
                <w:szCs w:val="18"/>
              </w:rPr>
              <w:t xml:space="preserve">Raw</w:t>
            </w:r>
          </w:p>
        </w:tc>
        <w:tc>
          <w:tcPr>
            <w:tcW w:type="dxa" w:w="1170"/>
            <w:shd w:fill="F2F2F2" w:color="auto" w:val="clear"/>
          </w:tcPr>
          <w:p>
            <w:r>
              <w:rPr>
                <w:b w:val="false"/>
                <w:bCs w:val="false"/>
                <w:sz w:val="18"/>
                <w:szCs w:val="18"/>
              </w:rPr>
              <w:t xml:space="preserve">Overall</w:t>
            </w:r>
          </w:p>
        </w:tc>
        <w:tc>
          <w:tcPr>
            <w:tcW w:type="dxa" w:w="1170"/>
            <w:shd w:fill="F2F2F2" w:color="auto" w:val="clear"/>
          </w:tcPr>
          <w:p>
            <w:r>
              <w:rPr>
                <w:b w:val="false"/>
                <w:bCs w:val="false"/>
                <w:sz w:val="18"/>
                <w:szCs w:val="18"/>
              </w:rPr>
              <w:t xml:space="preserve">5,000</w:t>
            </w:r>
          </w:p>
        </w:tc>
        <w:tc>
          <w:tcPr>
            <w:tcW w:type="dxa" w:w="1170"/>
            <w:shd w:fill="F2F2F2" w:color="auto" w:val="clear"/>
          </w:tcPr>
          <w:p>
            <w:r>
              <w:rPr>
                <w:b w:val="false"/>
                <w:bCs w:val="false"/>
                <w:sz w:val="18"/>
                <w:szCs w:val="18"/>
              </w:rPr>
              <w:t xml:space="preserve">116.71%</w:t>
            </w:r>
          </w:p>
        </w:tc>
        <w:tc>
          <w:tcPr>
            <w:tcW w:type="dxa" w:w="1170"/>
            <w:shd w:fill="F2F2F2" w:color="auto" w:val="clear"/>
          </w:tcPr>
          <w:p>
            <w:r>
              <w:rPr>
                <w:b w:val="false"/>
                <w:bCs w:val="false"/>
                <w:sz w:val="18"/>
                <w:szCs w:val="18"/>
              </w:rPr>
              <w:t xml:space="preserve">84.72%</w:t>
            </w:r>
          </w:p>
        </w:tc>
        <w:tc>
          <w:tcPr>
            <w:tcW w:type="dxa" w:w="1170"/>
            <w:shd w:fill="F2F2F2" w:color="auto" w:val="clear"/>
          </w:tcPr>
          <w:p>
            <w:r>
              <w:rPr>
                <w:b w:val="false"/>
                <w:bCs w:val="false"/>
                <w:sz w:val="18"/>
                <w:szCs w:val="18"/>
              </w:rPr>
              <w:t xml:space="preserve">92.90%</w:t>
            </w:r>
          </w:p>
        </w:tc>
        <w:tc>
          <w:tcPr>
            <w:tcW w:type="dxa" w:w="1170"/>
            <w:shd w:fill="F2F2F2" w:color="auto" w:val="clear"/>
          </w:tcPr>
          <w:p>
            <w:r>
              <w:rPr>
                <w:b w:val="false"/>
                <w:bCs w:val="false"/>
                <w:sz w:val="18"/>
                <w:szCs w:val="18"/>
              </w:rPr>
              <w:t xml:space="preserve">0.0112</w:t>
            </w:r>
          </w:p>
        </w:tc>
        <w:tc>
          <w:tcPr>
            <w:tcW w:type="dxa" w:w="1170"/>
            <w:shd w:fill="F2F2F2" w:color="auto" w:val="clear"/>
          </w:tcPr>
          <w:p>
            <w:r>
              <w:rPr>
                <w:b w:val="false"/>
                <w:bCs w:val="false"/>
                <w:sz w:val="18"/>
                <w:szCs w:val="18"/>
              </w:rPr>
              <w:t xml:space="preserve">0.24%</w:t>
            </w:r>
          </w:p>
        </w:tc>
      </w:tr>
      <w:tr>
        <w:tc>
          <w:tcPr>
            <w:tcW w:type="dxa" w:w="1170"/>
          </w:tcPr>
          <w:p>
            <w:r>
              <w:rPr>
                <w:b w:val="false"/>
                <w:bCs w:val="false"/>
                <w:sz w:val="18"/>
                <w:szCs w:val="18"/>
              </w:rPr>
              <w:t xml:space="preserve">Raw</w:t>
            </w:r>
          </w:p>
        </w:tc>
        <w:tc>
          <w:tcPr>
            <w:tcW w:type="dxa" w:w="1170"/>
          </w:tcPr>
          <w:p>
            <w:r>
              <w:rPr>
                <w:b w:val="false"/>
                <w:bCs w:val="false"/>
                <w:sz w:val="18"/>
                <w:szCs w:val="18"/>
              </w:rPr>
              <w:t xml:space="preserve">Homophone</w:t>
            </w:r>
          </w:p>
        </w:tc>
        <w:tc>
          <w:tcPr>
            <w:tcW w:type="dxa" w:w="1170"/>
          </w:tcPr>
          <w:p>
            <w:r>
              <w:rPr>
                <w:b w:val="false"/>
                <w:bCs w:val="false"/>
                <w:sz w:val="18"/>
                <w:szCs w:val="18"/>
              </w:rPr>
              <w:t xml:space="preserve">3,912</w:t>
            </w:r>
          </w:p>
        </w:tc>
        <w:tc>
          <w:tcPr>
            <w:tcW w:type="dxa" w:w="1170"/>
          </w:tcPr>
          <w:p>
            <w:r>
              <w:rPr>
                <w:b w:val="false"/>
                <w:bCs w:val="false"/>
                <w:sz w:val="18"/>
                <w:szCs w:val="18"/>
              </w:rPr>
              <w:t xml:space="preserve">115.62%</w:t>
            </w:r>
          </w:p>
        </w:tc>
        <w:tc>
          <w:tcPr>
            <w:tcW w:type="dxa" w:w="1170"/>
          </w:tcPr>
          <w:p>
            <w:r>
              <w:rPr>
                <w:b w:val="false"/>
                <w:bCs w:val="false"/>
                <w:sz w:val="18"/>
                <w:szCs w:val="18"/>
              </w:rPr>
              <w:t xml:space="preserve">84.82%</w:t>
            </w:r>
          </w:p>
        </w:tc>
        <w:tc>
          <w:tcPr>
            <w:tcW w:type="dxa" w:w="1170"/>
          </w:tcPr>
          <w:p>
            <w:r>
              <w:rPr>
                <w:b w:val="false"/>
                <w:bCs w:val="false"/>
                <w:sz w:val="18"/>
                <w:szCs w:val="18"/>
              </w:rPr>
              <w:t xml:space="preserve">93.34%</w:t>
            </w:r>
          </w:p>
        </w:tc>
        <w:tc>
          <w:tcPr>
            <w:tcW w:type="dxa" w:w="1170"/>
          </w:tcPr>
          <w:p>
            <w:r>
              <w:rPr>
                <w:b w:val="false"/>
                <w:bCs w:val="false"/>
                <w:sz w:val="18"/>
                <w:szCs w:val="18"/>
              </w:rPr>
              <w:t xml:space="preserve">0.0110</w:t>
            </w:r>
          </w:p>
        </w:tc>
        <w:tc>
          <w:tcPr>
            <w:tcW w:type="dxa" w:w="1170"/>
          </w:tcPr>
          <w:p>
            <w:r>
              <w:rPr>
                <w:b w:val="false"/>
                <w:bCs w:val="false"/>
                <w:sz w:val="18"/>
                <w:szCs w:val="18"/>
              </w:rPr>
              <w:t xml:space="preserve">0.15%</w:t>
            </w:r>
          </w:p>
        </w:tc>
      </w:tr>
      <w:tr>
        <w:tc>
          <w:tcPr>
            <w:tcW w:type="dxa" w:w="1170"/>
            <w:shd w:fill="F2F2F2" w:color="auto" w:val="clear"/>
          </w:tcPr>
          <w:p>
            <w:r>
              <w:rPr>
                <w:b w:val="false"/>
                <w:bCs w:val="false"/>
                <w:sz w:val="18"/>
                <w:szCs w:val="18"/>
              </w:rPr>
              <w:t xml:space="preserve">Raw</w:t>
            </w:r>
          </w:p>
        </w:tc>
        <w:tc>
          <w:tcPr>
            <w:tcW w:type="dxa" w:w="1170"/>
            <w:shd w:fill="F2F2F2" w:color="auto" w:val="clear"/>
          </w:tcPr>
          <w:p>
            <w:r>
              <w:rPr>
                <w:b w:val="false"/>
                <w:bCs w:val="false"/>
                <w:sz w:val="18"/>
                <w:szCs w:val="18"/>
              </w:rPr>
              <w:t xml:space="preserve">Non-homophone</w:t>
            </w:r>
          </w:p>
        </w:tc>
        <w:tc>
          <w:tcPr>
            <w:tcW w:type="dxa" w:w="1170"/>
            <w:shd w:fill="F2F2F2" w:color="auto" w:val="clear"/>
          </w:tcPr>
          <w:p>
            <w:r>
              <w:rPr>
                <w:b w:val="false"/>
                <w:bCs w:val="false"/>
                <w:sz w:val="18"/>
                <w:szCs w:val="18"/>
              </w:rPr>
              <w:t xml:space="preserve">1,088</w:t>
            </w:r>
          </w:p>
        </w:tc>
        <w:tc>
          <w:tcPr>
            <w:tcW w:type="dxa" w:w="1170"/>
            <w:shd w:fill="F2F2F2" w:color="auto" w:val="clear"/>
          </w:tcPr>
          <w:p>
            <w:r>
              <w:rPr>
                <w:b w:val="false"/>
                <w:bCs w:val="false"/>
                <w:sz w:val="18"/>
                <w:szCs w:val="18"/>
              </w:rPr>
              <w:t xml:space="preserve">122.72%</w:t>
            </w:r>
          </w:p>
        </w:tc>
        <w:tc>
          <w:tcPr>
            <w:tcW w:type="dxa" w:w="1170"/>
            <w:shd w:fill="F2F2F2" w:color="auto" w:val="clear"/>
          </w:tcPr>
          <w:p>
            <w:r>
              <w:rPr>
                <w:b w:val="false"/>
                <w:bCs w:val="false"/>
                <w:sz w:val="18"/>
                <w:szCs w:val="18"/>
              </w:rPr>
              <w:t xml:space="preserve">84.18%</w:t>
            </w:r>
          </w:p>
        </w:tc>
        <w:tc>
          <w:tcPr>
            <w:tcW w:type="dxa" w:w="1170"/>
            <w:shd w:fill="F2F2F2" w:color="auto" w:val="clear"/>
          </w:tcPr>
          <w:p>
            <w:r>
              <w:rPr>
                <w:b w:val="false"/>
                <w:bCs w:val="false"/>
                <w:sz w:val="18"/>
                <w:szCs w:val="18"/>
              </w:rPr>
              <w:t xml:space="preserve">90.75%</w:t>
            </w:r>
          </w:p>
        </w:tc>
        <w:tc>
          <w:tcPr>
            <w:tcW w:type="dxa" w:w="1170"/>
            <w:shd w:fill="F2F2F2" w:color="auto" w:val="clear"/>
          </w:tcPr>
          <w:p>
            <w:r>
              <w:rPr>
                <w:b w:val="false"/>
                <w:bCs w:val="false"/>
                <w:sz w:val="18"/>
                <w:szCs w:val="18"/>
              </w:rPr>
              <w:t xml:space="preserve">0.0103</w:t>
            </w:r>
          </w:p>
        </w:tc>
        <w:tc>
          <w:tcPr>
            <w:tcW w:type="dxa" w:w="1170"/>
            <w:shd w:fill="F2F2F2" w:color="auto" w:val="clear"/>
          </w:tcPr>
          <w:p>
            <w:r>
              <w:rPr>
                <w:b w:val="false"/>
                <w:bCs w:val="false"/>
                <w:sz w:val="18"/>
                <w:szCs w:val="18"/>
              </w:rPr>
              <w:t xml:space="preserve">0.55%</w:t>
            </w:r>
          </w:p>
        </w:tc>
      </w:tr>
    </w:tbl>
    <w:p>
      <w:pPr>
        <w:spacing w:after="80"/>
      </w:pPr>
    </w:p>
    <w:p>
      <w:pPr>
        <w:spacing w:after="160"/>
      </w:pPr>
      <w:r>
        <w:t xml:space="preserve">Both prompt formats failed in a similar manner. A WER above 100% indicates that the model inserted and substituted more words than the reference contained, so the output diverged from the target in length as well as in content, and neither format is usable on its own. Of the two, the raw format produced lower WER and CER throughout. This was somewhat unexpected, given that raw prompts are longer and had previously exposed a truncation bug, since resolved. Because both formats remain well above 100% WER, we regard this difference as preliminary and would want to confirm it with significance testing or a full-corpus comparison before drawing conclusions.</w:t>
      </w:r>
    </w:p>
    <w:p>
      <w:pPr>
        <w:pStyle w:val="Heading1"/>
        <w:spacing w:after="120" w:before="240"/>
      </w:pPr>
      <w:r>
        <w:t xml:space="preserve">3. Detailed Error Pattern Analysis</w:t>
      </w:r>
    </w:p>
    <w:p>
      <w:pPr>
        <w:spacing w:after="160"/>
      </w:pPr>
      <w:r>
        <w:t xml:space="preserve">Each substitution error from the zero-shot and LoRA runs was categorised with a CMU-dictionary classifier into three groups: exact homophone swaps, near-homophone swaps at a phoneme edit distance of one, and unrelated substitutions ('other'). A second, independent pass scored the outputs by three articulatory features: place of articulation, manner of articulation, and voicing.</w:t>
      </w:r>
    </w:p>
    <w:p>
      <w:pPr>
        <w:pStyle w:val="Heading2"/>
        <w:spacing w:after="100" w:before="200"/>
      </w:pPr>
      <w:r>
        <w:t xml:space="preserve">3.1 Substitution Error Classification</w:t>
      </w:r>
    </w:p>
    <w:p>
      <w:pPr>
        <w:spacing w:after="80"/>
      </w:pPr>
      <w:r>
        <w:rPr>
          <w:i/>
          <w:iCs/>
          <w:sz w:val="18"/>
          <w:szCs w:val="18"/>
        </w:rPr>
        <w:t xml:space="preserve">Table 3: Substitution error breakdown by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color="auto" w:val="clear"/>
          </w:tcPr>
          <w:p>
            <w:r>
              <w:rPr>
                <w:b/>
                <w:bCs/>
                <w:sz w:val="18"/>
                <w:szCs w:val="18"/>
              </w:rPr>
              <w:t xml:space="preserve">Model</w:t>
            </w:r>
          </w:p>
        </w:tc>
        <w:tc>
          <w:tcPr>
            <w:tcW w:type="dxa" w:w="1872"/>
            <w:shd w:fill="D9E2F3" w:color="auto" w:val="clear"/>
          </w:tcPr>
          <w:p>
            <w:r>
              <w:rPr>
                <w:b/>
                <w:bCs/>
                <w:sz w:val="18"/>
                <w:szCs w:val="18"/>
              </w:rPr>
              <w:t xml:space="preserve">Substitutions</w:t>
            </w:r>
          </w:p>
        </w:tc>
        <w:tc>
          <w:tcPr>
            <w:tcW w:type="dxa" w:w="1872"/>
            <w:shd w:fill="D9E2F3" w:color="auto" w:val="clear"/>
          </w:tcPr>
          <w:p>
            <w:r>
              <w:rPr>
                <w:b/>
                <w:bCs/>
                <w:sz w:val="18"/>
                <w:szCs w:val="18"/>
              </w:rPr>
              <w:t xml:space="preserve">Homophone</w:t>
            </w:r>
          </w:p>
        </w:tc>
        <w:tc>
          <w:tcPr>
            <w:tcW w:type="dxa" w:w="1872"/>
            <w:shd w:fill="D9E2F3" w:color="auto" w:val="clear"/>
          </w:tcPr>
          <w:p>
            <w:r>
              <w:rPr>
                <w:b/>
                <w:bCs/>
                <w:sz w:val="18"/>
                <w:szCs w:val="18"/>
              </w:rPr>
              <w:t xml:space="preserve">Near-homophone</w:t>
            </w:r>
          </w:p>
        </w:tc>
        <w:tc>
          <w:tcPr>
            <w:tcW w:type="dxa" w:w="1872"/>
            <w:shd w:fill="D9E2F3" w:color="auto" w:val="clear"/>
          </w:tcPr>
          <w:p>
            <w:r>
              <w:rPr>
                <w:b/>
                <w:bCs/>
                <w:sz w:val="18"/>
                <w:szCs w:val="18"/>
              </w:rPr>
              <w:t xml:space="preserve">Other</w:t>
            </w:r>
          </w:p>
        </w:tc>
      </w:tr>
      <w:tr>
        <w:tc>
          <w:tcPr>
            <w:tcW w:type="dxa" w:w="1872"/>
          </w:tcPr>
          <w:p>
            <w:r>
              <w:rPr>
                <w:b w:val="false"/>
                <w:bCs w:val="false"/>
                <w:sz w:val="18"/>
                <w:szCs w:val="18"/>
              </w:rPr>
              <w:t xml:space="preserve">Zero-shot, clean</w:t>
            </w:r>
          </w:p>
        </w:tc>
        <w:tc>
          <w:tcPr>
            <w:tcW w:type="dxa" w:w="1872"/>
          </w:tcPr>
          <w:p>
            <w:r>
              <w:rPr>
                <w:b w:val="false"/>
                <w:bCs w:val="false"/>
                <w:sz w:val="18"/>
                <w:szCs w:val="18"/>
              </w:rPr>
              <w:t xml:space="preserve">24,069</w:t>
            </w:r>
          </w:p>
        </w:tc>
        <w:tc>
          <w:tcPr>
            <w:tcW w:type="dxa" w:w="1872"/>
          </w:tcPr>
          <w:p>
            <w:r>
              <w:rPr>
                <w:b w:val="false"/>
                <w:bCs w:val="false"/>
                <w:sz w:val="18"/>
                <w:szCs w:val="18"/>
              </w:rPr>
              <w:t xml:space="preserve">0.1%</w:t>
            </w:r>
          </w:p>
        </w:tc>
        <w:tc>
          <w:tcPr>
            <w:tcW w:type="dxa" w:w="1872"/>
          </w:tcPr>
          <w:p>
            <w:r>
              <w:rPr>
                <w:b w:val="false"/>
                <w:bCs w:val="false"/>
                <w:sz w:val="18"/>
                <w:szCs w:val="18"/>
              </w:rPr>
              <w:t xml:space="preserve">4.3%</w:t>
            </w:r>
          </w:p>
        </w:tc>
        <w:tc>
          <w:tcPr>
            <w:tcW w:type="dxa" w:w="1872"/>
          </w:tcPr>
          <w:p>
            <w:r>
              <w:rPr>
                <w:b w:val="false"/>
                <w:bCs w:val="false"/>
                <w:sz w:val="18"/>
                <w:szCs w:val="18"/>
              </w:rPr>
              <w:t xml:space="preserve">95.6%</w:t>
            </w:r>
          </w:p>
        </w:tc>
      </w:tr>
      <w:tr>
        <w:tc>
          <w:tcPr>
            <w:tcW w:type="dxa" w:w="1872"/>
            <w:shd w:fill="F2F2F2" w:color="auto" w:val="clear"/>
          </w:tcPr>
          <w:p>
            <w:r>
              <w:rPr>
                <w:b w:val="false"/>
                <w:bCs w:val="false"/>
                <w:sz w:val="18"/>
                <w:szCs w:val="18"/>
              </w:rPr>
              <w:t xml:space="preserve">Zero-shot, raw</w:t>
            </w:r>
          </w:p>
        </w:tc>
        <w:tc>
          <w:tcPr>
            <w:tcW w:type="dxa" w:w="1872"/>
            <w:shd w:fill="F2F2F2" w:color="auto" w:val="clear"/>
          </w:tcPr>
          <w:p>
            <w:r>
              <w:rPr>
                <w:b w:val="false"/>
                <w:bCs w:val="false"/>
                <w:sz w:val="18"/>
                <w:szCs w:val="18"/>
              </w:rPr>
              <w:t xml:space="preserve">21,651</w:t>
            </w:r>
          </w:p>
        </w:tc>
        <w:tc>
          <w:tcPr>
            <w:tcW w:type="dxa" w:w="1872"/>
            <w:shd w:fill="F2F2F2" w:color="auto" w:val="clear"/>
          </w:tcPr>
          <w:p>
            <w:r>
              <w:rPr>
                <w:b w:val="false"/>
                <w:bCs w:val="false"/>
                <w:sz w:val="18"/>
                <w:szCs w:val="18"/>
              </w:rPr>
              <w:t xml:space="preserve">0.2%</w:t>
            </w:r>
          </w:p>
        </w:tc>
        <w:tc>
          <w:tcPr>
            <w:tcW w:type="dxa" w:w="1872"/>
            <w:shd w:fill="F2F2F2" w:color="auto" w:val="clear"/>
          </w:tcPr>
          <w:p>
            <w:r>
              <w:rPr>
                <w:b w:val="false"/>
                <w:bCs w:val="false"/>
                <w:sz w:val="18"/>
                <w:szCs w:val="18"/>
              </w:rPr>
              <w:t xml:space="preserve">4.7%</w:t>
            </w:r>
          </w:p>
        </w:tc>
        <w:tc>
          <w:tcPr>
            <w:tcW w:type="dxa" w:w="1872"/>
            <w:shd w:fill="F2F2F2" w:color="auto" w:val="clear"/>
          </w:tcPr>
          <w:p>
            <w:r>
              <w:rPr>
                <w:b w:val="false"/>
                <w:bCs w:val="false"/>
                <w:sz w:val="18"/>
                <w:szCs w:val="18"/>
              </w:rPr>
              <w:t xml:space="preserve">95.1%</w:t>
            </w:r>
          </w:p>
        </w:tc>
      </w:tr>
      <w:tr>
        <w:tc>
          <w:tcPr>
            <w:tcW w:type="dxa" w:w="1872"/>
          </w:tcPr>
          <w:p>
            <w:r>
              <w:rPr>
                <w:b w:val="false"/>
                <w:bCs w:val="false"/>
                <w:sz w:val="18"/>
                <w:szCs w:val="18"/>
              </w:rPr>
              <w:t xml:space="preserve">LoRA fine-tuned</w:t>
            </w:r>
          </w:p>
        </w:tc>
        <w:tc>
          <w:tcPr>
            <w:tcW w:type="dxa" w:w="1872"/>
          </w:tcPr>
          <w:p>
            <w:r>
              <w:rPr>
                <w:b w:val="false"/>
                <w:bCs w:val="false"/>
                <w:sz w:val="18"/>
                <w:szCs w:val="18"/>
              </w:rPr>
              <w:t xml:space="preserve">987</w:t>
            </w:r>
          </w:p>
        </w:tc>
        <w:tc>
          <w:tcPr>
            <w:tcW w:type="dxa" w:w="1872"/>
          </w:tcPr>
          <w:p>
            <w:r>
              <w:rPr>
                <w:b w:val="false"/>
                <w:bCs w:val="false"/>
                <w:sz w:val="18"/>
                <w:szCs w:val="18"/>
              </w:rPr>
              <w:t xml:space="preserve">2.6%</w:t>
            </w:r>
          </w:p>
        </w:tc>
        <w:tc>
          <w:tcPr>
            <w:tcW w:type="dxa" w:w="1872"/>
          </w:tcPr>
          <w:p>
            <w:r>
              <w:rPr>
                <w:b w:val="false"/>
                <w:bCs w:val="false"/>
                <w:sz w:val="18"/>
                <w:szCs w:val="18"/>
              </w:rPr>
              <w:t xml:space="preserve">13.5%</w:t>
            </w:r>
          </w:p>
        </w:tc>
        <w:tc>
          <w:tcPr>
            <w:tcW w:type="dxa" w:w="1872"/>
          </w:tcPr>
          <w:p>
            <w:r>
              <w:rPr>
                <w:b w:val="false"/>
                <w:bCs w:val="false"/>
                <w:sz w:val="18"/>
                <w:szCs w:val="18"/>
              </w:rPr>
              <w:t xml:space="preserve">83.9%</w:t>
            </w:r>
          </w:p>
        </w:tc>
      </w:tr>
    </w:tbl>
    <w:p>
      <w:pPr>
        <w:spacing w:after="80"/>
      </w:pPr>
    </w:p>
    <w:p>
      <w:pPr>
        <w:spacing w:after="160"/>
      </w:pPr>
      <w:r>
        <w:t xml:space="preserve">The same pattern held across all three configurations: the majority of substitution errors were phonetically unrelated to the reference word. For the zero-shot models this is expected, since a model that generates largely unrelated sentences will not display a phonetic error signature. The result for the LoRA model is more informative: after training, 83.9% of its remaining substitutions were still phonetically unrelated. At the same time, its combined share of homophone and near-homophone errors was about six times that of the zero-shot runs (16.1% against under 5%). This suggests that the fine-tuned model's residual errors concentrate more on genuinely difficult phonetic confusions, whereas the zero-shot errors reflect broader hallucination.</w:t>
      </w:r>
    </w:p>
    <w:p>
      <w:pPr>
        <w:pStyle w:val="Heading2"/>
        <w:spacing w:after="100" w:before="200"/>
      </w:pPr>
      <w:r>
        <w:t xml:space="preserve">3.2 Articulatory Feature Mismatch</w:t>
      </w:r>
    </w:p>
    <w:p>
      <w:pPr>
        <w:spacing w:after="80"/>
      </w:pPr>
      <w:r>
        <w:rPr>
          <w:i/>
          <w:iCs/>
          <w:sz w:val="18"/>
          <w:szCs w:val="18"/>
        </w:rPr>
        <w:t xml:space="preserve">Table 4: Articulatory feature mismatch rates by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Pr>
          <w:p>
            <w:r>
              <w:rPr>
                <w:b/>
                <w:bCs/>
                <w:sz w:val="18"/>
                <w:szCs w:val="18"/>
              </w:rPr>
              <w:t xml:space="preserve">Model</w:t>
            </w:r>
          </w:p>
        </w:tc>
        <w:tc>
          <w:tcPr>
            <w:tcW w:type="dxa" w:w="2340"/>
            <w:shd w:fill="D9E2F3" w:color="auto" w:val="clear"/>
          </w:tcPr>
          <w:p>
            <w:r>
              <w:rPr>
                <w:b/>
                <w:bCs/>
                <w:sz w:val="18"/>
                <w:szCs w:val="18"/>
              </w:rPr>
              <w:t xml:space="preserve">Place</w:t>
            </w:r>
          </w:p>
        </w:tc>
        <w:tc>
          <w:tcPr>
            <w:tcW w:type="dxa" w:w="2340"/>
            <w:shd w:fill="D9E2F3" w:color="auto" w:val="clear"/>
          </w:tcPr>
          <w:p>
            <w:r>
              <w:rPr>
                <w:b/>
                <w:bCs/>
                <w:sz w:val="18"/>
                <w:szCs w:val="18"/>
              </w:rPr>
              <w:t xml:space="preserve">Manner</w:t>
            </w:r>
          </w:p>
        </w:tc>
        <w:tc>
          <w:tcPr>
            <w:tcW w:type="dxa" w:w="2340"/>
            <w:shd w:fill="D9E2F3" w:color="auto" w:val="clear"/>
          </w:tcPr>
          <w:p>
            <w:r>
              <w:rPr>
                <w:b/>
                <w:bCs/>
                <w:sz w:val="18"/>
                <w:szCs w:val="18"/>
              </w:rPr>
              <w:t xml:space="preserve">Voicing</w:t>
            </w:r>
          </w:p>
        </w:tc>
      </w:tr>
      <w:tr>
        <w:tc>
          <w:tcPr>
            <w:tcW w:type="dxa" w:w="2340"/>
          </w:tcPr>
          <w:p>
            <w:r>
              <w:rPr>
                <w:b w:val="false"/>
                <w:bCs w:val="false"/>
                <w:sz w:val="18"/>
                <w:szCs w:val="18"/>
              </w:rPr>
              <w:t xml:space="preserve">Zero-shot, clean</w:t>
            </w:r>
          </w:p>
        </w:tc>
        <w:tc>
          <w:tcPr>
            <w:tcW w:type="dxa" w:w="2340"/>
          </w:tcPr>
          <w:p>
            <w:r>
              <w:rPr>
                <w:b w:val="false"/>
                <w:bCs w:val="false"/>
                <w:sz w:val="18"/>
                <w:szCs w:val="18"/>
              </w:rPr>
              <w:t xml:space="preserve">65.3%</w:t>
            </w:r>
          </w:p>
        </w:tc>
        <w:tc>
          <w:tcPr>
            <w:tcW w:type="dxa" w:w="2340"/>
          </w:tcPr>
          <w:p>
            <w:r>
              <w:rPr>
                <w:b w:val="false"/>
                <w:bCs w:val="false"/>
                <w:sz w:val="18"/>
                <w:szCs w:val="18"/>
              </w:rPr>
              <w:t xml:space="preserve">68.9%</w:t>
            </w:r>
          </w:p>
        </w:tc>
        <w:tc>
          <w:tcPr>
            <w:tcW w:type="dxa" w:w="2340"/>
          </w:tcPr>
          <w:p>
            <w:r>
              <w:rPr>
                <w:b w:val="false"/>
                <w:bCs w:val="false"/>
                <w:sz w:val="18"/>
                <w:szCs w:val="18"/>
              </w:rPr>
              <w:t xml:space="preserve">32.7%</w:t>
            </w:r>
          </w:p>
        </w:tc>
      </w:tr>
      <w:tr>
        <w:tc>
          <w:tcPr>
            <w:tcW w:type="dxa" w:w="2340"/>
            <w:shd w:fill="F2F2F2" w:color="auto" w:val="clear"/>
          </w:tcPr>
          <w:p>
            <w:r>
              <w:rPr>
                <w:b w:val="false"/>
                <w:bCs w:val="false"/>
                <w:sz w:val="18"/>
                <w:szCs w:val="18"/>
              </w:rPr>
              <w:t xml:space="preserve">Zero-shot, raw</w:t>
            </w:r>
          </w:p>
        </w:tc>
        <w:tc>
          <w:tcPr>
            <w:tcW w:type="dxa" w:w="2340"/>
            <w:shd w:fill="F2F2F2" w:color="auto" w:val="clear"/>
          </w:tcPr>
          <w:p>
            <w:r>
              <w:rPr>
                <w:b w:val="false"/>
                <w:bCs w:val="false"/>
                <w:sz w:val="18"/>
                <w:szCs w:val="18"/>
              </w:rPr>
              <w:t xml:space="preserve">63.1%</w:t>
            </w:r>
          </w:p>
        </w:tc>
        <w:tc>
          <w:tcPr>
            <w:tcW w:type="dxa" w:w="2340"/>
            <w:shd w:fill="F2F2F2" w:color="auto" w:val="clear"/>
          </w:tcPr>
          <w:p>
            <w:r>
              <w:rPr>
                <w:b w:val="false"/>
                <w:bCs w:val="false"/>
                <w:sz w:val="18"/>
                <w:szCs w:val="18"/>
              </w:rPr>
              <w:t xml:space="preserve">66.2%</w:t>
            </w:r>
          </w:p>
        </w:tc>
        <w:tc>
          <w:tcPr>
            <w:tcW w:type="dxa" w:w="2340"/>
            <w:shd w:fill="F2F2F2" w:color="auto" w:val="clear"/>
          </w:tcPr>
          <w:p>
            <w:r>
              <w:rPr>
                <w:b w:val="false"/>
                <w:bCs w:val="false"/>
                <w:sz w:val="18"/>
                <w:szCs w:val="18"/>
              </w:rPr>
              <w:t xml:space="preserve">32.0%</w:t>
            </w:r>
          </w:p>
        </w:tc>
      </w:tr>
      <w:tr>
        <w:tc>
          <w:tcPr>
            <w:tcW w:type="dxa" w:w="2340"/>
          </w:tcPr>
          <w:p>
            <w:r>
              <w:rPr>
                <w:b w:val="false"/>
                <w:bCs w:val="false"/>
                <w:sz w:val="18"/>
                <w:szCs w:val="18"/>
              </w:rPr>
              <w:t xml:space="preserve">LoRA fine-tuned</w:t>
            </w:r>
          </w:p>
        </w:tc>
        <w:tc>
          <w:tcPr>
            <w:tcW w:type="dxa" w:w="2340"/>
          </w:tcPr>
          <w:p>
            <w:r>
              <w:rPr>
                <w:b w:val="false"/>
                <w:bCs w:val="false"/>
                <w:sz w:val="18"/>
                <w:szCs w:val="18"/>
              </w:rPr>
              <w:t xml:space="preserve">49.1%</w:t>
            </w:r>
          </w:p>
        </w:tc>
        <w:tc>
          <w:tcPr>
            <w:tcW w:type="dxa" w:w="2340"/>
          </w:tcPr>
          <w:p>
            <w:r>
              <w:rPr>
                <w:b w:val="false"/>
                <w:bCs w:val="false"/>
                <w:sz w:val="18"/>
                <w:szCs w:val="18"/>
              </w:rPr>
              <w:t xml:space="preserve">53.5%</w:t>
            </w:r>
          </w:p>
        </w:tc>
        <w:tc>
          <w:tcPr>
            <w:tcW w:type="dxa" w:w="2340"/>
          </w:tcPr>
          <w:p>
            <w:r>
              <w:rPr>
                <w:b w:val="false"/>
                <w:bCs w:val="false"/>
                <w:sz w:val="18"/>
                <w:szCs w:val="18"/>
              </w:rPr>
              <w:t xml:space="preserve">26.9%</w:t>
            </w:r>
          </w:p>
        </w:tc>
      </w:tr>
    </w:tbl>
    <w:p>
      <w:pPr>
        <w:spacing w:after="80"/>
      </w:pPr>
    </w:p>
    <w:p>
      <w:pPr>
        <w:spacing w:after="160"/>
      </w:pPr>
      <w:r>
        <w:t xml:space="preserve">Manner of articulation was the most frequently mismatched feature in every model, followed by place of articulation, with voicing mismatched least often. The LoRA model recorded lower mismatch rates on all three features, which fits a model that makes fewer classifiable phoneme-level errors overall and shows no sign of a qualitatively different error profile. A weighted phoneme error rate (WPER), which assigns partial credit for near-miss phonemes, supports this reading: 87.9% for the clean zero-shot format and 79.0% for the raw format, against 13.8% for the LoRA model.</w:t>
      </w:r>
    </w:p>
    <w:p>
      <w:pPr>
        <w:pStyle w:val="Heading1"/>
        <w:spacing w:after="120" w:before="240"/>
      </w:pPr>
      <w:r>
        <w:t xml:space="preserve">4. Limitations</w:t>
      </w:r>
    </w:p>
    <w:p>
      <w:pPr>
        <w:spacing w:after="160"/>
      </w:pPr>
      <w:r>
        <w:t xml:space="preserve">Several factors limit the scope of these findings. The results come from a 5,000-sentence sample, roughly a tenth of the full 48,164-sentence corpus, and the evaluation set was drawn from the same pool that later tuning may also use, so the figures are best treated as indicative at this stage. The LoRA configuration used the default rank of 8, whereas the earlier full-corpus checkpoint used rank 48; the two runs therefore differ in adapter capacity and should be compared with that in mind. The contrastive mechanism remained disabled throughout, so the comparison reported here is between fine-tuning and prompting, and it should not be read as a controlled ablation of the contrastive loss.</w:t>
      </w:r>
    </w:p>
    <w:p>
      <w:pPr>
        <w:pStyle w:val="Heading1"/>
        <w:spacing w:after="120" w:before="240"/>
      </w:pPr>
      <w:r>
        <w:t xml:space="preserve">5. Next Steps</w:t>
      </w:r>
    </w:p>
    <w:p>
      <w:pPr>
        <w:spacing w:after="160"/>
      </w:pPr>
      <w:r>
        <w:t xml:space="preserve">A non-LLM baseline is the next planned comparison. We have implemented a small GRU encoder-decoder that trains from scratch on the same sample of about 5,000 pairs, though it has not yet been run. Once results are available, it will provide a fourth reference point alongside the existing three: a model with no prior language knowledge, a pretrained model used through prompting, and the same pretrained model after fine-tuning. The results so far also point to two further directions: extending the evaluation to the full corpus with a properly held-out test set, and revisiting the contrastive objective so that it can be evaluated as a genuine ablation in a later run. We will report the GRU results in the next weekly update.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2026-07-11T20:08:45.635Z</dcterms:created>
  <dcterms:modified xsi:type="dcterms:W3CDTF">2026-07-11T20:08:45.635Z</dcterms:modified>
</cp:coreProperties>
</file>

<file path=docProps/custom.xml><?xml version="1.0" encoding="utf-8"?>
<Properties xmlns="http://schemas.openxmlformats.org/officeDocument/2006/custom-properties" xmlns:vt="http://schemas.openxmlformats.org/officeDocument/2006/docPropsVTypes"/>
</file>