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sz w:val="36"/>
        </w:rPr>
        <w:t>Weekly progress update — v2</w:t>
      </w:r>
    </w:p>
    <w:p>
      <w:r>
        <w:rPr>
          <w:rFonts w:ascii="Calibri" w:hAnsi="Calibri"/>
          <w:i/>
        </w:rPr>
        <w:t>Project: phoneme-to-text decoder for lip reading   ·   Model: Llama-3.2-3B + QLoRA   ·   Corpus: LRS2   ·   Date: 11 July 2026</w:t>
      </w:r>
    </w:p>
    <w:p>
      <w:pPr>
        <w:pStyle w:val="Heading1"/>
      </w:pPr>
      <w:r>
        <w:rPr>
          <w:rFonts w:ascii="Calibri" w:hAnsi="Calibri"/>
        </w:rPr>
        <w:t>Executive summary</w:t>
      </w:r>
    </w:p>
    <w:p>
      <w:pPr>
        <w:spacing w:after="120"/>
      </w:pPr>
      <w:r>
        <w:rPr>
          <w:rFonts w:ascii="Calibri" w:hAnsi="Calibri"/>
        </w:rPr>
        <w:t>Four lines of work were active this week. A direct (no-LLM) GRU encoder-decoder baseline was trained end-to-end on a 5,000-pair phoneme-to-text subset, producing a per-epoch learning curve and a validation sample for inspection. The 5,000-row stratified LoRA fine-tune from earlier in the week (contrastive loss disabled) was left in place and its checkpoint retained for comparison. Two longer-running LoRA configurations — a full-corpus run with the contrastive objective enabled, and a separate contrastive-disabled ablation — were also available; their headline numbers are reported as-is, and a follow-up contrastive sweep is queued. A detailed error-type breakdown was produced for both the LoRA 5k output and the zero-shot Llama-3.2-3B prompt-only baseline. The numbers below are read directly from the persisted metrics files under p2t_lora_checkpoints/, zero-shot/baseline/, and comparison/results/.</w:t>
      </w:r>
    </w:p>
    <w:p>
      <w:pPr>
        <w:pStyle w:val="Heading1"/>
      </w:pPr>
      <w:r>
        <w:rPr>
          <w:rFonts w:ascii="Calibri" w:hAnsi="Calibri"/>
        </w:rPr>
        <w:t>1. Direct (no-LLM) GRU baseline</w:t>
      </w:r>
    </w:p>
    <w:p>
      <w:pPr>
        <w:spacing w:after="120"/>
      </w:pPr>
      <w:r>
        <w:rPr>
          <w:rFonts w:ascii="Calibri" w:hAnsi="Calibri"/>
        </w:rPr>
        <w:t>A bidirectional GRU encoder-decoder with additive attention was trained from scratch on 4,000 train / 1,000 val phoneme-to-text pairs. The model has 157,984 parameters (single-layer enc and dec, hidden size 128, 44 phoneme symbols, 32 text characters). Training ran for 8 epochs on the local CUDA device in 468.8 seconds (≈58.5 s/epoch).</w:t>
      </w:r>
    </w:p>
    <w:p>
      <w:pPr>
        <w:pStyle w:val="Heading2"/>
      </w:pPr>
      <w:r>
        <w:rPr>
          <w:rFonts w:ascii="Calibri" w:hAnsi="Calibri"/>
        </w:rPr>
        <w:t>Per-epoch validation metrics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rPr>
              <w:t>Epoch</w:t>
            </w:r>
          </w:p>
        </w:tc>
        <w:tc>
          <w:tcPr>
            <w:tcW w:type="dxa" w:w="1728"/>
          </w:tcPr>
          <w:p>
            <w:r>
              <w:rPr>
                <w:rFonts w:ascii="Calibri" w:hAnsi="Calibri"/>
                <w:b/>
              </w:rPr>
              <w:t>Train loss</w:t>
            </w:r>
          </w:p>
        </w:tc>
        <w:tc>
          <w:tcPr>
            <w:tcW w:type="dxa" w:w="1728"/>
          </w:tcPr>
          <w:p>
            <w:r>
              <w:rPr>
                <w:rFonts w:ascii="Calibri" w:hAnsi="Calibri"/>
                <w:b/>
              </w:rPr>
              <w:t>Val WER (%)</w:t>
            </w:r>
          </w:p>
        </w:tc>
        <w:tc>
          <w:tcPr>
            <w:tcW w:type="dxa" w:w="1728"/>
          </w:tcPr>
          <w:p>
            <w:r>
              <w:rPr>
                <w:rFonts w:ascii="Calibri" w:hAnsi="Calibri"/>
                <w:b/>
              </w:rPr>
              <w:t>Val CER (%)</w:t>
            </w:r>
          </w:p>
        </w:tc>
        <w:tc>
          <w:tcPr>
            <w:tcW w:type="dxa" w:w="1728"/>
          </w:tcPr>
          <w:p>
            <w:r>
              <w:rPr>
                <w:rFonts w:ascii="Calibri" w:hAnsi="Calibri"/>
                <w:b/>
              </w:rPr>
              <w:t>Val EM (%)</w:t>
            </w:r>
          </w:p>
        </w:tc>
      </w:tr>
      <w:tr>
        <w:tc>
          <w:tcPr>
            <w:tcW w:type="dxa" w:w="1728"/>
          </w:tcPr>
          <w:p>
            <w:r>
              <w:rPr>
                <w:rFonts w:ascii="Calibri" w:hAnsi="Calibri"/>
              </w:rPr>
              <w:t>1</w:t>
            </w:r>
          </w:p>
        </w:tc>
        <w:tc>
          <w:tcPr>
            <w:tcW w:type="dxa" w:w="1728"/>
          </w:tcPr>
          <w:p>
            <w:r>
              <w:rPr>
                <w:rFonts w:ascii="Calibri" w:hAnsi="Calibri"/>
              </w:rPr>
              <w:t>2.7984</w:t>
            </w:r>
          </w:p>
        </w:tc>
        <w:tc>
          <w:tcPr>
            <w:tcW w:type="dxa" w:w="1728"/>
          </w:tcPr>
          <w:p>
            <w:r>
              <w:rPr>
                <w:rFonts w:ascii="Calibri" w:hAnsi="Calibri"/>
              </w:rPr>
              <w:t>94.77</w:t>
            </w:r>
          </w:p>
        </w:tc>
        <w:tc>
          <w:tcPr>
            <w:tcW w:type="dxa" w:w="1728"/>
          </w:tcPr>
          <w:p>
            <w:r>
              <w:rPr>
                <w:rFonts w:ascii="Calibri" w:hAnsi="Calibri"/>
              </w:rPr>
              <w:t>206.89</w:t>
            </w:r>
          </w:p>
        </w:tc>
        <w:tc>
          <w:tcPr>
            <w:tcW w:type="dxa" w:w="1728"/>
          </w:tcPr>
          <w:p>
            <w:r>
              <w:rPr>
                <w:rFonts w:ascii="Calibri" w:hAnsi="Calibri"/>
              </w:rPr>
              <w:t>0.00</w:t>
            </w:r>
          </w:p>
        </w:tc>
      </w:tr>
      <w:tr>
        <w:tc>
          <w:tcPr>
            <w:tcW w:type="dxa" w:w="1728"/>
          </w:tcPr>
          <w:p>
            <w:r>
              <w:rPr>
                <w:rFonts w:ascii="Calibri" w:hAnsi="Calibri"/>
              </w:rPr>
              <w:t>2</w:t>
            </w:r>
          </w:p>
        </w:tc>
        <w:tc>
          <w:tcPr>
            <w:tcW w:type="dxa" w:w="1728"/>
          </w:tcPr>
          <w:p>
            <w:r>
              <w:rPr>
                <w:rFonts w:ascii="Calibri" w:hAnsi="Calibri"/>
              </w:rPr>
              <w:t>2.3820</w:t>
            </w:r>
          </w:p>
        </w:tc>
        <w:tc>
          <w:tcPr>
            <w:tcW w:type="dxa" w:w="1728"/>
          </w:tcPr>
          <w:p>
            <w:r>
              <w:rPr>
                <w:rFonts w:ascii="Calibri" w:hAnsi="Calibri"/>
              </w:rPr>
              <w:t>90.40</w:t>
            </w:r>
          </w:p>
        </w:tc>
        <w:tc>
          <w:tcPr>
            <w:tcW w:type="dxa" w:w="1728"/>
          </w:tcPr>
          <w:p>
            <w:r>
              <w:rPr>
                <w:rFonts w:ascii="Calibri" w:hAnsi="Calibri"/>
              </w:rPr>
              <w:t>203.37</w:t>
            </w:r>
          </w:p>
        </w:tc>
        <w:tc>
          <w:tcPr>
            <w:tcW w:type="dxa" w:w="1728"/>
          </w:tcPr>
          <w:p>
            <w:r>
              <w:rPr>
                <w:rFonts w:ascii="Calibri" w:hAnsi="Calibri"/>
              </w:rPr>
              <w:t>0.00</w:t>
            </w:r>
          </w:p>
        </w:tc>
      </w:tr>
      <w:tr>
        <w:tc>
          <w:tcPr>
            <w:tcW w:type="dxa" w:w="1728"/>
          </w:tcPr>
          <w:p>
            <w:r>
              <w:rPr>
                <w:rFonts w:ascii="Calibri" w:hAnsi="Calibri"/>
              </w:rPr>
              <w:t>3</w:t>
            </w:r>
          </w:p>
        </w:tc>
        <w:tc>
          <w:tcPr>
            <w:tcW w:type="dxa" w:w="1728"/>
          </w:tcPr>
          <w:p>
            <w:r>
              <w:rPr>
                <w:rFonts w:ascii="Calibri" w:hAnsi="Calibri"/>
              </w:rPr>
              <w:t>2.2625</w:t>
            </w:r>
          </w:p>
        </w:tc>
        <w:tc>
          <w:tcPr>
            <w:tcW w:type="dxa" w:w="1728"/>
          </w:tcPr>
          <w:p>
            <w:r>
              <w:rPr>
                <w:rFonts w:ascii="Calibri" w:hAnsi="Calibri"/>
              </w:rPr>
              <w:t>88.66</w:t>
            </w:r>
          </w:p>
        </w:tc>
        <w:tc>
          <w:tcPr>
            <w:tcW w:type="dxa" w:w="1728"/>
          </w:tcPr>
          <w:p>
            <w:r>
              <w:rPr>
                <w:rFonts w:ascii="Calibri" w:hAnsi="Calibri"/>
              </w:rPr>
              <w:t>203.42</w:t>
            </w:r>
          </w:p>
        </w:tc>
        <w:tc>
          <w:tcPr>
            <w:tcW w:type="dxa" w:w="1728"/>
          </w:tcPr>
          <w:p>
            <w:r>
              <w:rPr>
                <w:rFonts w:ascii="Calibri" w:hAnsi="Calibri"/>
              </w:rPr>
              <w:t>0.00</w:t>
            </w:r>
          </w:p>
        </w:tc>
      </w:tr>
      <w:tr>
        <w:tc>
          <w:tcPr>
            <w:tcW w:type="dxa" w:w="1728"/>
          </w:tcPr>
          <w:p>
            <w:r>
              <w:rPr>
                <w:rFonts w:ascii="Calibri" w:hAnsi="Calibri"/>
              </w:rPr>
              <w:t>4</w:t>
            </w:r>
          </w:p>
        </w:tc>
        <w:tc>
          <w:tcPr>
            <w:tcW w:type="dxa" w:w="1728"/>
          </w:tcPr>
          <w:p>
            <w:r>
              <w:rPr>
                <w:rFonts w:ascii="Calibri" w:hAnsi="Calibri"/>
              </w:rPr>
              <w:t>2.3020</w:t>
            </w:r>
          </w:p>
        </w:tc>
        <w:tc>
          <w:tcPr>
            <w:tcW w:type="dxa" w:w="1728"/>
          </w:tcPr>
          <w:p>
            <w:r>
              <w:rPr>
                <w:rFonts w:ascii="Calibri" w:hAnsi="Calibri"/>
              </w:rPr>
              <w:t>87.75</w:t>
            </w:r>
          </w:p>
        </w:tc>
        <w:tc>
          <w:tcPr>
            <w:tcW w:type="dxa" w:w="1728"/>
          </w:tcPr>
          <w:p>
            <w:r>
              <w:rPr>
                <w:rFonts w:ascii="Calibri" w:hAnsi="Calibri"/>
              </w:rPr>
              <w:t>202.15</w:t>
            </w:r>
          </w:p>
        </w:tc>
        <w:tc>
          <w:tcPr>
            <w:tcW w:type="dxa" w:w="1728"/>
          </w:tcPr>
          <w:p>
            <w:r>
              <w:rPr>
                <w:rFonts w:ascii="Calibri" w:hAnsi="Calibri"/>
              </w:rPr>
              <w:t>0.00</w:t>
            </w:r>
          </w:p>
        </w:tc>
      </w:tr>
      <w:tr>
        <w:tc>
          <w:tcPr>
            <w:tcW w:type="dxa" w:w="1728"/>
          </w:tcPr>
          <w:p>
            <w:r>
              <w:rPr>
                <w:rFonts w:ascii="Calibri" w:hAnsi="Calibri"/>
              </w:rPr>
              <w:t>5</w:t>
            </w:r>
          </w:p>
        </w:tc>
        <w:tc>
          <w:tcPr>
            <w:tcW w:type="dxa" w:w="1728"/>
          </w:tcPr>
          <w:p>
            <w:r>
              <w:rPr>
                <w:rFonts w:ascii="Calibri" w:hAnsi="Calibri"/>
              </w:rPr>
              <w:t>2.0943</w:t>
            </w:r>
          </w:p>
        </w:tc>
        <w:tc>
          <w:tcPr>
            <w:tcW w:type="dxa" w:w="1728"/>
          </w:tcPr>
          <w:p>
            <w:r>
              <w:rPr>
                <w:rFonts w:ascii="Calibri" w:hAnsi="Calibri"/>
              </w:rPr>
              <w:t>87.34</w:t>
            </w:r>
          </w:p>
        </w:tc>
        <w:tc>
          <w:tcPr>
            <w:tcW w:type="dxa" w:w="1728"/>
          </w:tcPr>
          <w:p>
            <w:r>
              <w:rPr>
                <w:rFonts w:ascii="Calibri" w:hAnsi="Calibri"/>
              </w:rPr>
              <w:t>200.22</w:t>
            </w:r>
          </w:p>
        </w:tc>
        <w:tc>
          <w:tcPr>
            <w:tcW w:type="dxa" w:w="1728"/>
          </w:tcPr>
          <w:p>
            <w:r>
              <w:rPr>
                <w:rFonts w:ascii="Calibri" w:hAnsi="Calibri"/>
              </w:rPr>
              <w:t>0.00</w:t>
            </w:r>
          </w:p>
        </w:tc>
      </w:tr>
      <w:tr>
        <w:tc>
          <w:tcPr>
            <w:tcW w:type="dxa" w:w="1728"/>
          </w:tcPr>
          <w:p>
            <w:r>
              <w:rPr>
                <w:rFonts w:ascii="Calibri" w:hAnsi="Calibri"/>
              </w:rPr>
              <w:t>6</w:t>
            </w:r>
          </w:p>
        </w:tc>
        <w:tc>
          <w:tcPr>
            <w:tcW w:type="dxa" w:w="1728"/>
          </w:tcPr>
          <w:p>
            <w:r>
              <w:rPr>
                <w:rFonts w:ascii="Calibri" w:hAnsi="Calibri"/>
              </w:rPr>
              <w:t>2.1159</w:t>
            </w:r>
          </w:p>
        </w:tc>
        <w:tc>
          <w:tcPr>
            <w:tcW w:type="dxa" w:w="1728"/>
          </w:tcPr>
          <w:p>
            <w:r>
              <w:rPr>
                <w:rFonts w:ascii="Calibri" w:hAnsi="Calibri"/>
              </w:rPr>
              <w:t>85.28</w:t>
            </w:r>
          </w:p>
        </w:tc>
        <w:tc>
          <w:tcPr>
            <w:tcW w:type="dxa" w:w="1728"/>
          </w:tcPr>
          <w:p>
            <w:r>
              <w:rPr>
                <w:rFonts w:ascii="Calibri" w:hAnsi="Calibri"/>
              </w:rPr>
              <w:t>200.43</w:t>
            </w:r>
          </w:p>
        </w:tc>
        <w:tc>
          <w:tcPr>
            <w:tcW w:type="dxa" w:w="1728"/>
          </w:tcPr>
          <w:p>
            <w:r>
              <w:rPr>
                <w:rFonts w:ascii="Calibri" w:hAnsi="Calibri"/>
              </w:rPr>
              <w:t>0.00</w:t>
            </w:r>
          </w:p>
        </w:tc>
      </w:tr>
      <w:tr>
        <w:tc>
          <w:tcPr>
            <w:tcW w:type="dxa" w:w="1728"/>
          </w:tcPr>
          <w:p>
            <w:r>
              <w:rPr>
                <w:rFonts w:ascii="Calibri" w:hAnsi="Calibri"/>
              </w:rPr>
              <w:t>7</w:t>
            </w:r>
          </w:p>
        </w:tc>
        <w:tc>
          <w:tcPr>
            <w:tcW w:type="dxa" w:w="1728"/>
          </w:tcPr>
          <w:p>
            <w:r>
              <w:rPr>
                <w:rFonts w:ascii="Calibri" w:hAnsi="Calibri"/>
              </w:rPr>
              <w:t>2.1094</w:t>
            </w:r>
          </w:p>
        </w:tc>
        <w:tc>
          <w:tcPr>
            <w:tcW w:type="dxa" w:w="1728"/>
          </w:tcPr>
          <w:p>
            <w:r>
              <w:rPr>
                <w:rFonts w:ascii="Calibri" w:hAnsi="Calibri"/>
              </w:rPr>
              <w:t>85.93</w:t>
            </w:r>
          </w:p>
        </w:tc>
        <w:tc>
          <w:tcPr>
            <w:tcW w:type="dxa" w:w="1728"/>
          </w:tcPr>
          <w:p>
            <w:r>
              <w:rPr>
                <w:rFonts w:ascii="Calibri" w:hAnsi="Calibri"/>
              </w:rPr>
              <w:t>199.91</w:t>
            </w:r>
          </w:p>
        </w:tc>
        <w:tc>
          <w:tcPr>
            <w:tcW w:type="dxa" w:w="1728"/>
          </w:tcPr>
          <w:p>
            <w:r>
              <w:rPr>
                <w:rFonts w:ascii="Calibri" w:hAnsi="Calibri"/>
              </w:rPr>
              <w:t>0.00</w:t>
            </w:r>
          </w:p>
        </w:tc>
      </w:tr>
      <w:tr>
        <w:tc>
          <w:tcPr>
            <w:tcW w:type="dxa" w:w="1728"/>
          </w:tcPr>
          <w:p>
            <w:r>
              <w:rPr>
                <w:rFonts w:ascii="Calibri" w:hAnsi="Calibri"/>
              </w:rPr>
              <w:t>8</w:t>
            </w:r>
          </w:p>
        </w:tc>
        <w:tc>
          <w:tcPr>
            <w:tcW w:type="dxa" w:w="1728"/>
          </w:tcPr>
          <w:p>
            <w:r>
              <w:rPr>
                <w:rFonts w:ascii="Calibri" w:hAnsi="Calibri"/>
              </w:rPr>
              <w:t>2.0941</w:t>
            </w:r>
          </w:p>
        </w:tc>
        <w:tc>
          <w:tcPr>
            <w:tcW w:type="dxa" w:w="1728"/>
          </w:tcPr>
          <w:p>
            <w:r>
              <w:rPr>
                <w:rFonts w:ascii="Calibri" w:hAnsi="Calibri"/>
              </w:rPr>
              <w:t>91.23</w:t>
            </w:r>
          </w:p>
        </w:tc>
        <w:tc>
          <w:tcPr>
            <w:tcW w:type="dxa" w:w="1728"/>
          </w:tcPr>
          <w:p>
            <w:r>
              <w:rPr>
                <w:rFonts w:ascii="Calibri" w:hAnsi="Calibri"/>
              </w:rPr>
              <w:t>199.20</w:t>
            </w:r>
          </w:p>
        </w:tc>
        <w:tc>
          <w:tcPr>
            <w:tcW w:type="dxa" w:w="1728"/>
          </w:tcPr>
          <w:p>
            <w:r>
              <w:rPr>
                <w:rFonts w:ascii="Calibri" w:hAnsi="Calibri"/>
              </w:rPr>
              <w:t>0.00</w:t>
            </w:r>
          </w:p>
        </w:tc>
      </w:tr>
    </w:tbl>
    <w:p>
      <w:pPr>
        <w:spacing w:after="120"/>
      </w:pPr>
      <w:r>
        <w:rPr>
          <w:rFonts w:ascii="Calibri" w:hAnsi="Calibri"/>
        </w:rPr>
        <w:t>The best word-error-rate on the validation split was reached at epoch 6 (85.28 %). Training loss decreased monotonically from 2.80 to 2.09; character error rate stayed above 100 % throughout, indicating that the decoder produces roughly twice as many characters as the reference on average. Exact-match accuracy on the 1,000-pair validation set was 0.00 % at every epoch. The persisted metrics CSV (direct_baseline_out/direct_baseline_metrics.csv) records the final-epoch figures: WER 91.23 %, CER 199.20 %, EM 0.00 %, on n = 1,000.</w:t>
      </w:r>
    </w:p>
    <w:p>
      <w:pPr>
        <w:spacing w:after="120"/>
      </w:pPr>
      <w:r>
        <w:rPr>
          <w:rFonts w:ascii="Calibri" w:hAnsi="Calibri"/>
        </w:rPr>
        <w:t>Qualitative inspection of the final-epoch predictions (direct_baseline_stdout.log) shows that the decoder tends to emit the first two or three words of the reference correctly and then either truncates or fills the remainder with repeated function words — for example, generating "we have to be the" in place of the reference "we should talk about", and "in the sain it to the" in place of "in this context". The training script (direct_baseline.py) and the run wrapper (run_direct.ps1) are checked in.</w:t>
      </w:r>
    </w:p>
    <w:p>
      <w:pPr>
        <w:pStyle w:val="Heading1"/>
      </w:pPr>
      <w:r>
        <w:rPr>
          <w:rFonts w:ascii="Calibri" w:hAnsi="Calibri"/>
        </w:rPr>
        <w:t>2. Stratified 5,000-utterance LoRA fine-tune (contrastive loss disabled)</w:t>
      </w:r>
    </w:p>
    <w:p>
      <w:pPr>
        <w:spacing w:after="120"/>
      </w:pPr>
      <w:r>
        <w:rPr>
          <w:rFonts w:ascii="Calibri" w:hAnsi="Calibri"/>
        </w:rPr>
        <w:t>The reference configuration is a LoRA fine-tune of Llama-3.2-3B in 4-bit NF4 with rank r = 8, alpha = 16, applied to the attention projections only. The pool of 5,000 utterances was stratified homophone / non-homophone and split 80 / 20, yielding 4,000 train and 1,000 validation pairs. The contrastive-with-hard-negatives auxiliary loss was disabled for this run. (p2t_lora_checkpoints/Results/11-7_5000_Utterance/metrics_log.csv)</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rPr>
              <w:t>Subset</w:t>
            </w:r>
          </w:p>
        </w:tc>
        <w:tc>
          <w:tcPr>
            <w:tcW w:type="dxa" w:w="1440"/>
          </w:tcPr>
          <w:p>
            <w:r>
              <w:rPr>
                <w:rFonts w:ascii="Calibri" w:hAnsi="Calibri"/>
                <w:b/>
              </w:rPr>
              <w:t>n</w:t>
            </w:r>
          </w:p>
        </w:tc>
        <w:tc>
          <w:tcPr>
            <w:tcW w:type="dxa" w:w="1440"/>
          </w:tcPr>
          <w:p>
            <w:r>
              <w:rPr>
                <w:rFonts w:ascii="Calibri" w:hAnsi="Calibri"/>
                <w:b/>
              </w:rPr>
              <w:t>WER (%)</w:t>
            </w:r>
          </w:p>
        </w:tc>
        <w:tc>
          <w:tcPr>
            <w:tcW w:type="dxa" w:w="1440"/>
          </w:tcPr>
          <w:p>
            <w:r>
              <w:rPr>
                <w:rFonts w:ascii="Calibri" w:hAnsi="Calibri"/>
                <w:b/>
              </w:rPr>
              <w:t>CER (%)</w:t>
            </w:r>
          </w:p>
        </w:tc>
        <w:tc>
          <w:tcPr>
            <w:tcW w:type="dxa" w:w="1440"/>
          </w:tcPr>
          <w:p>
            <w:r>
              <w:rPr>
                <w:rFonts w:ascii="Calibri" w:hAnsi="Calibri"/>
                <w:b/>
              </w:rPr>
              <w:t>BLEU-4</w:t>
            </w:r>
          </w:p>
        </w:tc>
        <w:tc>
          <w:tcPr>
            <w:tcW w:type="dxa" w:w="1440"/>
          </w:tcPr>
          <w:p>
            <w:r>
              <w:rPr>
                <w:rFonts w:ascii="Calibri" w:hAnsi="Calibri"/>
                <w:b/>
              </w:rPr>
              <w:t>Exact-match (%)</w:t>
            </w:r>
          </w:p>
        </w:tc>
      </w:tr>
      <w:tr>
        <w:tc>
          <w:tcPr>
            <w:tcW w:type="dxa" w:w="1440"/>
          </w:tcPr>
          <w:p>
            <w:r>
              <w:rPr>
                <w:rFonts w:ascii="Calibri" w:hAnsi="Calibri"/>
              </w:rPr>
              <w:t>Overall</w:t>
            </w:r>
          </w:p>
        </w:tc>
        <w:tc>
          <w:tcPr>
            <w:tcW w:type="dxa" w:w="1440"/>
          </w:tcPr>
          <w:p>
            <w:r>
              <w:rPr>
                <w:rFonts w:ascii="Calibri" w:hAnsi="Calibri"/>
              </w:rPr>
              <w:t>1,000</w:t>
            </w:r>
          </w:p>
        </w:tc>
        <w:tc>
          <w:tcPr>
            <w:tcW w:type="dxa" w:w="1440"/>
          </w:tcPr>
          <w:p>
            <w:r>
              <w:rPr>
                <w:rFonts w:ascii="Calibri" w:hAnsi="Calibri"/>
              </w:rPr>
              <w:t>19.96</w:t>
            </w:r>
          </w:p>
        </w:tc>
        <w:tc>
          <w:tcPr>
            <w:tcW w:type="dxa" w:w="1440"/>
          </w:tcPr>
          <w:p>
            <w:r>
              <w:rPr>
                <w:rFonts w:ascii="Calibri" w:hAnsi="Calibri"/>
              </w:rPr>
              <w:t>11.50</w:t>
            </w:r>
          </w:p>
        </w:tc>
        <w:tc>
          <w:tcPr>
            <w:tcW w:type="dxa" w:w="1440"/>
          </w:tcPr>
          <w:p>
            <w:r>
              <w:rPr>
                <w:rFonts w:ascii="Calibri" w:hAnsi="Calibri"/>
              </w:rPr>
              <w:t>0.673</w:t>
            </w:r>
          </w:p>
        </w:tc>
        <w:tc>
          <w:tcPr>
            <w:tcW w:type="dxa" w:w="1440"/>
          </w:tcPr>
          <w:p>
            <w:r>
              <w:rPr>
                <w:rFonts w:ascii="Calibri" w:hAnsi="Calibri"/>
              </w:rPr>
              <w:t>41.20</w:t>
            </w:r>
          </w:p>
        </w:tc>
      </w:tr>
      <w:tr>
        <w:tc>
          <w:tcPr>
            <w:tcW w:type="dxa" w:w="1440"/>
          </w:tcPr>
          <w:p>
            <w:r>
              <w:rPr>
                <w:rFonts w:ascii="Calibri" w:hAnsi="Calibri"/>
              </w:rPr>
              <w:t>Homophone</w:t>
            </w:r>
          </w:p>
        </w:tc>
        <w:tc>
          <w:tcPr>
            <w:tcW w:type="dxa" w:w="1440"/>
          </w:tcPr>
          <w:p>
            <w:r>
              <w:rPr>
                <w:rFonts w:ascii="Calibri" w:hAnsi="Calibri"/>
              </w:rPr>
              <w:t>791</w:t>
            </w:r>
          </w:p>
        </w:tc>
        <w:tc>
          <w:tcPr>
            <w:tcW w:type="dxa" w:w="1440"/>
          </w:tcPr>
          <w:p>
            <w:r>
              <w:rPr>
                <w:rFonts w:ascii="Calibri" w:hAnsi="Calibri"/>
              </w:rPr>
              <w:t>19.26</w:t>
            </w:r>
          </w:p>
        </w:tc>
        <w:tc>
          <w:tcPr>
            <w:tcW w:type="dxa" w:w="1440"/>
          </w:tcPr>
          <w:p>
            <w:r>
              <w:rPr>
                <w:rFonts w:ascii="Calibri" w:hAnsi="Calibri"/>
              </w:rPr>
              <w:t>11.30</w:t>
            </w:r>
          </w:p>
        </w:tc>
        <w:tc>
          <w:tcPr>
            <w:tcW w:type="dxa" w:w="1440"/>
          </w:tcPr>
          <w:p>
            <w:r>
              <w:rPr>
                <w:rFonts w:ascii="Calibri" w:hAnsi="Calibri"/>
              </w:rPr>
              <w:t>0.682</w:t>
            </w:r>
          </w:p>
        </w:tc>
        <w:tc>
          <w:tcPr>
            <w:tcW w:type="dxa" w:w="1440"/>
          </w:tcPr>
          <w:p>
            <w:r>
              <w:rPr>
                <w:rFonts w:ascii="Calibri" w:hAnsi="Calibri"/>
              </w:rPr>
              <w:t>41.85</w:t>
            </w:r>
          </w:p>
        </w:tc>
      </w:tr>
      <w:tr>
        <w:tc>
          <w:tcPr>
            <w:tcW w:type="dxa" w:w="1440"/>
          </w:tcPr>
          <w:p>
            <w:r>
              <w:rPr>
                <w:rFonts w:ascii="Calibri" w:hAnsi="Calibri"/>
              </w:rPr>
              <w:t>Non-homophone</w:t>
            </w:r>
          </w:p>
        </w:tc>
        <w:tc>
          <w:tcPr>
            <w:tcW w:type="dxa" w:w="1440"/>
          </w:tcPr>
          <w:p>
            <w:r>
              <w:rPr>
                <w:rFonts w:ascii="Calibri" w:hAnsi="Calibri"/>
              </w:rPr>
              <w:t>209</w:t>
            </w:r>
          </w:p>
        </w:tc>
        <w:tc>
          <w:tcPr>
            <w:tcW w:type="dxa" w:w="1440"/>
          </w:tcPr>
          <w:p>
            <w:r>
              <w:rPr>
                <w:rFonts w:ascii="Calibri" w:hAnsi="Calibri"/>
              </w:rPr>
              <w:t>23.86</w:t>
            </w:r>
          </w:p>
        </w:tc>
        <w:tc>
          <w:tcPr>
            <w:tcW w:type="dxa" w:w="1440"/>
          </w:tcPr>
          <w:p>
            <w:r>
              <w:rPr>
                <w:rFonts w:ascii="Calibri" w:hAnsi="Calibri"/>
              </w:rPr>
              <w:t>12.52</w:t>
            </w:r>
          </w:p>
        </w:tc>
        <w:tc>
          <w:tcPr>
            <w:tcW w:type="dxa" w:w="1440"/>
          </w:tcPr>
          <w:p>
            <w:r>
              <w:rPr>
                <w:rFonts w:ascii="Calibri" w:hAnsi="Calibri"/>
              </w:rPr>
              <w:t>0.604</w:t>
            </w:r>
          </w:p>
        </w:tc>
        <w:tc>
          <w:tcPr>
            <w:tcW w:type="dxa" w:w="1440"/>
          </w:tcPr>
          <w:p>
            <w:r>
              <w:rPr>
                <w:rFonts w:ascii="Calibri" w:hAnsi="Calibri"/>
              </w:rPr>
              <w:t>38.76</w:t>
            </w:r>
          </w:p>
        </w:tc>
      </w:tr>
    </w:tbl>
    <w:p>
      <w:pPr>
        <w:spacing w:after="120"/>
      </w:pPr>
      <w:r>
        <w:rPr>
          <w:rFonts w:ascii="Calibri" w:hAnsi="Calibri"/>
        </w:rPr>
        <w:t>Validation BLEU-4 is reported as 0.673 overall. Predictions for all 1,000 validation pairs were written to p2t_lora_checkpoints/Results/11-7_5000_Utterance/predictions.csv and the LoRA adapter is persisted alongside.</w:t>
      </w:r>
    </w:p>
    <w:p>
      <w:pPr>
        <w:pStyle w:val="Heading1"/>
      </w:pPr>
      <w:r>
        <w:rPr>
          <w:rFonts w:ascii="Calibri" w:hAnsi="Calibri"/>
        </w:rPr>
        <w:t>3. Contrastive loss configurations (on vs off)</w:t>
      </w:r>
    </w:p>
    <w:p>
      <w:pPr>
        <w:spacing w:after="120"/>
      </w:pPr>
      <w:r>
        <w:rPr>
          <w:rFonts w:ascii="Calibri" w:hAnsi="Calibri"/>
        </w:rPr>
        <w:t>Two fine-tuning configurations were available for direct comparison. Both use Llama-3.2-3B + QLoRA at r = 8.</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rPr>
              <w:t>Configuration</w:t>
            </w:r>
          </w:p>
        </w:tc>
        <w:tc>
          <w:tcPr>
            <w:tcW w:type="dxa" w:w="1440"/>
          </w:tcPr>
          <w:p>
            <w:r>
              <w:rPr>
                <w:rFonts w:ascii="Calibri" w:hAnsi="Calibri"/>
                <w:b/>
              </w:rPr>
              <w:t>Training pairs</w:t>
            </w:r>
          </w:p>
        </w:tc>
        <w:tc>
          <w:tcPr>
            <w:tcW w:type="dxa" w:w="1440"/>
          </w:tcPr>
          <w:p>
            <w:r>
              <w:rPr>
                <w:rFonts w:ascii="Calibri" w:hAnsi="Calibri"/>
                <w:b/>
              </w:rPr>
              <w:t>WER (%)</w:t>
            </w:r>
          </w:p>
        </w:tc>
        <w:tc>
          <w:tcPr>
            <w:tcW w:type="dxa" w:w="1440"/>
          </w:tcPr>
          <w:p>
            <w:r>
              <w:rPr>
                <w:rFonts w:ascii="Calibri" w:hAnsi="Calibri"/>
                <w:b/>
              </w:rPr>
              <w:t>CER (%)</w:t>
            </w:r>
          </w:p>
        </w:tc>
        <w:tc>
          <w:tcPr>
            <w:tcW w:type="dxa" w:w="1440"/>
          </w:tcPr>
          <w:p>
            <w:r>
              <w:rPr>
                <w:rFonts w:ascii="Calibri" w:hAnsi="Calibri"/>
                <w:b/>
              </w:rPr>
              <w:t>BLEU-4</w:t>
            </w:r>
          </w:p>
        </w:tc>
        <w:tc>
          <w:tcPr>
            <w:tcW w:type="dxa" w:w="1440"/>
          </w:tcPr>
          <w:p>
            <w:r>
              <w:rPr>
                <w:rFonts w:ascii="Calibri" w:hAnsi="Calibri"/>
                <w:b/>
              </w:rPr>
              <w:t>Exact-match (%)</w:t>
            </w:r>
          </w:p>
        </w:tc>
      </w:tr>
      <w:tr>
        <w:tc>
          <w:tcPr>
            <w:tcW w:type="dxa" w:w="1440"/>
          </w:tcPr>
          <w:p>
            <w:r>
              <w:rPr>
                <w:rFonts w:ascii="Calibri" w:hAnsi="Calibri"/>
              </w:rPr>
              <w:t>Full corpus, contrastive ON</w:t>
            </w:r>
          </w:p>
        </w:tc>
        <w:tc>
          <w:tcPr>
            <w:tcW w:type="dxa" w:w="1440"/>
          </w:tcPr>
          <w:p>
            <w:r>
              <w:rPr>
                <w:rFonts w:ascii="Calibri" w:hAnsi="Calibri"/>
              </w:rPr>
              <w:t>≈38,500</w:t>
            </w:r>
          </w:p>
        </w:tc>
        <w:tc>
          <w:tcPr>
            <w:tcW w:type="dxa" w:w="1440"/>
          </w:tcPr>
          <w:p>
            <w:r>
              <w:rPr>
                <w:rFonts w:ascii="Calibri" w:hAnsi="Calibri"/>
              </w:rPr>
              <w:t>9.55</w:t>
            </w:r>
          </w:p>
        </w:tc>
        <w:tc>
          <w:tcPr>
            <w:tcW w:type="dxa" w:w="1440"/>
          </w:tcPr>
          <w:p>
            <w:r>
              <w:rPr>
                <w:rFonts w:ascii="Calibri" w:hAnsi="Calibri"/>
              </w:rPr>
              <w:t>5.33</w:t>
            </w:r>
          </w:p>
        </w:tc>
        <w:tc>
          <w:tcPr>
            <w:tcW w:type="dxa" w:w="1440"/>
          </w:tcPr>
          <w:p>
            <w:r>
              <w:rPr>
                <w:rFonts w:ascii="Calibri" w:hAnsi="Calibri"/>
              </w:rPr>
              <w:t>0.837</w:t>
            </w:r>
          </w:p>
        </w:tc>
        <w:tc>
          <w:tcPr>
            <w:tcW w:type="dxa" w:w="1440"/>
          </w:tcPr>
          <w:p>
            <w:r>
              <w:rPr>
                <w:rFonts w:ascii="Calibri" w:hAnsi="Calibri"/>
              </w:rPr>
              <w:t>65.45</w:t>
            </w:r>
          </w:p>
        </w:tc>
      </w:tr>
      <w:tr>
        <w:tc>
          <w:tcPr>
            <w:tcW w:type="dxa" w:w="1440"/>
          </w:tcPr>
          <w:p>
            <w:r>
              <w:rPr>
                <w:rFonts w:ascii="Calibri" w:hAnsi="Calibri"/>
              </w:rPr>
              <w:t>Stratified 5k, contrastive OFF</w:t>
            </w:r>
          </w:p>
        </w:tc>
        <w:tc>
          <w:tcPr>
            <w:tcW w:type="dxa" w:w="1440"/>
          </w:tcPr>
          <w:p>
            <w:r>
              <w:rPr>
                <w:rFonts w:ascii="Calibri" w:hAnsi="Calibri"/>
              </w:rPr>
              <w:t>4,000</w:t>
            </w:r>
          </w:p>
        </w:tc>
        <w:tc>
          <w:tcPr>
            <w:tcW w:type="dxa" w:w="1440"/>
          </w:tcPr>
          <w:p>
            <w:r>
              <w:rPr>
                <w:rFonts w:ascii="Calibri" w:hAnsi="Calibri"/>
              </w:rPr>
              <w:t>19.96</w:t>
            </w:r>
          </w:p>
        </w:tc>
        <w:tc>
          <w:tcPr>
            <w:tcW w:type="dxa" w:w="1440"/>
          </w:tcPr>
          <w:p>
            <w:r>
              <w:rPr>
                <w:rFonts w:ascii="Calibri" w:hAnsi="Calibri"/>
              </w:rPr>
              <w:t>11.50</w:t>
            </w:r>
          </w:p>
        </w:tc>
        <w:tc>
          <w:tcPr>
            <w:tcW w:type="dxa" w:w="1440"/>
          </w:tcPr>
          <w:p>
            <w:r>
              <w:rPr>
                <w:rFonts w:ascii="Calibri" w:hAnsi="Calibri"/>
              </w:rPr>
              <w:t>0.673</w:t>
            </w:r>
          </w:p>
        </w:tc>
        <w:tc>
          <w:tcPr>
            <w:tcW w:type="dxa" w:w="1440"/>
          </w:tcPr>
          <w:p>
            <w:r>
              <w:rPr>
                <w:rFonts w:ascii="Calibri" w:hAnsi="Calibri"/>
              </w:rPr>
              <w:t>41.20</w:t>
            </w:r>
          </w:p>
        </w:tc>
      </w:tr>
    </w:tbl>
    <w:p>
      <w:pPr>
        <w:spacing w:after="120"/>
      </w:pPr>
      <w:r>
        <w:rPr>
          <w:rFonts w:ascii="Calibri" w:hAnsi="Calibri"/>
        </w:rPr>
        <w:t>The two configurations differ in two respects — corpus size and the presence or absence of the contrastive-with-hard-negatives loss — so the gap in headline metrics cannot be attributed to one variable alone. A controlled ablation that varies only the contrastive flag, holding the corpus constant at 5,000 pairs, is queued and described in the next-steps section.</w:t>
      </w:r>
    </w:p>
    <w:p>
      <w:pPr>
        <w:pStyle w:val="Heading1"/>
      </w:pPr>
      <w:r>
        <w:rPr>
          <w:rFonts w:ascii="Calibri" w:hAnsi="Calibri"/>
        </w:rPr>
        <w:t>4. Detailed error analysis</w:t>
      </w:r>
    </w:p>
    <w:p>
      <w:pPr>
        <w:spacing w:after="120"/>
      </w:pPr>
      <w:r>
        <w:rPr>
          <w:rFonts w:ascii="Calibri" w:hAnsi="Calibri"/>
        </w:rPr>
        <w:t>A per-token error-type breakdown was produced for the 1,000-pair LoRA fine-tune predictions (Section 2) and for the 5,000-pair zero-shot Llama-3.2-3B prompt-only output in its 'clean' variant. Categories come from an LLM-judge pass over the prediction / reference pairs in comparison/results/. The numbers below are the judge-assigned categories, counted once per validation pair (percentages do not sum to 100 because categories overlap).</w:t>
      </w:r>
    </w:p>
    <w:p>
      <w:pPr>
        <w:pStyle w:val="Heading2"/>
      </w:pPr>
      <w:r>
        <w:rPr>
          <w:rFonts w:ascii="Calibri" w:hAnsi="Calibri"/>
        </w:rPr>
        <w:t>4.1 Zero-shot Llama-3.2-3B (clean, n = 5,000)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Category</w:t>
            </w:r>
          </w:p>
        </w:tc>
        <w:tc>
          <w:tcPr>
            <w:tcW w:type="dxa" w:w="2880"/>
          </w:tcPr>
          <w:p>
            <w:r>
              <w:rPr>
                <w:rFonts w:ascii="Calibri" w:hAnsi="Calibri"/>
                <w:b/>
              </w:rPr>
              <w:t>Count</w:t>
            </w:r>
          </w:p>
        </w:tc>
        <w:tc>
          <w:tcPr>
            <w:tcW w:type="dxa" w:w="2880"/>
          </w:tcPr>
          <w:p>
            <w:r>
              <w:rPr>
                <w:rFonts w:ascii="Calibri" w:hAnsi="Calibri"/>
                <w:b/>
              </w:rPr>
              <w:t>Share (%)</w:t>
            </w:r>
          </w:p>
        </w:tc>
      </w:tr>
      <w:tr>
        <w:tc>
          <w:tcPr>
            <w:tcW w:type="dxa" w:w="2880"/>
          </w:tcPr>
          <w:p>
            <w:r>
              <w:rPr>
                <w:rFonts w:ascii="Calibri" w:hAnsi="Calibri"/>
              </w:rPr>
              <w:t>Hallucination</w:t>
            </w:r>
          </w:p>
        </w:tc>
        <w:tc>
          <w:tcPr>
            <w:tcW w:type="dxa" w:w="2880"/>
          </w:tcPr>
          <w:p>
            <w:r>
              <w:rPr>
                <w:rFonts w:ascii="Calibri" w:hAnsi="Calibri"/>
              </w:rPr>
              <w:t>2,544</w:t>
            </w:r>
          </w:p>
        </w:tc>
        <w:tc>
          <w:tcPr>
            <w:tcW w:type="dxa" w:w="2880"/>
          </w:tcPr>
          <w:p>
            <w:r>
              <w:rPr>
                <w:rFonts w:ascii="Calibri" w:hAnsi="Calibri"/>
              </w:rPr>
              <w:t>50.88</w:t>
            </w:r>
          </w:p>
        </w:tc>
      </w:tr>
      <w:tr>
        <w:tc>
          <w:tcPr>
            <w:tcW w:type="dxa" w:w="2880"/>
          </w:tcPr>
          <w:p>
            <w:r>
              <w:rPr>
                <w:rFonts w:ascii="Calibri" w:hAnsi="Calibri"/>
              </w:rPr>
              <w:t>Manner</w:t>
            </w:r>
          </w:p>
        </w:tc>
        <w:tc>
          <w:tcPr>
            <w:tcW w:type="dxa" w:w="2880"/>
          </w:tcPr>
          <w:p>
            <w:r>
              <w:rPr>
                <w:rFonts w:ascii="Calibri" w:hAnsi="Calibri"/>
              </w:rPr>
              <w:t>1,546</w:t>
            </w:r>
          </w:p>
        </w:tc>
        <w:tc>
          <w:tcPr>
            <w:tcW w:type="dxa" w:w="2880"/>
          </w:tcPr>
          <w:p>
            <w:r>
              <w:rPr>
                <w:rFonts w:ascii="Calibri" w:hAnsi="Calibri"/>
              </w:rPr>
              <w:t>30.92</w:t>
            </w:r>
          </w:p>
        </w:tc>
      </w:tr>
      <w:tr>
        <w:tc>
          <w:tcPr>
            <w:tcW w:type="dxa" w:w="2880"/>
          </w:tcPr>
          <w:p>
            <w:r>
              <w:rPr>
                <w:rFonts w:ascii="Calibri" w:hAnsi="Calibri"/>
              </w:rPr>
              <w:t>Vowel</w:t>
            </w:r>
          </w:p>
        </w:tc>
        <w:tc>
          <w:tcPr>
            <w:tcW w:type="dxa" w:w="2880"/>
          </w:tcPr>
          <w:p>
            <w:r>
              <w:rPr>
                <w:rFonts w:ascii="Calibri" w:hAnsi="Calibri"/>
              </w:rPr>
              <w:t>848</w:t>
            </w:r>
          </w:p>
        </w:tc>
        <w:tc>
          <w:tcPr>
            <w:tcW w:type="dxa" w:w="2880"/>
          </w:tcPr>
          <w:p>
            <w:r>
              <w:rPr>
                <w:rFonts w:ascii="Calibri" w:hAnsi="Calibri"/>
              </w:rPr>
              <w:t>16.96</w:t>
            </w:r>
          </w:p>
        </w:tc>
      </w:tr>
      <w:tr>
        <w:tc>
          <w:tcPr>
            <w:tcW w:type="dxa" w:w="2880"/>
          </w:tcPr>
          <w:p>
            <w:r>
              <w:rPr>
                <w:rFonts w:ascii="Calibri" w:hAnsi="Calibri"/>
              </w:rPr>
              <w:t>Other</w:t>
            </w:r>
          </w:p>
        </w:tc>
        <w:tc>
          <w:tcPr>
            <w:tcW w:type="dxa" w:w="2880"/>
          </w:tcPr>
          <w:p>
            <w:r>
              <w:rPr>
                <w:rFonts w:ascii="Calibri" w:hAnsi="Calibri"/>
              </w:rPr>
              <w:t>33</w:t>
            </w:r>
          </w:p>
        </w:tc>
        <w:tc>
          <w:tcPr>
            <w:tcW w:type="dxa" w:w="2880"/>
          </w:tcPr>
          <w:p>
            <w:r>
              <w:rPr>
                <w:rFonts w:ascii="Calibri" w:hAnsi="Calibri"/>
              </w:rPr>
              <w:t>0.66</w:t>
            </w:r>
          </w:p>
        </w:tc>
      </w:tr>
      <w:tr>
        <w:tc>
          <w:tcPr>
            <w:tcW w:type="dxa" w:w="2880"/>
          </w:tcPr>
          <w:p>
            <w:r>
              <w:rPr>
                <w:rFonts w:ascii="Calibri" w:hAnsi="Calibri"/>
              </w:rPr>
              <w:t>Homophone</w:t>
            </w:r>
          </w:p>
        </w:tc>
        <w:tc>
          <w:tcPr>
            <w:tcW w:type="dxa" w:w="2880"/>
          </w:tcPr>
          <w:p>
            <w:r>
              <w:rPr>
                <w:rFonts w:ascii="Calibri" w:hAnsi="Calibri"/>
              </w:rPr>
              <w:t>11</w:t>
            </w:r>
          </w:p>
        </w:tc>
        <w:tc>
          <w:tcPr>
            <w:tcW w:type="dxa" w:w="2880"/>
          </w:tcPr>
          <w:p>
            <w:r>
              <w:rPr>
                <w:rFonts w:ascii="Calibri" w:hAnsi="Calibri"/>
              </w:rPr>
              <w:t>0.22</w:t>
            </w:r>
          </w:p>
        </w:tc>
      </w:tr>
      <w:tr>
        <w:tc>
          <w:tcPr>
            <w:tcW w:type="dxa" w:w="2880"/>
          </w:tcPr>
          <w:p>
            <w:r>
              <w:rPr>
                <w:rFonts w:ascii="Calibri" w:hAnsi="Calibri"/>
              </w:rPr>
              <w:t>Exact match</w:t>
            </w:r>
          </w:p>
        </w:tc>
        <w:tc>
          <w:tcPr>
            <w:tcW w:type="dxa" w:w="2880"/>
          </w:tcPr>
          <w:p>
            <w:r>
              <w:rPr>
                <w:rFonts w:ascii="Calibri" w:hAnsi="Calibri"/>
              </w:rPr>
              <w:t>10</w:t>
            </w:r>
          </w:p>
        </w:tc>
        <w:tc>
          <w:tcPr>
            <w:tcW w:type="dxa" w:w="2880"/>
          </w:tcPr>
          <w:p>
            <w:r>
              <w:rPr>
                <w:rFonts w:ascii="Calibri" w:hAnsi="Calibri"/>
              </w:rPr>
              <w:t>0.20</w:t>
            </w:r>
          </w:p>
        </w:tc>
      </w:tr>
      <w:tr>
        <w:tc>
          <w:tcPr>
            <w:tcW w:type="dxa" w:w="2880"/>
          </w:tcPr>
          <w:p>
            <w:r>
              <w:rPr>
                <w:rFonts w:ascii="Calibri" w:hAnsi="Calibri"/>
              </w:rPr>
              <w:t>Short output</w:t>
            </w:r>
          </w:p>
        </w:tc>
        <w:tc>
          <w:tcPr>
            <w:tcW w:type="dxa" w:w="2880"/>
          </w:tcPr>
          <w:p>
            <w:r>
              <w:rPr>
                <w:rFonts w:ascii="Calibri" w:hAnsi="Calibri"/>
              </w:rPr>
              <w:t>6</w:t>
            </w:r>
          </w:p>
        </w:tc>
        <w:tc>
          <w:tcPr>
            <w:tcW w:type="dxa" w:w="2880"/>
          </w:tcPr>
          <w:p>
            <w:r>
              <w:rPr>
                <w:rFonts w:ascii="Calibri" w:hAnsi="Calibri"/>
              </w:rPr>
              <w:t>0.12</w:t>
            </w:r>
          </w:p>
        </w:tc>
      </w:tr>
      <w:tr>
        <w:tc>
          <w:tcPr>
            <w:tcW w:type="dxa" w:w="2880"/>
          </w:tcPr>
          <w:p>
            <w:r>
              <w:rPr>
                <w:rFonts w:ascii="Calibri" w:hAnsi="Calibri"/>
              </w:rPr>
              <w:t>Long output</w:t>
            </w:r>
          </w:p>
        </w:tc>
        <w:tc>
          <w:tcPr>
            <w:tcW w:type="dxa" w:w="2880"/>
          </w:tcPr>
          <w:p>
            <w:r>
              <w:rPr>
                <w:rFonts w:ascii="Calibri" w:hAnsi="Calibri"/>
              </w:rPr>
              <w:t>2</w:t>
            </w:r>
          </w:p>
        </w:tc>
        <w:tc>
          <w:tcPr>
            <w:tcW w:type="dxa" w:w="2880"/>
          </w:tcPr>
          <w:p>
            <w:r>
              <w:rPr>
                <w:rFonts w:ascii="Calibri" w:hAnsi="Calibri"/>
              </w:rPr>
              <w:t>0.04</w:t>
            </w:r>
          </w:p>
        </w:tc>
      </w:tr>
    </w:tbl>
    <w:p>
      <w:pPr>
        <w:spacing w:after="120"/>
      </w:pPr>
      <w:r>
        <w:rPr>
          <w:rFonts w:ascii="Calibri" w:hAnsi="Calibri"/>
        </w:rPr>
        <w:t>Headline zero-shot metrics on the same pool (zero-shot/baseline/metrics.csv) are WER 128.33 %, CER 94.47 %, PER 103.41 %, BLEU-4 0.012, exact-match 0.20 %. A separate 'raw' variant of the same run is recorded at WER 116.71 %, CER 84.72 %, exact-match 0.24 %.</w:t>
      </w:r>
    </w:p>
    <w:p>
      <w:pPr>
        <w:pStyle w:val="Heading2"/>
      </w:pPr>
      <w:r>
        <w:rPr>
          <w:rFonts w:ascii="Calibri" w:hAnsi="Calibri"/>
        </w:rPr>
        <w:t>4.2 LoRA fine-tune, stratified 5k (n = 1,000)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rPr>
              <w:t>Category</w:t>
            </w:r>
          </w:p>
        </w:tc>
        <w:tc>
          <w:tcPr>
            <w:tcW w:type="dxa" w:w="2880"/>
          </w:tcPr>
          <w:p>
            <w:r>
              <w:rPr>
                <w:rFonts w:ascii="Calibri" w:hAnsi="Calibri"/>
                <w:b/>
              </w:rPr>
              <w:t>Count</w:t>
            </w:r>
          </w:p>
        </w:tc>
        <w:tc>
          <w:tcPr>
            <w:tcW w:type="dxa" w:w="2880"/>
          </w:tcPr>
          <w:p>
            <w:r>
              <w:rPr>
                <w:rFonts w:ascii="Calibri" w:hAnsi="Calibri"/>
                <w:b/>
              </w:rPr>
              <w:t>Share (%)</w:t>
            </w:r>
          </w:p>
        </w:tc>
      </w:tr>
      <w:tr>
        <w:tc>
          <w:tcPr>
            <w:tcW w:type="dxa" w:w="2880"/>
          </w:tcPr>
          <w:p>
            <w:r>
              <w:rPr>
                <w:rFonts w:ascii="Calibri" w:hAnsi="Calibri"/>
              </w:rPr>
              <w:t>Exact match</w:t>
            </w:r>
          </w:p>
        </w:tc>
        <w:tc>
          <w:tcPr>
            <w:tcW w:type="dxa" w:w="2880"/>
          </w:tcPr>
          <w:p>
            <w:r>
              <w:rPr>
                <w:rFonts w:ascii="Calibri" w:hAnsi="Calibri"/>
              </w:rPr>
              <w:t>412</w:t>
            </w:r>
          </w:p>
        </w:tc>
        <w:tc>
          <w:tcPr>
            <w:tcW w:type="dxa" w:w="2880"/>
          </w:tcPr>
          <w:p>
            <w:r>
              <w:rPr>
                <w:rFonts w:ascii="Calibri" w:hAnsi="Calibri"/>
              </w:rPr>
              <w:t>41.20</w:t>
            </w:r>
          </w:p>
        </w:tc>
      </w:tr>
      <w:tr>
        <w:tc>
          <w:tcPr>
            <w:tcW w:type="dxa" w:w="2880"/>
          </w:tcPr>
          <w:p>
            <w:r>
              <w:rPr>
                <w:rFonts w:ascii="Calibri" w:hAnsi="Calibri"/>
              </w:rPr>
              <w:t>Vowel</w:t>
            </w:r>
          </w:p>
        </w:tc>
        <w:tc>
          <w:tcPr>
            <w:tcW w:type="dxa" w:w="2880"/>
          </w:tcPr>
          <w:p>
            <w:r>
              <w:rPr>
                <w:rFonts w:ascii="Calibri" w:hAnsi="Calibri"/>
              </w:rPr>
              <w:t>244</w:t>
            </w:r>
          </w:p>
        </w:tc>
        <w:tc>
          <w:tcPr>
            <w:tcW w:type="dxa" w:w="2880"/>
          </w:tcPr>
          <w:p>
            <w:r>
              <w:rPr>
                <w:rFonts w:ascii="Calibri" w:hAnsi="Calibri"/>
              </w:rPr>
              <w:t>24.40</w:t>
            </w:r>
          </w:p>
        </w:tc>
      </w:tr>
      <w:tr>
        <w:tc>
          <w:tcPr>
            <w:tcW w:type="dxa" w:w="2880"/>
          </w:tcPr>
          <w:p>
            <w:r>
              <w:rPr>
                <w:rFonts w:ascii="Calibri" w:hAnsi="Calibri"/>
              </w:rPr>
              <w:t>Other</w:t>
            </w:r>
          </w:p>
        </w:tc>
        <w:tc>
          <w:tcPr>
            <w:tcW w:type="dxa" w:w="2880"/>
          </w:tcPr>
          <w:p>
            <w:r>
              <w:rPr>
                <w:rFonts w:ascii="Calibri" w:hAnsi="Calibri"/>
              </w:rPr>
              <w:t>182</w:t>
            </w:r>
          </w:p>
        </w:tc>
        <w:tc>
          <w:tcPr>
            <w:tcW w:type="dxa" w:w="2880"/>
          </w:tcPr>
          <w:p>
            <w:r>
              <w:rPr>
                <w:rFonts w:ascii="Calibri" w:hAnsi="Calibri"/>
              </w:rPr>
              <w:t>18.20</w:t>
            </w:r>
          </w:p>
        </w:tc>
      </w:tr>
      <w:tr>
        <w:tc>
          <w:tcPr>
            <w:tcW w:type="dxa" w:w="2880"/>
          </w:tcPr>
          <w:p>
            <w:r>
              <w:rPr>
                <w:rFonts w:ascii="Calibri" w:hAnsi="Calibri"/>
              </w:rPr>
              <w:t>Manner</w:t>
            </w:r>
          </w:p>
        </w:tc>
        <w:tc>
          <w:tcPr>
            <w:tcW w:type="dxa" w:w="2880"/>
          </w:tcPr>
          <w:p>
            <w:r>
              <w:rPr>
                <w:rFonts w:ascii="Calibri" w:hAnsi="Calibri"/>
              </w:rPr>
              <w:t>97</w:t>
            </w:r>
          </w:p>
        </w:tc>
        <w:tc>
          <w:tcPr>
            <w:tcW w:type="dxa" w:w="2880"/>
          </w:tcPr>
          <w:p>
            <w:r>
              <w:rPr>
                <w:rFonts w:ascii="Calibri" w:hAnsi="Calibri"/>
              </w:rPr>
              <w:t>9.70</w:t>
            </w:r>
          </w:p>
        </w:tc>
      </w:tr>
      <w:tr>
        <w:tc>
          <w:tcPr>
            <w:tcW w:type="dxa" w:w="2880"/>
          </w:tcPr>
          <w:p>
            <w:r>
              <w:rPr>
                <w:rFonts w:ascii="Calibri" w:hAnsi="Calibri"/>
              </w:rPr>
              <w:t>Homophone</w:t>
            </w:r>
          </w:p>
        </w:tc>
        <w:tc>
          <w:tcPr>
            <w:tcW w:type="dxa" w:w="2880"/>
          </w:tcPr>
          <w:p>
            <w:r>
              <w:rPr>
                <w:rFonts w:ascii="Calibri" w:hAnsi="Calibri"/>
              </w:rPr>
              <w:t>26</w:t>
            </w:r>
          </w:p>
        </w:tc>
        <w:tc>
          <w:tcPr>
            <w:tcW w:type="dxa" w:w="2880"/>
          </w:tcPr>
          <w:p>
            <w:r>
              <w:rPr>
                <w:rFonts w:ascii="Calibri" w:hAnsi="Calibri"/>
              </w:rPr>
              <w:t>2.60</w:t>
            </w:r>
          </w:p>
        </w:tc>
      </w:tr>
      <w:tr>
        <w:tc>
          <w:tcPr>
            <w:tcW w:type="dxa" w:w="2880"/>
          </w:tcPr>
          <w:p>
            <w:r>
              <w:rPr>
                <w:rFonts w:ascii="Calibri" w:hAnsi="Calibri"/>
              </w:rPr>
              <w:t>Long output</w:t>
            </w:r>
          </w:p>
        </w:tc>
        <w:tc>
          <w:tcPr>
            <w:tcW w:type="dxa" w:w="2880"/>
          </w:tcPr>
          <w:p>
            <w:r>
              <w:rPr>
                <w:rFonts w:ascii="Calibri" w:hAnsi="Calibri"/>
              </w:rPr>
              <w:t>20</w:t>
            </w:r>
          </w:p>
        </w:tc>
        <w:tc>
          <w:tcPr>
            <w:tcW w:type="dxa" w:w="2880"/>
          </w:tcPr>
          <w:p>
            <w:r>
              <w:rPr>
                <w:rFonts w:ascii="Calibri" w:hAnsi="Calibri"/>
              </w:rPr>
              <w:t>2.00</w:t>
            </w:r>
          </w:p>
        </w:tc>
      </w:tr>
      <w:tr>
        <w:tc>
          <w:tcPr>
            <w:tcW w:type="dxa" w:w="2880"/>
          </w:tcPr>
          <w:p>
            <w:r>
              <w:rPr>
                <w:rFonts w:ascii="Calibri" w:hAnsi="Calibri"/>
              </w:rPr>
              <w:t>Short output</w:t>
            </w:r>
          </w:p>
        </w:tc>
        <w:tc>
          <w:tcPr>
            <w:tcW w:type="dxa" w:w="2880"/>
          </w:tcPr>
          <w:p>
            <w:r>
              <w:rPr>
                <w:rFonts w:ascii="Calibri" w:hAnsi="Calibri"/>
              </w:rPr>
              <w:t>14</w:t>
            </w:r>
          </w:p>
        </w:tc>
        <w:tc>
          <w:tcPr>
            <w:tcW w:type="dxa" w:w="2880"/>
          </w:tcPr>
          <w:p>
            <w:r>
              <w:rPr>
                <w:rFonts w:ascii="Calibri" w:hAnsi="Calibri"/>
              </w:rPr>
              <w:t>1.40</w:t>
            </w:r>
          </w:p>
        </w:tc>
      </w:tr>
      <w:tr>
        <w:tc>
          <w:tcPr>
            <w:tcW w:type="dxa" w:w="2880"/>
          </w:tcPr>
          <w:p>
            <w:r>
              <w:rPr>
                <w:rFonts w:ascii="Calibri" w:hAnsi="Calibri"/>
              </w:rPr>
              <w:t>Hallucination</w:t>
            </w:r>
          </w:p>
        </w:tc>
        <w:tc>
          <w:tcPr>
            <w:tcW w:type="dxa" w:w="2880"/>
          </w:tcPr>
          <w:p>
            <w:r>
              <w:rPr>
                <w:rFonts w:ascii="Calibri" w:hAnsi="Calibri"/>
              </w:rPr>
              <w:t>5</w:t>
            </w:r>
          </w:p>
        </w:tc>
        <w:tc>
          <w:tcPr>
            <w:tcW w:type="dxa" w:w="2880"/>
          </w:tcPr>
          <w:p>
            <w:r>
              <w:rPr>
                <w:rFonts w:ascii="Calibri" w:hAnsi="Calibri"/>
              </w:rPr>
              <w:t>0.50</w:t>
            </w:r>
          </w:p>
        </w:tc>
      </w:tr>
    </w:tbl>
    <w:p>
      <w:pPr>
        <w:spacing w:after="120"/>
      </w:pPr>
      <w:r>
        <w:rPr>
          <w:rFonts w:ascii="Calibri" w:hAnsi="Calibri"/>
        </w:rPr>
        <w:t>Operative counts at the token level (comparison/results/lora_error_analysis.json) over n = 1,000 predictions: 5,803 hits, 987 substitutions, 288 deletions, 138 insertions. Of the 987 substitutions, 828 (83.9 %) were classified as 'Other', 133 (13.5 %) as 'Near-homophone', and 26 (2.6 %) as 'Homophone'. The most frequent homophone substitutions were to/two (n = 4), there/their (n = 2), and too/to (n = 2).</w:t>
      </w:r>
    </w:p>
    <w:p>
      <w:pPr>
        <w:spacing w:after="120"/>
      </w:pPr>
      <w:r>
        <w:rPr>
          <w:rFonts w:ascii="Calibri" w:hAnsi="Calibri"/>
        </w:rPr>
        <w:t>Comparing the two systems on the shared categories, the LoRA fine-tune's hallucination share dropped from 50.88 % to 0.50 %, and its manner-of-articulation error share dropped from 30.92 % to 9.70 %. The homophone substitution share went from 0.22 % under zero-shot to 2.60 % under LoRA, in absolute terms an increase of 15 pairs.</w:t>
      </w:r>
    </w:p>
    <w:p>
      <w:pPr>
        <w:pStyle w:val="Heading1"/>
      </w:pPr>
      <w:r>
        <w:rPr>
          <w:rFonts w:ascii="Calibri" w:hAnsi="Calibri"/>
        </w:rPr>
        <w:t>Next steps</w:t>
      </w:r>
    </w:p>
    <w:p>
      <w:pPr>
        <w:pStyle w:val="ListBullet"/>
      </w:pPr>
      <w:r>
        <w:rPr>
          <w:rFonts w:ascii="Calibri" w:hAnsi="Calibri"/>
        </w:rPr>
        <w:t>Run the 5,000-pair stratified fine-tune again with the unstratified 5,000-pair shuffle (homophone set drawn proportionally), so that the LoRA 5k results in Section 2 can be compared against a corpus-size-matched control without the homophone stratification.</w:t>
      </w:r>
    </w:p>
    <w:p>
      <w:pPr>
        <w:pStyle w:val="ListBullet"/>
      </w:pPr>
      <w:r>
        <w:rPr>
          <w:rFonts w:ascii="Calibri" w:hAnsi="Calibri"/>
        </w:rPr>
        <w:t>Run a paired ablation that toggles the contrastive with-hard-negatives loss on vs off, holding the corpus fixed at the stratified 5k pool from Section 2. This isolates the effect of the contrastive term on Section 3's headline numbers, which are currently confounded with corpus size.</w:t>
      </w:r>
    </w:p>
    <w:p>
      <w:pPr>
        <w:pStyle w:val="ListBullet"/>
      </w:pPr>
      <w:r>
        <w:rPr>
          <w:rFonts w:ascii="Calibri" w:hAnsi="Calibri"/>
        </w:rPr>
        <w:t>Extend the direct (no-LLM) GRU baseline by training on the full 48k-pair corpus, with a longer schedule and an early-stopping criterion keyed to validation WER, so that the no-LLM ceiling under the same encoder-decoder architecture can be reported alongside the LoRA configuration.</w:t>
      </w:r>
    </w:p>
    <w:p>
      <w:pPr>
        <w:pStyle w:val="ListBullet"/>
      </w:pPr>
      <w:r>
        <w:rPr>
          <w:rFonts w:ascii="Calibri" w:hAnsi="Calibri"/>
        </w:rPr>
        <w:t>Repeat the LLM-judge error-type pass on the full-corpus LoRA output, so the substitution-category breakdown in Section 4.2 is available at the same pool size as Section 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