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ok6gp75bulyj" w:id="0"/>
      <w:bookmarkEnd w:id="0"/>
      <w:r w:rsidDel="00000000" w:rsidR="00000000" w:rsidRPr="00000000">
        <w:rPr>
          <w:rtl w:val="0"/>
        </w:rPr>
        <w:t xml:space="preserve">Security organization worksheet</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10.92529296875" w:hRule="atLeast"/>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jc w:val="center"/>
              <w:rPr>
                <w:b w:val="1"/>
                <w:sz w:val="24"/>
                <w:szCs w:val="24"/>
              </w:rPr>
            </w:pPr>
            <w:r w:rsidDel="00000000" w:rsidR="00000000" w:rsidRPr="00000000">
              <w:rPr>
                <w:b w:val="1"/>
                <w:sz w:val="24"/>
                <w:szCs w:val="24"/>
                <w:rtl w:val="0"/>
              </w:rPr>
              <w:t xml:space="preserve">Part</w:t>
            </w:r>
            <w:r w:rsidDel="00000000" w:rsidR="00000000" w:rsidRPr="00000000">
              <w:rPr>
                <w:b w:val="1"/>
                <w:sz w:val="24"/>
                <w:szCs w:val="24"/>
                <w:rtl w:val="0"/>
              </w:rPr>
              <w:t xml:space="preserve"> 1: Describe your security interests</w:t>
            </w:r>
          </w:p>
        </w:tc>
      </w:tr>
      <w:tr>
        <w:trPr>
          <w:cantSplit w:val="0"/>
          <w:trHeight w:val="450" w:hRule="atLeast"/>
          <w:tblHeader w:val="0"/>
        </w:trPr>
        <w:tc>
          <w:tcPr>
            <w:shd w:fill="auto" w:val="clear"/>
            <w:tcMar>
              <w:top w:w="100.0" w:type="dxa"/>
              <w:left w:w="100.0" w:type="dxa"/>
              <w:bottom w:w="100.0" w:type="dxa"/>
              <w:right w:w="100.0" w:type="dxa"/>
            </w:tcMar>
            <w:vAlign w:val="top"/>
          </w:tcPr>
          <w:p>
            <w:r>
              <w:t>Part 1: Describe your security interests</w:t>
              <w:br/>
              <w:br/>
              <w:t>1. Penetration Testing &amp; Red Teaming — actively testing systems for vulnerabilities using attacker techniques</w:t>
              <w:br/>
              <w:t>2. Network Security — protecting networks from intrusions, analyzing traffic, and detecting threats</w:t>
              <w:br/>
              <w:t>3. Security Analysis &amp; Incident Response — investigating security events and building automated detection tools</w:t>
            </w:r>
          </w:p>
        </w:tc>
      </w:tr>
      <w:tr>
        <w:trPr>
          <w:cantSplit w:val="0"/>
          <w:trHeight w:val="440.92529296875" w:hRule="atLeast"/>
          <w:tblHeader w:val="0"/>
        </w:trPr>
        <w:tc>
          <w:tcPr>
            <w:shd w:fill="d0e0e3" w:val="clear"/>
            <w:tcMar>
              <w:top w:w="100.0" w:type="dxa"/>
              <w:left w:w="100.0" w:type="dxa"/>
              <w:bottom w:w="100.0" w:type="dxa"/>
              <w:right w:w="100.0" w:type="dxa"/>
            </w:tcMar>
            <w:vAlign w:val="top"/>
          </w:tcPr>
          <w:p>
            <w:r>
              <w:t>Part 2: Identify three organizations and include their mission or objectives</w:t>
              <w:br/>
              <w:br/>
              <w:t>Organization 1: OWASP (Open Worldwide Application Security Project)</w:t>
              <w:br/>
              <w:t>A nonprofit foundation dedicated to improving software security through open-source projects, tools, documentation, and community-driven research. OWASP provides free resources including the famous Top 10 vulnerability list used worldwide by security professionals.</w:t>
              <w:br/>
              <w:br/>
              <w:t>Organization 2: PTES (Penetration Testing Execution Standard)</w:t>
              <w:br/>
              <w:t>A community-driven organization that provides a comprehensive standard for penetration testing methodology. PTES defines the technical guidelines and best practices that penetration testers follow when conducting security assessments, from pre-engagement to reporting.</w:t>
              <w:br/>
              <w:br/>
              <w:t>Organization 3: (ISC)² — International Information System Security Certification Consortium</w:t>
              <w:br/>
              <w:t>A global nonprofit organization focused on inspiring a safe and secure cyber world. (ISC)² offers cybersecurity certifications including CISSP, provides free educational resources, and connects security professionals worldwide through its One Million Certified in Cybersecurity initiative.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numPr>
                <w:ilvl w:val="0"/>
                <w:numId w:val="1"/>
              </w:numPr>
              <w:spacing w:line="276" w:lineRule="auto"/>
              <w:ind w:left="1440" w:hanging="360"/>
              <w:rPr>
                <w:rFonts w:ascii="Google Sans" w:cs="Google Sans" w:eastAsia="Google Sans" w:hAnsi="Google Sans"/>
                <w:b w:val="1"/>
                <w:color w:val="333333"/>
                <w:highlight w:val="white"/>
              </w:rPr>
            </w:pPr>
            <w:r w:rsidDel="00000000" w:rsidR="00000000" w:rsidRPr="00000000">
              <w:rPr>
                <w:rFonts w:ascii="Google Sans" w:cs="Google Sans" w:eastAsia="Google Sans" w:hAnsi="Google Sans"/>
                <w:b w:val="1"/>
                <w:color w:val="333333"/>
                <w:highlight w:val="white"/>
                <w:rtl w:val="0"/>
              </w:rPr>
              <w:t xml:space="preserve">Organization 1: </w:t>
            </w:r>
          </w:p>
          <w:p w:rsidR="00000000" w:rsidDel="00000000" w:rsidP="00000000" w:rsidRDefault="00000000" w:rsidRPr="00000000" w14:paraId="00000009">
            <w:pPr>
              <w:numPr>
                <w:ilvl w:val="0"/>
                <w:numId w:val="1"/>
              </w:numPr>
              <w:spacing w:line="276" w:lineRule="auto"/>
              <w:ind w:left="1440" w:hanging="360"/>
              <w:rPr>
                <w:rFonts w:ascii="Google Sans" w:cs="Google Sans" w:eastAsia="Google Sans" w:hAnsi="Google Sans"/>
                <w:b w:val="1"/>
                <w:color w:val="333333"/>
                <w:highlight w:val="white"/>
              </w:rPr>
            </w:pPr>
            <w:r w:rsidDel="00000000" w:rsidR="00000000" w:rsidRPr="00000000">
              <w:rPr>
                <w:rFonts w:ascii="Google Sans" w:cs="Google Sans" w:eastAsia="Google Sans" w:hAnsi="Google Sans"/>
                <w:b w:val="1"/>
                <w:color w:val="333333"/>
                <w:highlight w:val="white"/>
                <w:rtl w:val="0"/>
              </w:rPr>
              <w:t xml:space="preserve">Organization 2: </w:t>
            </w:r>
          </w:p>
          <w:p w:rsidR="00000000" w:rsidDel="00000000" w:rsidP="00000000" w:rsidRDefault="00000000" w:rsidRPr="00000000" w14:paraId="0000000A">
            <w:pPr>
              <w:numPr>
                <w:ilvl w:val="0"/>
                <w:numId w:val="1"/>
              </w:numPr>
              <w:spacing w:line="276" w:lineRule="auto"/>
              <w:ind w:left="1440" w:hanging="360"/>
              <w:rPr>
                <w:rFonts w:ascii="Google Sans" w:cs="Google Sans" w:eastAsia="Google Sans" w:hAnsi="Google Sans"/>
                <w:b w:val="1"/>
                <w:color w:val="333333"/>
                <w:highlight w:val="white"/>
                <w:u w:val="none"/>
              </w:rPr>
            </w:pPr>
            <w:r w:rsidDel="00000000" w:rsidR="00000000" w:rsidRPr="00000000">
              <w:rPr>
                <w:rFonts w:ascii="Google Sans" w:cs="Google Sans" w:eastAsia="Google Sans" w:hAnsi="Google Sans"/>
                <w:b w:val="1"/>
                <w:color w:val="333333"/>
                <w:highlight w:val="white"/>
                <w:rtl w:val="0"/>
              </w:rPr>
              <w:t xml:space="preserve">Organization 3: </w:t>
            </w:r>
          </w:p>
        </w:tc>
      </w:tr>
      <w:tr>
        <w:trPr>
          <w:cantSplit w:val="0"/>
          <w:tblHeader w:val="0"/>
        </w:trPr>
        <w:tc>
          <w:tcPr>
            <w:shd w:fill="d0e0e3" w:val="clear"/>
            <w:tcMar>
              <w:top w:w="100.0" w:type="dxa"/>
              <w:left w:w="100.0" w:type="dxa"/>
              <w:bottom w:w="100.0" w:type="dxa"/>
              <w:right w:w="100.0" w:type="dxa"/>
            </w:tcMar>
            <w:vAlign w:val="top"/>
          </w:tcPr>
          <w:p>
            <w:r>
              <w:t>Part 3: Write out which organization aligns with your interests and why</w:t>
              <w:br/>
              <w:br/>
              <w:t>Organization 1 (OWASP): This closely aligns with my interest in security analysis and penetration testing. OWASP's free tools and resources, especially the Top 10 vulnerability list, are directly applicable to the type of work I want to do as a penetration tester.</w:t>
              <w:br/>
              <w:br/>
              <w:t>Organization 2 (PTES): This is highly relevant to my goal of becoming a penetration tester. PTES provides the standardized methodology I will need to follow when conducting professional security assessments, making it essential knowledge for my career path.</w:t>
              <w:br/>
              <w:br/>
              <w:t>Organization 3 ((ISC)²): While this organization is more focused on certification and general security education, it is less specialized in the offensive security area that I'm most interested in pursuing.</w:t>
              <w:br/>
              <w:br/>
              <w:t>Best choice for my professional interests:</w:t>
              <w:br/>
              <w:t>OWASP is the best fit for my professional interests because it is directly focused on the technical aspects of offensive security and vulnerability research. Its free and open resources, tools, and community make it highly accessible for a self-taught cybersecurity professional like myself who is working toward becoming a penetration tester and red teamer. Joining OWASP will allow me to stay current with the latest vulnerabilities, contribute to security research, and connect with other offensive security professionals.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C">
            <w:pPr>
              <w:numPr>
                <w:ilvl w:val="0"/>
                <w:numId w:val="1"/>
              </w:numPr>
              <w:spacing w:line="276" w:lineRule="auto"/>
              <w:ind w:left="1440" w:hanging="360"/>
              <w:rPr>
                <w:rFonts w:ascii="Google Sans" w:cs="Google Sans" w:eastAsia="Google Sans" w:hAnsi="Google Sans"/>
                <w:b w:val="1"/>
                <w:color w:val="333333"/>
                <w:highlight w:val="white"/>
              </w:rPr>
            </w:pPr>
            <w:r w:rsidDel="00000000" w:rsidR="00000000" w:rsidRPr="00000000">
              <w:rPr>
                <w:rFonts w:ascii="Google Sans" w:cs="Google Sans" w:eastAsia="Google Sans" w:hAnsi="Google Sans"/>
                <w:b w:val="1"/>
                <w:color w:val="333333"/>
                <w:highlight w:val="white"/>
                <w:rtl w:val="0"/>
              </w:rPr>
              <w:t xml:space="preserve">Organization 1: </w:t>
            </w:r>
          </w:p>
          <w:p w:rsidR="00000000" w:rsidDel="00000000" w:rsidP="00000000" w:rsidRDefault="00000000" w:rsidRPr="00000000" w14:paraId="0000000D">
            <w:pPr>
              <w:numPr>
                <w:ilvl w:val="0"/>
                <w:numId w:val="1"/>
              </w:numPr>
              <w:spacing w:line="276" w:lineRule="auto"/>
              <w:ind w:left="1440" w:hanging="360"/>
              <w:rPr>
                <w:rFonts w:ascii="Google Sans" w:cs="Google Sans" w:eastAsia="Google Sans" w:hAnsi="Google Sans"/>
                <w:b w:val="1"/>
                <w:color w:val="333333"/>
                <w:highlight w:val="white"/>
              </w:rPr>
            </w:pPr>
            <w:r w:rsidDel="00000000" w:rsidR="00000000" w:rsidRPr="00000000">
              <w:rPr>
                <w:rFonts w:ascii="Google Sans" w:cs="Google Sans" w:eastAsia="Google Sans" w:hAnsi="Google Sans"/>
                <w:b w:val="1"/>
                <w:color w:val="333333"/>
                <w:highlight w:val="white"/>
                <w:rtl w:val="0"/>
              </w:rPr>
              <w:t xml:space="preserve">Organization 2: </w:t>
            </w:r>
          </w:p>
          <w:p w:rsidR="00000000" w:rsidDel="00000000" w:rsidP="00000000" w:rsidRDefault="00000000" w:rsidRPr="00000000" w14:paraId="0000000E">
            <w:pPr>
              <w:numPr>
                <w:ilvl w:val="0"/>
                <w:numId w:val="1"/>
              </w:numPr>
              <w:spacing w:line="276" w:lineRule="auto"/>
              <w:ind w:left="1440" w:hanging="360"/>
              <w:rPr>
                <w:rFonts w:ascii="Google Sans" w:cs="Google Sans" w:eastAsia="Google Sans" w:hAnsi="Google Sans"/>
                <w:b w:val="1"/>
                <w:color w:val="333333"/>
                <w:highlight w:val="white"/>
              </w:rPr>
            </w:pPr>
            <w:r w:rsidDel="00000000" w:rsidR="00000000" w:rsidRPr="00000000">
              <w:rPr>
                <w:rFonts w:ascii="Google Sans" w:cs="Google Sans" w:eastAsia="Google Sans" w:hAnsi="Google Sans"/>
                <w:b w:val="1"/>
                <w:color w:val="333333"/>
                <w:highlight w:val="white"/>
                <w:rtl w:val="0"/>
              </w:rPr>
              <w:t xml:space="preserve">Organization 3: </w:t>
            </w:r>
          </w:p>
          <w:p w:rsidR="00000000" w:rsidDel="00000000" w:rsidP="00000000" w:rsidRDefault="00000000" w:rsidRPr="00000000" w14:paraId="0000000F">
            <w:pPr>
              <w:spacing w:line="276" w:lineRule="auto"/>
              <w:rPr>
                <w:rFonts w:ascii="Google Sans" w:cs="Google Sans" w:eastAsia="Google Sans" w:hAnsi="Google Sans"/>
                <w:b w:val="1"/>
                <w:color w:val="333333"/>
                <w:highlight w:val="white"/>
              </w:rPr>
            </w:pPr>
            <w:r w:rsidDel="00000000" w:rsidR="00000000" w:rsidRPr="00000000">
              <w:rPr>
                <w:rtl w:val="0"/>
              </w:rPr>
            </w:r>
          </w:p>
          <w:p w:rsidR="00000000" w:rsidDel="00000000" w:rsidP="00000000" w:rsidRDefault="00000000" w:rsidRPr="00000000" w14:paraId="00000010">
            <w:pPr>
              <w:numPr>
                <w:ilvl w:val="0"/>
                <w:numId w:val="3"/>
              </w:numPr>
              <w:spacing w:line="276" w:lineRule="auto"/>
              <w:ind w:left="1440" w:hanging="360"/>
              <w:rPr>
                <w:rFonts w:ascii="Google Sans" w:cs="Google Sans" w:eastAsia="Google Sans" w:hAnsi="Google Sans"/>
                <w:b w:val="1"/>
                <w:color w:val="333333"/>
                <w:highlight w:val="white"/>
              </w:rPr>
            </w:pPr>
            <w:r w:rsidDel="00000000" w:rsidR="00000000" w:rsidRPr="00000000">
              <w:rPr>
                <w:rFonts w:ascii="Google Sans" w:cs="Google Sans" w:eastAsia="Google Sans" w:hAnsi="Google Sans"/>
                <w:b w:val="1"/>
                <w:rtl w:val="0"/>
              </w:rPr>
              <w:t xml:space="preserve">Best choice for my professional interests:</w:t>
            </w:r>
            <w:r w:rsidDel="00000000" w:rsidR="00000000" w:rsidRPr="00000000">
              <w:rPr>
                <w:rFonts w:ascii="Google Sans" w:cs="Google Sans" w:eastAsia="Google Sans" w:hAnsi="Google Sans"/>
                <w:rtl w:val="0"/>
              </w:rPr>
              <w:t xml:space="preserve"> </w:t>
            </w:r>
            <w:r w:rsidDel="00000000" w:rsidR="00000000" w:rsidRPr="00000000">
              <w:rPr>
                <w:rtl w:val="0"/>
              </w:rPr>
            </w:r>
          </w:p>
        </w:tc>
      </w:tr>
    </w:tbl>
    <w:p w:rsidR="00000000" w:rsidDel="00000000" w:rsidP="00000000" w:rsidRDefault="00000000" w:rsidRPr="00000000" w14:paraId="00000011">
      <w:pPr>
        <w:pStyle w:val="Heading1"/>
        <w:spacing w:line="240" w:lineRule="auto"/>
        <w:rPr/>
      </w:pPr>
      <w:bookmarkStart w:colFirst="0" w:colLast="0" w:name="_84n4cj79xk" w:id="1"/>
      <w:bookmarkEnd w:id="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