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before="320" w:line="240" w:lineRule="auto"/>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rFonts w:ascii="Google Sans" w:cs="Google Sans" w:eastAsia="Google Sans" w:hAnsi="Google Sans"/>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keepNext w:val="0"/>
        <w:keepLines w:val="0"/>
        <w:spacing w:after="0" w:line="240" w:lineRule="auto"/>
        <w:rPr>
          <w:rFonts w:ascii="Google Sans" w:cs="Google Sans" w:eastAsia="Google Sans" w:hAnsi="Google Sans"/>
          <w:b w:val="1"/>
          <w:sz w:val="28"/>
          <w:szCs w:val="28"/>
        </w:rPr>
      </w:pPr>
      <w:bookmarkStart w:colFirst="0" w:colLast="0" w:name="_af80tl7prv5v" w:id="1"/>
      <w:bookmarkEnd w:id="1"/>
      <w:r w:rsidDel="00000000" w:rsidR="00000000" w:rsidRPr="00000000">
        <w:rPr>
          <w:rFonts w:ascii="Google Sans" w:cs="Google Sans" w:eastAsia="Google Sans" w:hAnsi="Google Sans"/>
          <w:b w:val="1"/>
          <w:sz w:val="28"/>
          <w:szCs w:val="28"/>
          <w:rtl w:val="0"/>
        </w:rPr>
        <w:t xml:space="preserve">1</w:t>
      </w:r>
      <w:r w:rsidDel="00000000" w:rsidR="00000000" w:rsidRPr="00000000">
        <w:rPr>
          <w:rFonts w:ascii="Google Sans" w:cs="Google Sans" w:eastAsia="Google Sans" w:hAnsi="Google Sans"/>
          <w:b w:val="1"/>
          <w:sz w:val="28"/>
          <w:szCs w:val="28"/>
          <w:vertAlign w:val="superscript"/>
          <w:rtl w:val="0"/>
        </w:rPr>
        <w:t xml:space="preserve">st</w:t>
      </w:r>
      <w:r w:rsidDel="00000000" w:rsidR="00000000" w:rsidRPr="00000000">
        <w:rPr>
          <w:rFonts w:ascii="Google Sans" w:cs="Google Sans" w:eastAsia="Google Sans" w:hAnsi="Google Sans"/>
          <w:b w:val="1"/>
          <w:sz w:val="28"/>
          <w:szCs w:val="28"/>
          <w:rtl w:val="0"/>
        </w:rPr>
        <w:t xml:space="preserve"> January 20XX</w:t>
      </w:r>
    </w:p>
    <w:p w:rsidR="00000000" w:rsidDel="00000000" w:rsidP="00000000" w:rsidRDefault="00000000" w:rsidRPr="00000000" w14:paraId="00000003">
      <w:pPr>
        <w:pStyle w:val="Subtitle"/>
        <w:keepNext w:val="0"/>
        <w:keepLines w:val="0"/>
        <w:spacing w:after="0" w:line="240" w:lineRule="auto"/>
        <w:rPr>
          <w:rFonts w:ascii="Google Sans" w:cs="Google Sans" w:eastAsia="Google Sans" w:hAnsi="Google Sans"/>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buc6q0k08dmn" w:id="3"/>
      <w:bookmarkEnd w:id="3"/>
      <w:r w:rsidDel="00000000" w:rsidR="00000000" w:rsidRPr="00000000">
        <w:rPr>
          <w:rFonts w:ascii="Proxima Nova" w:cs="Proxima Nova" w:eastAsia="Proxima Nova" w:hAnsi="Proxima Nova"/>
          <w:b w:val="1"/>
          <w:color w:val="353744"/>
          <w:sz w:val="28"/>
          <w:szCs w:val="28"/>
          <w:rtl w:val="0"/>
        </w:rPr>
        <w:t xml:space="preserve">System Description</w:t>
      </w:r>
    </w:p>
    <w:p w:rsidR="00000000" w:rsidDel="00000000" w:rsidP="00000000" w:rsidRDefault="00000000" w:rsidRPr="00000000" w14:paraId="00000005">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e64wndl8jmz1" w:id="4"/>
      <w:bookmarkEnd w:id="4"/>
      <w:r w:rsidDel="00000000" w:rsidR="00000000" w:rsidRPr="00000000">
        <w:rPr>
          <w:rFonts w:ascii="Proxima Nova" w:cs="Proxima Nova" w:eastAsia="Proxima Nova" w:hAnsi="Proxima Nova"/>
          <w:b w:val="1"/>
          <w:color w:val="353744"/>
          <w:sz w:val="28"/>
          <w:szCs w:val="28"/>
          <w:rtl w:val="0"/>
        </w:rPr>
        <w:t xml:space="preserve">Scope</w:t>
      </w:r>
    </w:p>
    <w:p w:rsidR="00000000" w:rsidDel="00000000" w:rsidP="00000000" w:rsidRDefault="00000000" w:rsidRPr="00000000" w14:paraId="00000007">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rFonts w:ascii="Google Sans" w:cs="Google Sans" w:eastAsia="Google Sans" w:hAnsi="Google Sans"/>
            <w:color w:val="1155cc"/>
            <w:u w:val="single"/>
            <w:rtl w:val="0"/>
          </w:rPr>
          <w:t xml:space="preserve">NIST SP 800-30 Rev. 1</w:t>
        </w:r>
      </w:hyperlink>
      <w:r w:rsidDel="00000000" w:rsidR="00000000" w:rsidRPr="00000000">
        <w:rPr>
          <w:rFonts w:ascii="Google Sans" w:cs="Google Sans" w:eastAsia="Google Sans" w:hAnsi="Google Sans"/>
          <w:color w:val="353744"/>
          <w:rtl w:val="0"/>
        </w:rPr>
        <w:t xml:space="preserve"> is used to guide the risk analysis of the information system.</w:t>
      </w:r>
    </w:p>
    <w:p w:rsidR="00000000" w:rsidDel="00000000" w:rsidP="00000000" w:rsidRDefault="00000000" w:rsidRPr="00000000" w14:paraId="00000008">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oymnw3nlvwib" w:id="5"/>
      <w:bookmarkEnd w:id="5"/>
      <w:r w:rsidDel="00000000" w:rsidR="00000000" w:rsidRPr="00000000">
        <w:rPr>
          <w:rFonts w:ascii="Proxima Nova" w:cs="Proxima Nova" w:eastAsia="Proxima Nova" w:hAnsi="Proxima Nova"/>
          <w:b w:val="1"/>
          <w:color w:val="353744"/>
          <w:sz w:val="28"/>
          <w:szCs w:val="28"/>
          <w:rtl w:val="0"/>
        </w:rPr>
        <w:t xml:space="preserve">Purpose</w:t>
      </w:r>
    </w:p>
    <w:p w:rsidR="00000000" w:rsidDel="00000000" w:rsidP="00000000" w:rsidRDefault="00000000" w:rsidRPr="00000000" w14:paraId="00000009">
      <w:pPr>
        <w:spacing w:after="200" w:before="200" w:lineRule="auto"/>
        <w:rPr>
          <w:rFonts w:ascii="Google Sans" w:cs="Google Sans" w:eastAsia="Google Sans" w:hAnsi="Google Sans"/>
          <w:color w:val="353744"/>
        </w:rPr>
      </w:pPr>
    </w:p>
    <w:p w:rsidR="00000000" w:rsidDel="00000000" w:rsidP="00000000" w:rsidRDefault="00000000" w:rsidRPr="00000000" w14:paraId="0000000A">
      <w:pPr>
        <w:numPr>
          <w:ilvl w:val="0"/>
          <w:numId w:val="3"/>
        </w:numPr>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How is the database server valuable to the business?</w:t>
      </w:r>
    </w:p>
    <w:p w:rsidR="00000000" w:rsidDel="00000000" w:rsidP="00000000" w:rsidRDefault="00000000" w:rsidRPr="00000000" w14:paraId="0000000B">
      <w:pPr>
        <w:numPr>
          <w:ilvl w:val="0"/>
          <w:numId w:val="3"/>
        </w:numPr>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Why is it important for the business to secure the data on the server?</w:t>
      </w:r>
    </w:p>
    <w:p w:rsidR="00000000" w:rsidDel="00000000" w:rsidP="00000000" w:rsidRDefault="00000000" w:rsidRPr="00000000" w14:paraId="0000000C">
      <w:pPr>
        <w:numPr>
          <w:ilvl w:val="0"/>
          <w:numId w:val="3"/>
        </w:numPr>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How might the server impact the business if it were disabled?</w:t>
      </w:r>
      <w:r w:rsidDel="00000000" w:rsidR="00000000" w:rsidRPr="00000000">
        <w:rPr>
          <w:rtl w:val="0"/>
        </w:rPr>
      </w:r>
    </w:p>
    <w:p w:rsidR="00000000" w:rsidDel="00000000" w:rsidP="00000000" w:rsidRDefault="00000000" w:rsidRPr="00000000" w14:paraId="0000000D">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i2ip4lwifo50" w:id="6"/>
      <w:bookmarkEnd w:id="6"/>
      <w:r w:rsidDel="00000000" w:rsidR="00000000" w:rsidRPr="00000000">
        <w:rPr>
          <w:rFonts w:ascii="Proxima Nova" w:cs="Proxima Nova" w:eastAsia="Proxima Nova" w:hAnsi="Proxima Nova"/>
          <w:b w:val="1"/>
          <w:color w:val="353744"/>
          <w:sz w:val="28"/>
          <w:szCs w:val="28"/>
          <w:rtl w:val="0"/>
        </w:rPr>
        <w:t xml:space="preserve">Risk Assessment</w:t>
      </w:r>
    </w:p>
    <w:p w:rsidR="00000000" w:rsidDel="00000000" w:rsidP="00000000" w:rsidRDefault="00000000" w:rsidRPr="00000000" w14:paraId="0000000E">
      <w:pPr>
        <w:spacing w:line="312" w:lineRule="auto"/>
        <w:rPr>
          <w:rFonts w:ascii="Google Sans" w:cs="Google Sans" w:eastAsia="Google Sans" w:hAnsi="Google Sans"/>
          <w:color w:val="35374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r>
              <w:t>Hacker (External threat)</w:t>
            </w:r>
          </w:p>
        </w:tc>
        <w:tc>
          <w:tcPr>
            <w:shd w:fill="auto" w:val="clear"/>
            <w:tcMar>
              <w:top w:w="100.0" w:type="dxa"/>
              <w:left w:w="100.0" w:type="dxa"/>
              <w:bottom w:w="100.0" w:type="dxa"/>
              <w:right w:w="100.0" w:type="dxa"/>
            </w:tcMar>
            <w:vAlign w:val="top"/>
          </w:tcPr>
          <w:p>
            <w:r>
              <w:t>Obtain sensitive information via exfiltration</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9</w:t>
            </w:r>
          </w:p>
        </w:tc>
      </w:tr>
      <w:tr>
        <w:trPr>
          <w:cantSplit w:val="0"/>
          <w:tblHeader w:val="0"/>
        </w:trPr>
        <w:tc>
          <w:tcPr>
            <w:shd w:fill="auto" w:val="clear"/>
            <w:tcMar>
              <w:top w:w="100.0" w:type="dxa"/>
              <w:left w:w="100.0" w:type="dxa"/>
              <w:bottom w:w="100.0" w:type="dxa"/>
              <w:right w:w="100.0" w:type="dxa"/>
            </w:tcMar>
            <w:vAlign w:val="top"/>
          </w:tcPr>
          <w:p>
            <w:r>
              <w:t>Employee (Insider threat)</w:t>
            </w:r>
          </w:p>
        </w:tc>
        <w:tc>
          <w:tcPr>
            <w:shd w:fill="auto" w:val="clear"/>
            <w:tcMar>
              <w:top w:w="100.0" w:type="dxa"/>
              <w:left w:w="100.0" w:type="dxa"/>
              <w:bottom w:w="100.0" w:type="dxa"/>
              <w:right w:w="100.0" w:type="dxa"/>
            </w:tcMar>
            <w:vAlign w:val="top"/>
          </w:tcPr>
          <w:p>
            <w:r>
              <w:t>Alter/Delete critical information</w:t>
            </w:r>
          </w:p>
        </w:tc>
        <w:tc>
          <w:tcPr>
            <w:shd w:fill="auto" w:val="clear"/>
            <w:tcMar>
              <w:top w:w="100.0" w:type="dxa"/>
              <w:left w:w="100.0" w:type="dxa"/>
              <w:bottom w:w="100.0" w:type="dxa"/>
              <w:right w:w="100.0" w:type="dxa"/>
            </w:tcMar>
            <w:vAlign w:val="top"/>
          </w:tcPr>
          <w:p>
            <w:r>
              <w:t>2</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6</w:t>
            </w:r>
          </w:p>
        </w:tc>
      </w:tr>
      <w:tr>
        <w:trPr>
          <w:cantSplit w:val="0"/>
          <w:tblHeader w:val="0"/>
        </w:trPr>
        <w:tc>
          <w:tcPr>
            <w:shd w:fill="auto" w:val="clear"/>
            <w:tcMar>
              <w:top w:w="100.0" w:type="dxa"/>
              <w:left w:w="100.0" w:type="dxa"/>
              <w:bottom w:w="100.0" w:type="dxa"/>
              <w:right w:w="100.0" w:type="dxa"/>
            </w:tcMar>
            <w:vAlign w:val="top"/>
          </w:tcPr>
          <w:p>
            <w:r>
              <w:t>Environmental (Hardware failure)</w:t>
            </w:r>
          </w:p>
        </w:tc>
        <w:tc>
          <w:tcPr>
            <w:shd w:fill="auto" w:val="clear"/>
            <w:tcMar>
              <w:top w:w="100.0" w:type="dxa"/>
              <w:left w:w="100.0" w:type="dxa"/>
              <w:bottom w:w="100.0" w:type="dxa"/>
              <w:right w:w="100.0" w:type="dxa"/>
            </w:tcMar>
            <w:vAlign w:val="top"/>
          </w:tcPr>
          <w:p>
            <w:r>
              <w:t>Disrupt mission-critical operations</w:t>
            </w:r>
          </w:p>
        </w:tc>
        <w:tc>
          <w:tcPr>
            <w:shd w:fill="auto" w:val="clear"/>
            <w:tcMar>
              <w:top w:w="100.0" w:type="dxa"/>
              <w:left w:w="100.0" w:type="dxa"/>
              <w:bottom w:w="100.0" w:type="dxa"/>
              <w:right w:w="100.0" w:type="dxa"/>
            </w:tcMar>
            <w:vAlign w:val="top"/>
          </w:tcPr>
          <w:p>
            <w:r>
              <w:t>1</w:t>
            </w:r>
          </w:p>
        </w:tc>
        <w:tc>
          <w:tcPr>
            <w:shd w:fill="auto" w:val="clear"/>
            <w:tcMar>
              <w:top w:w="100.0" w:type="dxa"/>
              <w:left w:w="100.0" w:type="dxa"/>
              <w:bottom w:w="100.0" w:type="dxa"/>
              <w:right w:w="100.0" w:type="dxa"/>
            </w:tcMar>
            <w:vAlign w:val="top"/>
          </w:tcPr>
          <w:p>
            <w:r>
              <w:t>3</w:t>
            </w:r>
          </w:p>
        </w:tc>
        <w:tc>
          <w:tcPr>
            <w:shd w:fill="auto" w:val="clear"/>
            <w:tcMar>
              <w:top w:w="100.0" w:type="dxa"/>
              <w:left w:w="100.0" w:type="dxa"/>
              <w:bottom w:w="100.0" w:type="dxa"/>
              <w:right w:w="100.0" w:type="dxa"/>
            </w:tcMar>
            <w:vAlign w:val="top"/>
          </w:tcPr>
          <w:p>
            <w:r>
              <w:t>3</w:t>
            </w:r>
          </w:p>
        </w:tc>
      </w:tr>
    </w:tbl>
    <w:p w:rsidR="00000000" w:rsidDel="00000000" w:rsidP="00000000" w:rsidRDefault="00000000" w:rsidRPr="00000000" w14:paraId="00000023">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a9ivkvfuz16w" w:id="7"/>
      <w:bookmarkEnd w:id="7"/>
      <w:r w:rsidDel="00000000" w:rsidR="00000000" w:rsidRPr="00000000">
        <w:rPr>
          <w:rFonts w:ascii="Proxima Nova" w:cs="Proxima Nova" w:eastAsia="Proxima Nova" w:hAnsi="Proxima Nova"/>
          <w:b w:val="1"/>
          <w:color w:val="353744"/>
          <w:sz w:val="28"/>
          <w:szCs w:val="28"/>
          <w:rtl w:val="0"/>
        </w:rPr>
        <w:t xml:space="preserve">Approach</w:t>
      </w:r>
    </w:p>
    <w:p w:rsidR="00000000" w:rsidDel="00000000" w:rsidP="00000000" w:rsidRDefault="00000000" w:rsidRPr="00000000" w14:paraId="00000024">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rsidR="00000000" w:rsidDel="00000000" w:rsidP="00000000" w:rsidRDefault="00000000" w:rsidRPr="00000000" w14:paraId="00000025">
      <w:pPr>
        <w:spacing w:before="200" w:lineRule="auto"/>
        <w:rPr>
          <w:rFonts w:ascii="Google Sans" w:cs="Google Sans" w:eastAsia="Google Sans" w:hAnsi="Google Sans"/>
          <w:color w:val="353744"/>
        </w:rPr>
      </w:pPr>
      <w:r>
        <w:t>The three threat sources were selected based on the server's public accessibility and the sensitivity of the data it stores. Hackers represent a persistent external threat due to the server's internet exposure, making unauthorized access attempts highly probable. Employees pose an insider threat risk, as privileged access combined with weak access controls can lead to accidental or intentional data manipulation. Environmental threats such as hardware failures were included because the server's continuous operation is critical to business functions. Likelihood and severity scores were derived from NIST SP 800-30 Rev. 1 guidelines and general knowledge of database server vulnerabilities.</w:t>
      </w:r>
    </w:p>
    <w:p w:rsidR="00000000" w:rsidDel="00000000" w:rsidP="00000000" w:rsidRDefault="00000000" w:rsidRPr="00000000" w14:paraId="00000026">
      <w:pPr>
        <w:numPr>
          <w:ilvl w:val="0"/>
          <w:numId w:val="1"/>
        </w:numPr>
        <w:spacing w:after="0" w:afterAutospacing="0" w:before="200" w:lineRule="auto"/>
        <w:ind w:left="720" w:hanging="360"/>
        <w:rPr>
          <w:rFonts w:ascii="Google Sans" w:cs="Google Sans" w:eastAsia="Google Sans" w:hAnsi="Google Sans"/>
          <w:i w:val="1"/>
          <w:color w:val="353744"/>
        </w:rPr>
      </w:pPr>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How were you deriving the likelihood and severity scores of each risk?</w:t>
      </w:r>
    </w:p>
    <w:p w:rsidR="00000000" w:rsidDel="00000000" w:rsidP="00000000" w:rsidRDefault="00000000" w:rsidRPr="00000000" w14:paraId="00000028">
      <w:pPr>
        <w:numPr>
          <w:ilvl w:val="0"/>
          <w:numId w:val="1"/>
        </w:numPr>
        <w:spacing w:before="0" w:beforeAutospacing="0" w:lineRule="auto"/>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What were the limitations of the assessment?</w:t>
      </w:r>
    </w:p>
    <w:p w:rsidR="00000000" w:rsidDel="00000000" w:rsidP="00000000" w:rsidRDefault="00000000" w:rsidRPr="00000000" w14:paraId="00000029">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vf6vykh0xvv7" w:id="8"/>
      <w:bookmarkEnd w:id="8"/>
      <w:r w:rsidDel="00000000" w:rsidR="00000000" w:rsidRPr="00000000">
        <w:rPr>
          <w:rFonts w:ascii="Proxima Nova" w:cs="Proxima Nova" w:eastAsia="Proxima Nova" w:hAnsi="Proxima Nova"/>
          <w:b w:val="1"/>
          <w:color w:val="353744"/>
          <w:sz w:val="28"/>
          <w:szCs w:val="28"/>
          <w:rtl w:val="0"/>
        </w:rPr>
        <w:t xml:space="preserve">Remediation Strategy</w:t>
      </w:r>
    </w:p>
    <w:p w:rsidR="00000000" w:rsidDel="00000000" w:rsidP="00000000" w:rsidRDefault="00000000" w:rsidRPr="00000000" w14:paraId="0000002A">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rsidR="00000000" w:rsidDel="00000000" w:rsidP="00000000" w:rsidRDefault="00000000" w:rsidRPr="00000000" w14:paraId="0000002B">
      <w:pPr>
        <w:spacing w:before="200" w:line="312" w:lineRule="auto"/>
        <w:rPr>
          <w:rFonts w:ascii="Google Sans" w:cs="Google Sans" w:eastAsia="Google Sans" w:hAnsi="Google Sans"/>
          <w:color w:val="353744"/>
        </w:rPr>
      </w:pPr>
      <w:r>
        <w:t>To remediate the identified risks, the organization should implement multi-factor authentication (MFA) to protect against unauthorized access by both external hackers and malicious insiders. Applying the principle of least privilege will limit employee access to only the data and functions required for their role, reducing the risk of insider threats. Defense in depth should be implemented by adding network monitoring, intrusion detection systems (IDS), and regular security audits. Additionally, automated backups and a disaster recovery plan will mitigate the impact of environmental threats such as hardware failures or power outages.</w:t>
      </w:r>
    </w:p>
    <w:p w:rsidR="00000000" w:rsidDel="00000000" w:rsidP="00000000" w:rsidRDefault="00000000" w:rsidRPr="00000000" w14:paraId="0000002C">
      <w:pPr>
        <w:numPr>
          <w:ilvl w:val="0"/>
          <w:numId w:val="2"/>
        </w:numPr>
        <w:spacing w:after="0" w:afterAutospacing="0" w:before="200" w:lineRule="auto"/>
        <w:ind w:left="720" w:hanging="360"/>
        <w:rPr>
          <w:rFonts w:ascii="Google Sans" w:cs="Google Sans" w:eastAsia="Google Sans" w:hAnsi="Google Sans"/>
          <w:i w:val="1"/>
          <w:color w:val="353744"/>
        </w:rPr>
      </w:pPr>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Are there security controls that can reduce the risks you evaluated? What are those controls and how would they remediate the risks?</w:t>
      </w:r>
    </w:p>
    <w:p w:rsidR="00000000" w:rsidDel="00000000" w:rsidP="00000000" w:rsidRDefault="00000000" w:rsidRPr="00000000" w14:paraId="0000002E">
      <w:pPr>
        <w:numPr>
          <w:ilvl w:val="0"/>
          <w:numId w:val="2"/>
        </w:numPr>
        <w:spacing w:before="0" w:beforeAutospacing="0" w:lineRule="auto"/>
        <w:ind w:left="720" w:hanging="36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How will the results of the assessment improve the overall security of the system?</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c4L2azQlnUM-8r43PU9mYlT30BnxTwdjAMqpT7JeZk/edit?resourcekey=0-Q-XglnC3Li7JPK2hIvMkVg#heading=h.hvbcmqwzo9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