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color w:val="4a86e8"/>
          <w:sz w:val="40"/>
          <w:szCs w:val="40"/>
          <w:rtl w:val="0"/>
        </w:rPr>
        <w:t xml:space="preserve">Data</w:t>
      </w:r>
      <w:r w:rsidDel="00000000" w:rsidR="00000000" w:rsidRPr="00000000">
        <w:rPr>
          <w:rFonts w:ascii="Google Sans" w:cs="Google Sans" w:eastAsia="Google Sans" w:hAnsi="Google Sans"/>
          <w:b w:val="1"/>
          <w:color w:val="4a86e8"/>
          <w:sz w:val="40"/>
          <w:szCs w:val="40"/>
          <w:rtl w:val="0"/>
        </w:rPr>
        <w:t xml:space="preserve"> leak </w:t>
      </w:r>
      <w:r w:rsidDel="00000000" w:rsidR="00000000" w:rsidRPr="00000000">
        <w:rPr>
          <w:b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color w:val="434343"/>
              </w:rPr>
            </w:pPr>
            <w:r w:rsidDel="00000000" w:rsidR="00000000" w:rsidRPr="00000000">
              <w:rPr>
                <w:b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Issue(s)</w:t>
            </w:r>
          </w:p>
        </w:tc>
        <w:tc>
          <w:tcPr>
            <w:gridSpan w:val="3"/>
            <w:shd w:fill="auto" w:val="clear"/>
            <w:tcMar>
              <w:top w:w="100.0" w:type="dxa"/>
              <w:left w:w="100.0" w:type="dxa"/>
              <w:bottom w:w="100.0" w:type="dxa"/>
              <w:right w:w="100.0" w:type="dxa"/>
            </w:tcMar>
            <w:vAlign w:val="top"/>
          </w:tcPr>
          <w:p>
            <w:r>
              <w:t>The sales manager shared access to an internal folder without setting an expiration on access permissions. The sales representative accidentally shared the wrong link (internal folder instead of promotional materials) with a business partner. The business partner then publicly posted the internal link on social media, exposing confidential product information. The root cause was a lack of least privilege enforcement — the team had broader access than needed, and no automatic revocation was in place.</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
              <w:t>NIST SP 800-53: AC-6 (Least Privilege) states that users should only be given the minimal access and authorization required to complete their tasks. It emphasizes restricting access based on user roles, automatically revoking access after a period of time, keeping activity logs of user accounts, and regularly auditing user privileges.</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Recommendation(s)</w:t>
            </w:r>
          </w:p>
        </w:tc>
        <w:tc>
          <w:tcPr>
            <w:gridSpan w:val="3"/>
            <w:shd w:fill="auto" w:val="clear"/>
            <w:tcMar>
              <w:top w:w="100.0" w:type="dxa"/>
              <w:left w:w="100.0" w:type="dxa"/>
              <w:bottom w:w="100.0" w:type="dxa"/>
              <w:right w:w="100.0" w:type="dxa"/>
            </w:tcMar>
            <w:vAlign w:val="top"/>
          </w:tcPr>
          <w:p>
            <w:r>
              <w:t>1. Implement automatic access expiration for shared folders — access should be revoked immediately after a meeting ends or after a defined time period. 2. Restrict folder sharing permissions so that employees can only share links to specific approved files, not entire internal folders. 3. Require manager approval before any internal documents can be shared externally.</w:t>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
              <w:t>These improvements directly address the issues by ensuring that temporary access is automatically removed, reducing the risk of accidental sharing of internal resources. Restricting sharing permissions prevents employees from accidentally sharing more than intended. Requiring approval adds a human checkpoint that could have prevented the business partner from receiving the internal folder link in the first place.</w:t>
            </w:r>
          </w:p>
        </w:tc>
      </w:tr>
    </w:tbl>
    <w:p w:rsidR="00000000" w:rsidDel="00000000" w:rsidP="00000000" w:rsidRDefault="00000000" w:rsidRPr="00000000" w14:paraId="00000020">
      <w:pPr>
        <w:ind w:left="-360" w:right="-360" w:firstLine="0"/>
        <w:rPr/>
      </w:pPr>
      <w:r w:rsidDel="00000000" w:rsidR="00000000" w:rsidRPr="00000000">
        <w:rPr>
          <w:rtl w:val="0"/>
        </w:rPr>
      </w:r>
    </w:p>
    <w:p w:rsidR="00000000" w:rsidDel="00000000" w:rsidP="00000000" w:rsidRDefault="00000000" w:rsidRPr="00000000" w14:paraId="00000021">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3"/>
        <w:ind w:left="-360" w:right="-360" w:firstLine="0"/>
        <w:rPr>
          <w:rFonts w:ascii="Google Sans" w:cs="Google Sans" w:eastAsia="Google Sans" w:hAnsi="Google Sans"/>
          <w:b w:val="1"/>
          <w:color w:val="4a86e8"/>
        </w:rPr>
      </w:pPr>
      <w:bookmarkStart w:colFirst="0" w:colLast="0" w:name="_ka0u51o5b7wk" w:id="1"/>
      <w:bookmarkEnd w:id="1"/>
      <w:r w:rsidDel="00000000" w:rsidR="00000000" w:rsidRPr="00000000">
        <w:rPr>
          <w:b w:val="1"/>
          <w:color w:val="4a86e8"/>
          <w:rtl w:val="0"/>
        </w:rPr>
        <w:t xml:space="preserve">Security plan snapshot</w:t>
      </w:r>
      <w:r w:rsidDel="00000000" w:rsidR="00000000" w:rsidRPr="00000000">
        <w:rPr>
          <w:rtl w:val="0"/>
        </w:rPr>
      </w:r>
    </w:p>
    <w:p w:rsidR="00000000" w:rsidDel="00000000" w:rsidP="00000000" w:rsidRDefault="00000000" w:rsidRPr="00000000" w14:paraId="00000023">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4">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D">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2F">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ind w:left="-360" w:right="-360" w:firstLine="0"/>
        <w:rPr>
          <w:rFonts w:ascii="Google Sans" w:cs="Google Sans" w:eastAsia="Google Sans" w:hAnsi="Google Sans"/>
        </w:rPr>
      </w:pPr>
      <w:r w:rsidDel="00000000" w:rsidR="00000000" w:rsidRPr="00000000">
        <w:rPr>
          <w:b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31">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3"/>
        <w:ind w:left="-360" w:right="-360" w:firstLine="0"/>
        <w:rPr>
          <w:rFonts w:ascii="Google Sans" w:cs="Google Sans" w:eastAsia="Google Sans" w:hAnsi="Google Sans"/>
          <w:b w:val="1"/>
          <w:color w:val="4a86e8"/>
        </w:rPr>
      </w:pPr>
      <w:bookmarkStart w:colFirst="0" w:colLast="0" w:name="_hvbcmqwzo9do" w:id="2"/>
      <w:bookmarkEnd w:id="2"/>
      <w:r w:rsidDel="00000000" w:rsidR="00000000" w:rsidRPr="00000000">
        <w:rPr>
          <w:rFonts w:ascii="Google Sans" w:cs="Google Sans" w:eastAsia="Google Sans" w:hAnsi="Google Sans"/>
          <w:b w:val="1"/>
          <w:color w:val="4a86e8"/>
          <w:rtl w:val="0"/>
        </w:rPr>
        <w:t xml:space="preserve">NIST </w:t>
      </w:r>
      <w:r w:rsidDel="00000000" w:rsidR="00000000" w:rsidRPr="00000000">
        <w:rPr>
          <w:rFonts w:ascii="Google Sans" w:cs="Google Sans" w:eastAsia="Google Sans" w:hAnsi="Google Sans"/>
          <w:b w:val="1"/>
          <w:color w:val="4a86e8"/>
          <w:rtl w:val="0"/>
        </w:rPr>
        <w:t xml:space="preserve">SP 800-53: AC-6</w:t>
      </w:r>
      <w:r w:rsidDel="00000000" w:rsidR="00000000" w:rsidRPr="00000000">
        <w:rPr>
          <w:rtl w:val="0"/>
        </w:rPr>
      </w:r>
    </w:p>
    <w:p w:rsidR="00000000" w:rsidDel="00000000" w:rsidP="00000000" w:rsidRDefault="00000000" w:rsidRPr="00000000" w14:paraId="00000033">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4">
      <w:pPr>
        <w:numPr>
          <w:ilvl w:val="0"/>
          <w:numId w:val="1"/>
        </w:numPr>
        <w:ind w:left="720" w:right="-360" w:hanging="360"/>
        <w:rPr>
          <w:u w:val="none"/>
        </w:rPr>
      </w:pPr>
      <w:r w:rsidDel="00000000" w:rsidR="00000000" w:rsidRPr="00000000">
        <w:rPr>
          <w:b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5">
      <w:pPr>
        <w:numPr>
          <w:ilvl w:val="0"/>
          <w:numId w:val="1"/>
        </w:numPr>
        <w:ind w:left="720" w:right="-360" w:hanging="360"/>
        <w:rPr>
          <w:u w:val="none"/>
        </w:rPr>
      </w:pPr>
      <w:r w:rsidDel="00000000" w:rsidR="00000000" w:rsidRPr="00000000">
        <w:rPr>
          <w:b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6">
      <w:pPr>
        <w:numPr>
          <w:ilvl w:val="0"/>
          <w:numId w:val="1"/>
        </w:numPr>
        <w:ind w:left="720" w:right="-360" w:hanging="360"/>
        <w:rPr>
          <w:u w:val="none"/>
        </w:rPr>
      </w:pPr>
      <w:r w:rsidDel="00000000" w:rsidR="00000000" w:rsidRPr="00000000">
        <w:rPr>
          <w:b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7">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ind w:left="0" w:right="15" w:firstLine="0"/>
              <w:rPr>
                <w:rFonts w:ascii="Google Sans" w:cs="Google Sans" w:eastAsia="Google Sans" w:hAnsi="Google Sans"/>
                <w:i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C">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ind w:right="15"/>
              <w:rPr/>
            </w:pPr>
            <w:r w:rsidDel="00000000" w:rsidR="00000000" w:rsidRPr="00000000">
              <w:rPr>
                <w:rtl w:val="0"/>
              </w:rPr>
              <w:t xml:space="preserve">Discussion:</w:t>
            </w:r>
          </w:p>
          <w:p w:rsidR="00000000" w:rsidDel="00000000" w:rsidP="00000000" w:rsidRDefault="00000000" w:rsidRPr="00000000" w14:paraId="0000003F">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ind w:left="0" w:right="15" w:firstLine="0"/>
              <w:rPr/>
            </w:pPr>
            <w:r w:rsidDel="00000000" w:rsidR="00000000" w:rsidRPr="00000000">
              <w:rPr>
                <w:rtl w:val="0"/>
              </w:rPr>
              <w:t xml:space="preserve">Control enhancements:</w:t>
            </w:r>
          </w:p>
          <w:p w:rsidR="00000000" w:rsidDel="00000000" w:rsidP="00000000" w:rsidRDefault="00000000" w:rsidRPr="00000000" w14:paraId="00000042">
            <w:pPr>
              <w:numPr>
                <w:ilvl w:val="0"/>
                <w:numId w:val="2"/>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43">
            <w:pPr>
              <w:numPr>
                <w:ilvl w:val="0"/>
                <w:numId w:val="2"/>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4">
            <w:pPr>
              <w:numPr>
                <w:ilvl w:val="0"/>
                <w:numId w:val="2"/>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5">
            <w:pPr>
              <w:numPr>
                <w:ilvl w:val="0"/>
                <w:numId w:val="2"/>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6">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ind w:left="-360" w:right="-360" w:firstLine="0"/>
        <w:rPr/>
      </w:pPr>
      <w:r w:rsidDel="00000000" w:rsidR="00000000" w:rsidRPr="00000000">
        <w:rPr>
          <w:b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8">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oogle Sans" w:cs="Google Sans" w:eastAsia="Google Sans" w:hAnsi="Google Sans"/>
        <w:sz w:val="22"/>
        <w:szCs w:val="22"/>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