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Peer Review Report</w:t>
      </w:r>
    </w:p>
    <w:p>
      <w:pPr>
        <w:spacing w:after="40"/>
        <w:jc w:val="center"/>
      </w:pPr>
      <w:r>
        <w:rPr>
          <w:rFonts w:ascii="Arial" w:cs="Arial" w:eastAsia="Arial" w:hAnsi="Arial"/>
          <w:i/>
          <w:iCs/>
          <w:sz w:val="24"/>
          <w:szCs w:val="24"/>
        </w:rPr>
        <w:t xml:space="preserve">Continuous-Time Set-Transformers for Asynchronous WiFi-IMU Indoor Localization</w:t>
      </w:r>
    </w:p>
    <w:p>
      <w:pPr>
        <w:spacing w:after="60"/>
        <w:jc w:val="center"/>
      </w:pPr>
      <w:r>
        <w:rPr>
          <w:rFonts w:ascii="Arial" w:cs="Arial" w:eastAsia="Arial" w:hAnsi="Arial"/>
          <w:color w:val="595959"/>
          <w:sz w:val="18"/>
          <w:szCs w:val="18"/>
        </w:rPr>
        <w:t xml:space="preserve">Target venue: ICINCO 2026    |    Review type: neutral pre-submission read, as a representative future reader</w:t>
      </w:r>
    </w:p>
    <w:p>
      <w:pPr>
        <w:pBdr>
          <w:bottom w:val="single" w:color="2E75B6" w:sz="6" w:space="1"/>
        </w:pBdr>
        <w:spacing w:after="120"/>
      </w:pPr>
      <w:r>
        <w:rPr>
          <w:rFonts w:ascii="Arial" w:cs="Arial" w:eastAsia="Arial" w:hAnsi="Arial"/>
        </w:rPr>
        <w:t xml:space="preserve"/>
      </w:r>
    </w:p>
    <w:p>
      <w:pPr>
        <w:spacing w:after="140" w:line="276"/>
      </w:pPr>
      <w:r>
        <w:rPr>
          <w:rFonts w:ascii="Arial" w:cs="Arial" w:eastAsia="Arial" w:hAnsi="Arial"/>
          <w:i/>
          <w:iCs/>
        </w:rPr>
        <w:t xml:space="preserve">This is a simulated reviewer report intended to help strengthen the manuscript before submission. It reads the paper cold, with no external context, and aims to anticipate the comments a typical conference reviewer would raise. The tone is deliberately neutral: neither severe nor lenient. Items are graded by how strongly they affect the paper's claims, and most carry a concrete suggested action.</w:t>
      </w:r>
    </w:p>
    <w:p>
      <w:pPr>
        <w:pStyle w:val="Heading1"/>
      </w:pPr>
      <w:r>
        <w:t xml:space="preserve">1. Summary of the submission</w:t>
      </w:r>
    </w:p>
    <w:p>
      <w:pPr>
        <w:spacing w:after="140" w:line="276"/>
      </w:pPr>
      <w:r>
        <w:rPr>
          <w:rFonts w:ascii="Arial" w:cs="Arial" w:eastAsia="Arial" w:hAnsi="Arial"/>
        </w:rPr>
        <w:t xml:space="preserve">The paper addresses indoor self-localization from two asynchronous, multi-rate sensor streams: WiFi RSSI fingerprints (sparse, absolute) and IMU windows (dense, relative). The central proposal is a continuous-time set-transformer in which every observation, regardless of modality or sampling rate, is mapped to a single token. Each token sums (i) a modality-specific encoder output, (ii) an additive learnable modality embedding, and (iii) a learned sinusoidal encoding of its real-valued elapsed time relative to the query. A single permutation-invariant self-attention block then performs cross-modal and cross-time fusion jointly, and a learnable position query cross-attends the contextualized set to read out (x, y). Robustness to missing and stale sensors is obtained through modality- and instant-dropout at training time, framing graceful degradation as a property of training rather than of architecture.</w:t>
      </w:r>
    </w:p>
    <w:p>
      <w:pPr>
        <w:spacing w:after="140" w:line="276"/>
      </w:pPr>
      <w:r>
        <w:rPr>
          <w:rFonts w:ascii="Arial" w:cs="Arial" w:eastAsia="Arial" w:hAnsi="Arial"/>
        </w:rPr>
        <w:t xml:space="preserve">The method is assembled from a WiFi encoder (an RSSI scan scored against learned reference points) and a small 1D-CNN IMU encoder, each first validated in isolation on a standard benchmark (UJIIndoorLoc and RoNIN, respectively), then fused and evaluated on a Webots simulation and on real WiFi-IMU collections, including a cross-session split (MSILN site1/B1) whose test paths are recorded on unseen days. The headline claims are improved cross-session robustness over an open WiFi fingerprinting reference, competitiveness with dead-reckoning and learned-fusion references, and smooth degradation under missing/stale inputs. The model is lightweight (about 1.5 M parameters) and runs in real time.</w:t>
      </w:r>
    </w:p>
    <w:p>
      <w:pPr>
        <w:pStyle w:val="Heading1"/>
      </w:pPr>
      <w:r>
        <w:t xml:space="preserve">2. Overall assessment</w:t>
      </w:r>
    </w:p>
    <w:p>
      <w:pPr>
        <w:spacing w:after="140" w:line="276"/>
      </w:pPr>
      <w:r>
        <w:rPr>
          <w:rFonts w:ascii="Arial" w:cs="Arial" w:eastAsia="Arial" w:hAnsi="Arial"/>
          <w:b/>
          <w:bCs/>
        </w:rPr>
        <w:t xml:space="preserve">Recommendation: </w:t>
      </w:r>
      <w:r>
        <w:rPr>
          <w:rFonts w:ascii="Arial" w:cs="Arial" w:eastAsia="Arial" w:hAnsi="Arial"/>
        </w:rPr>
        <w:t xml:space="preserve">Borderline, leaning accept (roughly 3 / 5), conditional on revisions. </w:t>
      </w:r>
      <w:r>
        <w:rPr>
          <w:rFonts w:ascii="Arial" w:cs="Arial" w:eastAsia="Arial" w:hAnsi="Arial"/>
        </w:rPr>
        <w:t xml:space="preserve">The paper has a clean, well-motivated central idea and an unusually candid results section, which I value. The principal reservations are about evaluation rigour rather than the idea itself, and the most important ones are addressable before a camera-ready: the paper's named mechanism is never directly ablated (M1); all results are single-seed point estimates on small splits (M2); the cross-session headline leans on one dominant test path (M3); the most comparable prior method is not a baseline (M4); and the robustness story is shown only on the optimistic simulation (M5). I would lean to acceptance if at least M1 and M2 are addressed, with the remainder strengthening rather than blocking.</w:t>
      </w:r>
    </w:p>
    <w:p>
      <w:pPr>
        <w:spacing w:after="140" w:line="276"/>
      </w:pPr>
      <w:r>
        <w:rPr>
          <w:rFonts w:ascii="Arial" w:cs="Arial" w:eastAsia="Arial" w:hAnsi="Arial"/>
        </w:rPr>
        <w:t xml:space="preserve">For context: as a full-length submission the evaluation gaps weigh more heavily; as a short paper the conceptual contribution alone could reasonably carry it. Either way, the fixes below are the difference between a paper a reviewer waves through and one a reviewer argues about.</w:t>
      </w:r>
    </w:p>
    <w:p>
      <w:pPr>
        <w:pStyle w:val="Heading2"/>
      </w:pPr>
      <w:r>
        <w:t xml:space="preserve">Concern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6710"/>
        <w:gridCol w:w="1500"/>
      </w:tblGrid>
      <w:tr>
        <w:tc>
          <w:tcPr>
            <w:tcW w:type="dxa" w:w="11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ID</w:t>
            </w:r>
          </w:p>
        </w:tc>
        <w:tc>
          <w:tcPr>
            <w:tcW w:type="dxa" w:w="67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Concern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Severity</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M1</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The central mechanism (continuous-time encoding) is never ablated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rPr>
              <w:t xml:space="preserve">Major</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M2</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Single-seed results; no measure of run-to-run variance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rPr>
              <w:t xml:space="preserve">Major</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M3</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Cross-session headline rests on a small, imbalanced test split (one path approx. 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rPr>
              <w:t xml:space="preserve">Major</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M4</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Baseline fairness: LSTM configuration, WIO-EKF omission, weak k-NN as headline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rPr>
              <w:t xml:space="preserve">Major</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M5</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Robustness (missing/stale) demonstrated only on the optimistic simulation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rPr>
              <w:t xml:space="preserve">Major</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D1</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Fusion benefit is modest and not isolated on real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F8F00"/>
              </w:rPr>
              <w:t xml:space="preserve">Moderate</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D2</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IMU encoder underperforms its reference; limits the fusion ceiling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F8F00"/>
              </w:rPr>
              <w:t xml:space="preserve">Moderate</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D3</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Architectural hyperparameters fixed without sensitivity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F8F00"/>
              </w:rPr>
              <w:t xml:space="preserve">Moderate</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D4</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Reproducibility: simulation synthesis, preprocessing, and code release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F8F00"/>
              </w:rPr>
              <w:t xml:space="preserve">Moderate</w:t>
            </w:r>
          </w:p>
        </w:tc>
      </w:tr>
      <w:tr>
        <w:tc>
          <w:tcPr>
            <w:tcW w:type="dxa" w:w="11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D5</w:t>
            </w:r>
          </w:p>
        </w:tc>
        <w:tc>
          <w:tcPr>
            <w:tcW w:type="dxa" w:w="67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Novelty delineation vs SeFT / STraTS could be crisper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F8F00"/>
              </w:rPr>
              <w:t xml:space="preserve">Moderate</w:t>
            </w:r>
          </w:p>
        </w:tc>
      </w:tr>
    </w:tbl>
    <w:p>
      <w:pPr>
        <w:spacing w:after="120"/>
      </w:pPr>
      <w:r>
        <w:rPr>
          <w:rFonts w:ascii="Arial" w:cs="Arial" w:eastAsia="Arial" w:hAnsi="Arial"/>
        </w:rPr>
        <w:t xml:space="preserve"/>
      </w:r>
    </w:p>
    <w:p>
      <w:pPr>
        <w:pStyle w:val="Heading2"/>
      </w:pPr>
      <w:r>
        <w:t xml:space="preserve">Scores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Criterion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Rating</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rPr>
              <w:t xml:space="preserve">Note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Originality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3.5 /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Clean reframing of multi-rate fusion; the architecture class itself (continuous-time set transformer without an ODE solver) precedes the paper in SeFT / STraTS.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Technical soundness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 /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Method is sound and well derived; the weaknesses are in evaluation rigour, not the formulation.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Clarity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 /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Dense but precise; strong formalism. A few typos and a notation-heavy presentation.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Significance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3.5 /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Lightweight, real-time, and aimed at the deployment-relevant cross-session setting.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Reproducibility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2.5 / 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rPr>
              <w:t xml:space="preserve">Custom simulation, under-specified observation-set construction, no code release noted.</w:t>
            </w:r>
          </w:p>
        </w:tc>
      </w:tr>
    </w:tbl>
    <w:p>
      <w:pPr>
        <w:spacing w:after="120"/>
      </w:pPr>
      <w:r>
        <w:rPr>
          <w:rFonts w:ascii="Arial" w:cs="Arial" w:eastAsia="Arial" w:hAnsi="Arial"/>
        </w:rPr>
        <w:t xml:space="preserve"/>
      </w:r>
    </w:p>
    <w:p>
      <w:pPr>
        <w:pStyle w:val="Heading1"/>
      </w:pPr>
      <w:r>
        <w:t xml:space="preserve">3. Strengths</w:t>
      </w:r>
    </w:p>
    <w:p>
      <w:pPr>
        <w:pStyle w:val="ListParagraph"/>
        <w:numPr>
          <w:ilvl w:val="0"/>
          <w:numId w:val="2"/>
        </w:numPr>
        <w:spacing w:after="120" w:line="272"/>
      </w:pPr>
      <w:r>
        <w:rPr>
          <w:rFonts w:ascii="Arial" w:cs="Arial" w:eastAsia="Arial" w:hAnsi="Arial"/>
          <w:b/>
          <w:bCs/>
        </w:rPr>
        <w:t xml:space="preserve">Clear, real problem. </w:t>
      </w:r>
      <w:r>
        <w:rPr>
          <w:rFonts w:ascii="Arial" w:cs="Arial" w:eastAsia="Arial" w:hAnsi="Arial"/>
        </w:rPr>
        <w:t xml:space="preserve">Asynchronous, multi-rate WiFi-IMU fusion is a genuine pain point, and the framing (no common clock; either stream may drop out or arrive stale) is compelling and accurately stated.</w:t>
      </w:r>
    </w:p>
    <w:p>
      <w:pPr>
        <w:pStyle w:val="ListParagraph"/>
        <w:numPr>
          <w:ilvl w:val="0"/>
          <w:numId w:val="2"/>
        </w:numPr>
        <w:spacing w:after="120" w:line="272"/>
      </w:pPr>
      <w:r>
        <w:rPr>
          <w:rFonts w:ascii="Arial" w:cs="Arial" w:eastAsia="Arial" w:hAnsi="Arial"/>
          <w:b/>
          <w:bCs/>
        </w:rPr>
        <w:t xml:space="preserve">Elegant central idea. </w:t>
      </w:r>
      <w:r>
        <w:rPr>
          <w:rFonts w:ascii="Arial" w:cs="Arial" w:eastAsia="Arial" w:hAnsi="Arial"/>
        </w:rPr>
        <w:t xml:space="preserve">Collapsing all modalities and time instants into one tokenized set with a continuous-time encoding, fused by a single self-attention block, is conceptually clean and avoids both resampling and an ODE-in-attention. This is the paper's strongest asset.</w:t>
      </w:r>
    </w:p>
    <w:p>
      <w:pPr>
        <w:pStyle w:val="ListParagraph"/>
        <w:numPr>
          <w:ilvl w:val="0"/>
          <w:numId w:val="2"/>
        </w:numPr>
        <w:spacing w:after="120" w:line="272"/>
      </w:pPr>
      <w:r>
        <w:rPr>
          <w:rFonts w:ascii="Arial" w:cs="Arial" w:eastAsia="Arial" w:hAnsi="Arial"/>
          <w:b/>
          <w:bCs/>
        </w:rPr>
        <w:t xml:space="preserve">Well-constructed formalism. </w:t>
      </w:r>
      <w:r>
        <w:rPr>
          <w:rFonts w:ascii="Arial" w:cs="Arial" w:eastAsia="Arial" w:hAnsi="Arial"/>
        </w:rPr>
        <w:t xml:space="preserve">The f = h o g decomposition (Eq. 5), the explicit permutation-invariance condition (Eq. 6), and the encoding/fusion split are precise and make the design choices easy to follow. The masking/CLS argument for NaN-safety is a nice touch.</w:t>
      </w:r>
    </w:p>
    <w:p>
      <w:pPr>
        <w:pStyle w:val="ListParagraph"/>
        <w:numPr>
          <w:ilvl w:val="0"/>
          <w:numId w:val="2"/>
        </w:numPr>
        <w:spacing w:after="120" w:line="272"/>
      </w:pPr>
      <w:r>
        <w:rPr>
          <w:rFonts w:ascii="Arial" w:cs="Arial" w:eastAsia="Arial" w:hAnsi="Arial"/>
          <w:b/>
          <w:bCs/>
        </w:rPr>
        <w:t xml:space="preserve">Honest reporting. </w:t>
      </w:r>
      <w:r>
        <w:rPr>
          <w:rFonts w:ascii="Arial" w:cs="Arial" w:eastAsia="Arial" w:hAnsi="Arial"/>
        </w:rPr>
        <w:t xml:space="preserve">The authors openly report that the IMU encoder is 89.2% worse than ResNet1D, that the simulation is optimistic, and that the test split is path-dominated. This candour is refreshing and earns reader trust.</w:t>
      </w:r>
    </w:p>
    <w:p>
      <w:pPr>
        <w:pStyle w:val="ListParagraph"/>
        <w:numPr>
          <w:ilvl w:val="0"/>
          <w:numId w:val="2"/>
        </w:numPr>
        <w:spacing w:after="120" w:line="272"/>
      </w:pPr>
      <w:r>
        <w:rPr>
          <w:rFonts w:ascii="Arial" w:cs="Arial" w:eastAsia="Arial" w:hAnsi="Arial"/>
          <w:b/>
          <w:bCs/>
        </w:rPr>
        <w:t xml:space="preserve">Encoders validated in isolation first. </w:t>
      </w:r>
      <w:r>
        <w:rPr>
          <w:rFonts w:ascii="Arial" w:cs="Arial" w:eastAsia="Arial" w:hAnsi="Arial"/>
        </w:rPr>
        <w:t xml:space="preserve">Scoring each encoder on its field's standard benchmark before fusing is good practice and means the fusion result rests on components already characterised.</w:t>
      </w:r>
    </w:p>
    <w:p>
      <w:pPr>
        <w:pStyle w:val="ListParagraph"/>
        <w:numPr>
          <w:ilvl w:val="0"/>
          <w:numId w:val="2"/>
        </w:numPr>
        <w:spacing w:after="120" w:line="272"/>
      </w:pPr>
      <w:r>
        <w:rPr>
          <w:rFonts w:ascii="Arial" w:cs="Arial" w:eastAsia="Arial" w:hAnsi="Arial"/>
          <w:b/>
          <w:bCs/>
        </w:rPr>
        <w:t xml:space="preserve">Nuanced analysis, not just aggregates. </w:t>
      </w:r>
      <w:r>
        <w:rPr>
          <w:rFonts w:ascii="Arial" w:cs="Arial" w:eastAsia="Arial" w:hAnsi="Arial"/>
        </w:rPr>
        <w:t xml:space="preserve">The per-sequence IMU view (Fig. 5, four of five best sequences below the ResNet1D mean) shows the 89.2% gap comes from a few hard sequences rather than a uniform shortfall, which is exactly the kind of disaggregation reviewers like to see.</w:t>
      </w:r>
    </w:p>
    <w:p>
      <w:pPr>
        <w:pStyle w:val="ListParagraph"/>
        <w:numPr>
          <w:ilvl w:val="0"/>
          <w:numId w:val="2"/>
        </w:numPr>
        <w:spacing w:after="120" w:line="272"/>
      </w:pPr>
      <w:r>
        <w:rPr>
          <w:rFonts w:ascii="Arial" w:cs="Arial" w:eastAsia="Arial" w:hAnsi="Arial"/>
          <w:b/>
          <w:bCs/>
        </w:rPr>
        <w:t xml:space="preserve">Practical footprint. </w:t>
      </w:r>
      <w:r>
        <w:rPr>
          <w:rFonts w:ascii="Arial" w:cs="Arial" w:eastAsia="Arial" w:hAnsi="Arial"/>
        </w:rPr>
        <w:t xml:space="preserve">About 1.5 M parameters and 4.77 ms / sample at batch 1 make the method deployable, which aligns well with the robotics framing and an ICINCO audience.</w:t>
      </w:r>
    </w:p>
    <w:p>
      <w:pPr>
        <w:pStyle w:val="ListParagraph"/>
        <w:numPr>
          <w:ilvl w:val="0"/>
          <w:numId w:val="2"/>
        </w:numPr>
        <w:spacing w:after="120" w:line="272"/>
      </w:pPr>
      <w:r>
        <w:rPr>
          <w:rFonts w:ascii="Arial" w:cs="Arial" w:eastAsia="Arial" w:hAnsi="Arial"/>
          <w:b/>
          <w:bCs/>
        </w:rPr>
        <w:t xml:space="preserve">Appropriate loss choice. </w:t>
      </w:r>
      <w:r>
        <w:rPr>
          <w:rFonts w:ascii="Arial" w:cs="Arial" w:eastAsia="Arial" w:hAnsi="Arial"/>
        </w:rPr>
        <w:t xml:space="preserve">The Huber surrogate is well justified for limiting the pull of outlier positions, and the choice is explained rather than asserted.</w:t>
      </w:r>
    </w:p>
    <w:p>
      <w:pPr>
        <w:pStyle w:val="Heading1"/>
      </w:pPr>
      <w:r>
        <w:t xml:space="preserve">4. Major concerns</w:t>
      </w:r>
    </w:p>
    <w:p>
      <w:pPr>
        <w:pStyle w:val="Heading2"/>
      </w:pPr>
      <w:r>
        <w:t xml:space="preserve">M1. The central mechanism (continuous-time encoding) is never ablated</w:t>
      </w:r>
    </w:p>
    <w:p>
      <w:pPr>
        <w:spacing w:after="140" w:line="276"/>
      </w:pPr>
      <w:r>
        <w:rPr>
          <w:rFonts w:ascii="Arial" w:cs="Arial" w:eastAsia="Arial" w:hAnsi="Arial"/>
        </w:rPr>
        <w:t xml:space="preserve">The title, abstract, and Section 4.2 all centre on the learned continuous-time encoding of elapsed time as the key to admitting multi-rate sensors without resampling. Yet no experiment isolates its contribution. There is no comparison against (a) removing the time encoding entirely, (b) replacing it with binned or quantized time (the very approach AFT-VO uses and that the paper criticises), or (c) a standard discrete positional index by arrival order. As written, a reader cannot tell whether the continuous-time encoding, the set/token formulation, or simply a competent WiFi encoder is responsible for the results. This is the single most consequential gap, precisely because it is the headline claim.</w:t>
      </w:r>
    </w:p>
    <w:p>
      <w:pPr>
        <w:spacing w:after="180" w:line="272"/>
      </w:pPr>
      <w:r>
        <w:rPr>
          <w:rFonts w:ascii="Arial" w:cs="Arial" w:eastAsia="Arial" w:hAnsi="Arial"/>
          <w:b/>
          <w:bCs/>
          <w:i/>
          <w:iCs/>
        </w:rPr>
        <w:t xml:space="preserve">Suggested action. </w:t>
      </w:r>
      <w:r>
        <w:rPr>
          <w:rFonts w:ascii="Arial" w:cs="Arial" w:eastAsia="Arial" w:hAnsi="Arial"/>
          <w:i/>
          <w:iCs/>
        </w:rPr>
        <w:t xml:space="preserve">Add a small ablation on Webots (ideally also MSILN) that swaps the elapsed-time encoding for: no time encoding, binned time, and sinusoidal positional encoding by arrival index. Even a four-row table would substantially strengthen the contribution and pre-empt the most obvious reviewer objection.</w:t>
      </w:r>
    </w:p>
    <w:p>
      <w:pPr>
        <w:pStyle w:val="Heading2"/>
      </w:pPr>
      <w:r>
        <w:t xml:space="preserve">M2. Single-seed results; no measure of variance</w:t>
      </w:r>
    </w:p>
    <w:p>
      <w:pPr>
        <w:spacing w:after="140" w:line="276"/>
      </w:pPr>
      <w:r>
        <w:rPr>
          <w:rFonts w:ascii="Arial" w:cs="Arial" w:eastAsia="Arial" w:hAnsi="Arial"/>
        </w:rPr>
        <w:t xml:space="preserve">Training fixes seed 42, and every reported number appears to be a single run. With test splits as small as 3 paths (Webots) and 5 paths (MSILN), point estimates are sensitive to initialization and to the particular split. Differences such as -12.7% over PDR-from-start on the MSILN test (10.90 vs 12.49 m), and especially -1.2% on the MSILN validation split (16.67 vs 16.88 m), cannot be meaningfully interpreted without a sense of run-to-run variability. A reader has no way to know whether these margins are real or within noise.</w:t>
      </w:r>
    </w:p>
    <w:p>
      <w:pPr>
        <w:spacing w:after="180" w:line="272"/>
      </w:pPr>
      <w:r>
        <w:rPr>
          <w:rFonts w:ascii="Arial" w:cs="Arial" w:eastAsia="Arial" w:hAnsi="Arial"/>
          <w:b/>
          <w:bCs/>
          <w:i/>
          <w:iCs/>
        </w:rPr>
        <w:t xml:space="preserve">Suggested action. </w:t>
      </w:r>
      <w:r>
        <w:rPr>
          <w:rFonts w:ascii="Arial" w:cs="Arial" w:eastAsia="Arial" w:hAnsi="Arial"/>
          <w:i/>
          <w:iCs/>
        </w:rPr>
        <w:t xml:space="preserve">Report mean and standard deviation over at least 3-5 seeds for the headline fusion results and the ablations. Where a multi-seed run is infeasible for a baseline, state that explicitly and temper the corresponding claim.</w:t>
      </w:r>
    </w:p>
    <w:p>
      <w:pPr>
        <w:pStyle w:val="Heading2"/>
      </w:pPr>
      <w:r>
        <w:t xml:space="preserve">M3. The cross-session headline rests on a small, imbalanced test set</w:t>
      </w:r>
    </w:p>
    <w:p>
      <w:pPr>
        <w:spacing w:after="140" w:line="276"/>
      </w:pPr>
      <w:r>
        <w:rPr>
          <w:rFonts w:ascii="Arial" w:cs="Arial" w:eastAsia="Arial" w:hAnsi="Arial"/>
        </w:rPr>
        <w:t xml:space="preserve">The main claim is carried by the MSILN site1/B1 test split of 5 paths, of which one WiFi-dense path of 786 samples is roughly 28% of the test mass (the authors note this in Section 6.5). A single dominant, WiFi-favourable path can move the aggregate substantially, and 5 paths is a thin basis for a deployment-relevant claim. The validation split (34 paths) is more robust, but there the margin over the dead-reckoning baseline nearly vanishes, which is consistent with the worry that the test result is partly an artefact of split composition.</w:t>
      </w:r>
    </w:p>
    <w:p>
      <w:pPr>
        <w:spacing w:after="180" w:line="272"/>
      </w:pPr>
      <w:r>
        <w:rPr>
          <w:rFonts w:ascii="Arial" w:cs="Arial" w:eastAsia="Arial" w:hAnsi="Arial"/>
          <w:b/>
          <w:bCs/>
          <w:i/>
          <w:iCs/>
        </w:rPr>
        <w:t xml:space="preserve">Suggested action. </w:t>
      </w:r>
      <w:r>
        <w:rPr>
          <w:rFonts w:ascii="Arial" w:cs="Arial" w:eastAsia="Arial" w:hAnsi="Arial"/>
          <w:i/>
          <w:iCs/>
        </w:rPr>
        <w:t xml:space="preserve">Report per-path results for all test paths, not only the favourable two in Fig. 6c, and add a macro-average over paths alongside the sample-weighted aggregate so that no single path can dominate. If additional MSILN sites or sessions are available, including them would materially de-risk the claim.</w:t>
      </w:r>
    </w:p>
    <w:p>
      <w:pPr>
        <w:pStyle w:val="Heading2"/>
      </w:pPr>
      <w:r>
        <w:t xml:space="preserve">M4. Baseline selection and fairness</w:t>
      </w:r>
    </w:p>
    <w:p>
      <w:pPr>
        <w:spacing w:after="140" w:line="276"/>
      </w:pPr>
      <w:r>
        <w:rPr>
          <w:rFonts w:ascii="Arial" w:cs="Arial" w:eastAsia="Arial" w:hAnsi="Arial"/>
        </w:rPr>
        <w:t xml:space="preserve">Three issues compound here. First, the WiFi reference of record is a simple distance-weighted k-NN; beating it under cross-session drift is expected for essentially any method that incorporates motion, so the -61.5% improvement, while real, is over a deliberately weak baseline and should not be over-weighted. Second, the learned-fusion baseline (the IMUWiFine LSTM) collapses to 52-65 m on MSILN, roughly twice the error of the simple k-NN, which is so poor that a reader will wonder whether it was trained and tuned appropriately on the MSILN training session or whether this is a genuine overfitting result. Third, and most importantly, the most directly comparable prior method, WIO-EKF (Zhou et al., 2024), a WiFi+IMU fusion explicitly evaluated across a ten-day session gap, is cited as the closest cross-session fusion work but is not used as a baseline. Its absence is conspicuous given the paper's framing.</w:t>
      </w:r>
    </w:p>
    <w:p>
      <w:pPr>
        <w:spacing w:after="180" w:line="272"/>
      </w:pPr>
      <w:r>
        <w:rPr>
          <w:rFonts w:ascii="Arial" w:cs="Arial" w:eastAsia="Arial" w:hAnsi="Arial"/>
          <w:b/>
          <w:bCs/>
          <w:i/>
          <w:iCs/>
        </w:rPr>
        <w:t xml:space="preserve">Suggested action. </w:t>
      </w:r>
      <w:r>
        <w:rPr>
          <w:rFonts w:ascii="Arial" w:cs="Arial" w:eastAsia="Arial" w:hAnsi="Arial"/>
          <w:i/>
          <w:iCs/>
        </w:rPr>
        <w:t xml:space="preserve">Clarify the LSTM training protocol on MSILN (data, epochs, tuning) so its failure reads as a fair overfitting result rather than a misconfiguration; add WIO-EKF (or a faithful re-implementation) as a baseline, or explain concretely why the comparison is infeasible; and present the k-NN improvement as a sanity check rather than a primary result.</w:t>
      </w:r>
    </w:p>
    <w:p>
      <w:pPr>
        <w:pStyle w:val="Heading2"/>
      </w:pPr>
      <w:r>
        <w:t xml:space="preserve">M5. Robustness claims are demonstrated only on the optimistic simulation</w:t>
      </w:r>
    </w:p>
    <w:p>
      <w:pPr>
        <w:spacing w:after="140" w:line="276"/>
      </w:pPr>
      <w:r>
        <w:rPr>
          <w:rFonts w:ascii="Arial" w:cs="Arial" w:eastAsia="Arial" w:hAnsi="Arial"/>
        </w:rPr>
        <w:t xml:space="preserve">Graceful degradation under missing and stale sensors is a central selling point and the explicit motivation for the modality- and instant-dropout design. But the modality-dropout, staleness, and latency experiments in Section 6.4 all run on Webots, whose WiFi field is synthesized and which the authors themselves flag as optimistic. The behaviour that actually matters for deployment, robustness under missing/stale inputs on real cross-session data, is never shown.</w:t>
      </w:r>
    </w:p>
    <w:p>
      <w:pPr>
        <w:spacing w:after="180" w:line="272"/>
      </w:pPr>
      <w:r>
        <w:rPr>
          <w:rFonts w:ascii="Arial" w:cs="Arial" w:eastAsia="Arial" w:hAnsi="Arial"/>
          <w:b/>
          <w:bCs/>
          <w:i/>
          <w:iCs/>
        </w:rPr>
        <w:t xml:space="preserve">Suggested action. </w:t>
      </w:r>
      <w:r>
        <w:rPr>
          <w:rFonts w:ascii="Arial" w:cs="Arial" w:eastAsia="Arial" w:hAnsi="Arial"/>
          <w:i/>
          <w:iCs/>
        </w:rPr>
        <w:t xml:space="preserve">Repeat at least the modality-dropout and staleness sweeps on MSILN or IMUWiFine floor 4. If real-data robustness is weaker than in simulation, that is itself an informative and publishable result, and reporting it would strengthen rather than weaken the paper's credibility.</w:t>
      </w:r>
    </w:p>
    <w:p>
      <w:pPr>
        <w:pStyle w:val="Heading1"/>
      </w:pPr>
      <w:r>
        <w:t xml:space="preserve">5. Moderate concerns</w:t>
      </w:r>
    </w:p>
    <w:p>
      <w:pPr>
        <w:pStyle w:val="ListParagraph"/>
        <w:numPr>
          <w:ilvl w:val="0"/>
          <w:numId w:val="3"/>
        </w:numPr>
        <w:spacing w:after="120" w:line="272"/>
      </w:pPr>
      <w:r>
        <w:rPr>
          <w:rFonts w:ascii="Arial" w:cs="Arial" w:eastAsia="Arial" w:hAnsi="Arial"/>
          <w:b/>
          <w:bCs/>
        </w:rPr>
        <w:t xml:space="preserve">Fusion benefit is modest and not isolated on real data. </w:t>
      </w:r>
      <w:r>
        <w:rPr>
          <w:rFonts w:ascii="Arial" w:cs="Arial" w:eastAsia="Arial" w:hAnsi="Arial"/>
        </w:rPr>
        <w:t xml:space="preserve">Modality dropout in simulation shows both modalities at 0.61 m vs WiFi-only at 0.86 m, a gain of about 0.25 m, while IMU-only drifts to 3.50 m. Combined with the weak IMU encoder below, this raises the question of how much of the real-world performance is fusion rather than a competent WiFi token. On MSILN there is no WiFi-only vs fused comparison for the proposed model. Adding a WiFi-only (IMU dropped) row on MSILN would quantify the genuine fusion gain on real data.</w:t>
      </w:r>
    </w:p>
    <w:p>
      <w:pPr>
        <w:pStyle w:val="ListParagraph"/>
        <w:numPr>
          <w:ilvl w:val="0"/>
          <w:numId w:val="3"/>
        </w:numPr>
        <w:spacing w:after="120" w:line="272"/>
      </w:pPr>
      <w:r>
        <w:rPr>
          <w:rFonts w:ascii="Arial" w:cs="Arial" w:eastAsia="Arial" w:hAnsi="Arial"/>
          <w:b/>
          <w:bCs/>
        </w:rPr>
        <w:t xml:space="preserve">IMU encoder underperforms its reference. </w:t>
      </w:r>
      <w:r>
        <w:rPr>
          <w:rFonts w:ascii="Arial" w:cs="Arial" w:eastAsia="Arial" w:hAnsi="Arial"/>
        </w:rPr>
        <w:t xml:space="preserve">The inertial branch trails ResNet1D by 89.2% raw ATE, narrowing only to 48.2% (7.62 m) under Umeyama alignment. The 95x smaller budget is a fair mitigation and the per-sequence view is a good nuance, but a weak inertial branch caps the fusion ceiling and partly undercuts the WiFi+IMU framing. It is worth testing whether a modestly larger inertial backbone, still far below 4.6 M parameters, changes the fusion conclusions.</w:t>
      </w:r>
    </w:p>
    <w:p>
      <w:pPr>
        <w:pStyle w:val="ListParagraph"/>
        <w:numPr>
          <w:ilvl w:val="0"/>
          <w:numId w:val="3"/>
        </w:numPr>
        <w:spacing w:after="120" w:line="272"/>
      </w:pPr>
      <w:r>
        <w:rPr>
          <w:rFonts w:ascii="Arial" w:cs="Arial" w:eastAsia="Arial" w:hAnsi="Arial"/>
          <w:b/>
          <w:bCs/>
        </w:rPr>
        <w:t xml:space="preserve">Hyperparameters fixed without sensitivity analysis. </w:t>
      </w:r>
      <w:r>
        <w:rPr>
          <w:rFonts w:ascii="Arial" w:cs="Arial" w:eastAsia="Arial" w:hAnsi="Arial"/>
        </w:rPr>
        <w:t xml:space="preserve">K = 4 recent instants, N_a = 64 reference points, n = 32 sinusoids, L = 6 layers, H = 4 heads, D = 128, and a period range of 0.05 to 120 s are all set without justification or a sweep. K and the period range are tied directly to the asynchrony story, so even a coarse sensitivity study would help readers trust the defaults and would reinforce the continuous-time claim from M1.</w:t>
      </w:r>
    </w:p>
    <w:p>
      <w:pPr>
        <w:pStyle w:val="ListParagraph"/>
        <w:numPr>
          <w:ilvl w:val="0"/>
          <w:numId w:val="3"/>
        </w:numPr>
        <w:spacing w:after="120" w:line="272"/>
      </w:pPr>
      <w:r>
        <w:rPr>
          <w:rFonts w:ascii="Arial" w:cs="Arial" w:eastAsia="Arial" w:hAnsi="Arial"/>
          <w:b/>
          <w:bCs/>
        </w:rPr>
        <w:t xml:space="preserve">Reproducibility. </w:t>
      </w:r>
      <w:r>
        <w:rPr>
          <w:rFonts w:ascii="Arial" w:cs="Arial" w:eastAsia="Arial" w:hAnsi="Arial"/>
        </w:rPr>
        <w:t xml:space="preserve">The Webots WiFi field synthesis is not described (path-loss model, AP placement, noise), yet the sub-metre simulation numbers depend entirely on it. The mapping from raw trajectories to observation sets (how queries are sampled, how the K instants per modality are selected, how availability flags are set) is under-specified, and no code or data release is mentioned. For a method whose appeal is practical, a reproducibility statement and ideally released code would materially strengthen the paper.</w:t>
      </w:r>
    </w:p>
    <w:p>
      <w:pPr>
        <w:pStyle w:val="ListParagraph"/>
        <w:numPr>
          <w:ilvl w:val="0"/>
          <w:numId w:val="3"/>
        </w:numPr>
        <w:spacing w:after="120" w:line="272"/>
      </w:pPr>
      <w:r>
        <w:rPr>
          <w:rFonts w:ascii="Arial" w:cs="Arial" w:eastAsia="Arial" w:hAnsi="Arial"/>
          <w:b/>
          <w:bCs/>
        </w:rPr>
        <w:t xml:space="preserve">Novelty delineation vs SeFT / STraTS. </w:t>
      </w:r>
      <w:r>
        <w:rPr>
          <w:rFonts w:ascii="Arial" w:cs="Arial" w:eastAsia="Arial" w:hAnsi="Arial"/>
        </w:rPr>
        <w:t xml:space="preserve">The paper candidly notes that a continuous-time set transformer without an ODE solver already exists for clinical data. The real novelty is therefore the adaptation to asynchronous WiFi-IMU localization, the specific encoders, and the modality/instant dropout for cross-session robustness, not the architecture class itself. The text mostly conveys this, but a skeptical reviewer may still read the contribution as STraTS applied to localization. One crisp sentence stating exactly what is new relative to STraTS, beyond domain, would pre-empt that reading.</w:t>
      </w:r>
    </w:p>
    <w:p>
      <w:pPr>
        <w:pStyle w:val="Heading1"/>
      </w:pPr>
      <w:r>
        <w:t xml:space="preserve">6. Minor and presentation issues</w:t>
      </w:r>
    </w:p>
    <w:p>
      <w:pPr>
        <w:pStyle w:val="ListParagraph"/>
        <w:numPr>
          <w:ilvl w:val="0"/>
          <w:numId w:val="4"/>
        </w:numPr>
        <w:spacing w:after="120" w:line="272"/>
      </w:pPr>
      <w:r>
        <w:rPr>
          <w:rFonts w:ascii="Arial" w:cs="Arial" w:eastAsia="Arial" w:hAnsi="Arial"/>
          <w:b/>
          <w:bCs/>
        </w:rPr>
        <w:t xml:space="preserve">Abstract framing vs actual margins. </w:t>
      </w:r>
      <w:r>
        <w:rPr>
          <w:rFonts w:ascii="Arial" w:cs="Arial" w:eastAsia="Arial" w:hAnsi="Arial"/>
        </w:rPr>
        <w:t xml:space="preserve">Remains competitive with learned-fusion reference methods understates the result against the LSTM (the method outperforms it by a wide margin, which the body frames as a negative result for the LSTM). Conversely, improves over dead-reckoning overstates the MSILN validation result, which is essentially tied. Aligning the abstract's verbs with the measured margins would help.</w:t>
      </w:r>
    </w:p>
    <w:p>
      <w:pPr>
        <w:pStyle w:val="ListParagraph"/>
        <w:numPr>
          <w:ilvl w:val="0"/>
          <w:numId w:val="4"/>
        </w:numPr>
        <w:spacing w:after="120" w:line="272"/>
      </w:pPr>
      <w:r>
        <w:rPr>
          <w:rFonts w:ascii="Arial" w:cs="Arial" w:eastAsia="Arial" w:hAnsi="Arial"/>
          <w:b/>
          <w:bCs/>
        </w:rPr>
        <w:t xml:space="preserve">Turn the three-property argument into a table. </w:t>
      </w:r>
      <w:r>
        <w:rPr>
          <w:rFonts w:ascii="Arial" w:cs="Arial" w:eastAsia="Arial" w:hAnsi="Arial"/>
        </w:rPr>
        <w:t xml:space="preserve">The continuous-time tokens / single set-transformer fusion / learned cross-session robustness framing is the paper's best organizing device and would land harder as a compact methods-by-properties comparison table, making the gap the paper fills visible at a glance.</w:t>
      </w:r>
    </w:p>
    <w:p>
      <w:pPr>
        <w:pStyle w:val="ListParagraph"/>
        <w:numPr>
          <w:ilvl w:val="0"/>
          <w:numId w:val="4"/>
        </w:numPr>
        <w:spacing w:after="120" w:line="272"/>
      </w:pPr>
      <w:r>
        <w:rPr>
          <w:rFonts w:ascii="Arial" w:cs="Arial" w:eastAsia="Arial" w:hAnsi="Arial"/>
          <w:b/>
          <w:bCs/>
        </w:rPr>
        <w:t xml:space="preserve">Check the attention scaling in Eq. 15. </w:t>
      </w:r>
      <w:r>
        <w:rPr>
          <w:rFonts w:ascii="Arial" w:cs="Arial" w:eastAsia="Arial" w:hAnsi="Arial"/>
        </w:rPr>
        <w:t xml:space="preserve">As typeset, the denominator reads ambiguously (an extra symbol under the root); verify it renders as the square root of d_h in the camera-ready. Likely a typesetting artefact, but worth confirming.</w:t>
      </w:r>
    </w:p>
    <w:p>
      <w:pPr>
        <w:pStyle w:val="ListParagraph"/>
        <w:numPr>
          <w:ilvl w:val="0"/>
          <w:numId w:val="4"/>
        </w:numPr>
        <w:spacing w:after="120" w:line="272"/>
      </w:pPr>
      <w:r>
        <w:rPr>
          <w:rFonts w:ascii="Arial" w:cs="Arial" w:eastAsia="Arial" w:hAnsi="Arial"/>
          <w:b/>
          <w:bCs/>
        </w:rPr>
        <w:t xml:space="preserve">Add a notation table. </w:t>
      </w:r>
      <w:r>
        <w:rPr>
          <w:rFonts w:ascii="Arial" w:cs="Arial" w:eastAsia="Arial" w:hAnsi="Arial"/>
        </w:rPr>
        <w:t xml:space="preserve">The formulation is precise but dense in symbols. A compact symbol table near Section 3 would lower the reading cost considerably.</w:t>
      </w:r>
    </w:p>
    <w:p>
      <w:pPr>
        <w:pStyle w:val="ListParagraph"/>
        <w:numPr>
          <w:ilvl w:val="0"/>
          <w:numId w:val="4"/>
        </w:numPr>
        <w:spacing w:after="120" w:line="272"/>
      </w:pPr>
      <w:r>
        <w:rPr>
          <w:rFonts w:ascii="Arial" w:cs="Arial" w:eastAsia="Arial" w:hAnsi="Arial"/>
          <w:b/>
          <w:bCs/>
        </w:rPr>
        <w:t xml:space="preserve">Figure self-containment. </w:t>
      </w:r>
      <w:r>
        <w:rPr>
          <w:rFonts w:ascii="Arial" w:cs="Arial" w:eastAsia="Arial" w:hAnsi="Arial"/>
        </w:rPr>
        <w:t xml:space="preserve">Ensure axis labels and legends in Figs. 4-8 are legible at print size and that each caption names the dataset and split, and that the distinction between raw ATE and MAE is unambiguous wherever both appear.</w:t>
      </w:r>
    </w:p>
    <w:p>
      <w:pPr>
        <w:pStyle w:val="ListParagraph"/>
        <w:numPr>
          <w:ilvl w:val="0"/>
          <w:numId w:val="4"/>
        </w:numPr>
        <w:spacing w:after="120" w:line="272"/>
      </w:pPr>
      <w:r>
        <w:rPr>
          <w:rFonts w:ascii="Arial" w:cs="Arial" w:eastAsia="Arial" w:hAnsi="Arial"/>
          <w:b/>
          <w:bCs/>
        </w:rPr>
        <w:t xml:space="preserve">Define stale quantitatively where first used. </w:t>
      </w:r>
      <w:r>
        <w:rPr>
          <w:rFonts w:ascii="Arial" w:cs="Arial" w:eastAsia="Arial" w:hAnsi="Arial"/>
        </w:rPr>
        <w:t xml:space="preserve">Section 3 introduces staleness qualitatively; stating the elapsed-time threshold used in the Section 6.4 staleness sweep at first mention would make the degradation conditions concrete.</w:t>
      </w:r>
    </w:p>
    <w:p>
      <w:pPr>
        <w:pStyle w:val="Heading1"/>
      </w:pPr>
      <w:r>
        <w:t xml:space="preserve">7. Section-by-section notes</w:t>
      </w:r>
    </w:p>
    <w:p>
      <w:pPr>
        <w:pStyle w:val="ListParagraph"/>
        <w:numPr>
          <w:ilvl w:val="0"/>
          <w:numId w:val="5"/>
        </w:numPr>
        <w:spacing w:after="120" w:line="272"/>
      </w:pPr>
      <w:r>
        <w:rPr>
          <w:rFonts w:ascii="Arial" w:cs="Arial" w:eastAsia="Arial" w:hAnsi="Arial"/>
          <w:b/>
          <w:bCs/>
        </w:rPr>
        <w:t xml:space="preserve">Abstract and Introduction (Sec. 1). </w:t>
      </w:r>
      <w:r>
        <w:rPr>
          <w:rFonts w:ascii="Arial" w:cs="Arial" w:eastAsia="Arial" w:hAnsi="Arial"/>
        </w:rPr>
        <w:t xml:space="preserve">Clear and well-motivated; the asynchronous, multi-rate framing is compelling. Tighten the verbs per Minor 1.</w:t>
      </w:r>
    </w:p>
    <w:p>
      <w:pPr>
        <w:pStyle w:val="ListParagraph"/>
        <w:numPr>
          <w:ilvl w:val="0"/>
          <w:numId w:val="5"/>
        </w:numPr>
        <w:spacing w:after="120" w:line="272"/>
      </w:pPr>
      <w:r>
        <w:rPr>
          <w:rFonts w:ascii="Arial" w:cs="Arial" w:eastAsia="Arial" w:hAnsi="Arial"/>
          <w:b/>
          <w:bCs/>
        </w:rPr>
        <w:t xml:space="preserve">Related work (Sec. 2). </w:t>
      </w:r>
      <w:r>
        <w:rPr>
          <w:rFonts w:ascii="Arial" w:cs="Arial" w:eastAsia="Arial" w:hAnsi="Arial"/>
        </w:rPr>
        <w:t xml:space="preserve">Strong coverage. Convert the three-property argument to a table (Minor 2). Since WIO-EKF is named as the closest cross-session fusion, either compare against it or state why not (M4).</w:t>
      </w:r>
    </w:p>
    <w:p>
      <w:pPr>
        <w:pStyle w:val="ListParagraph"/>
        <w:numPr>
          <w:ilvl w:val="0"/>
          <w:numId w:val="5"/>
        </w:numPr>
        <w:spacing w:after="120" w:line="272"/>
      </w:pPr>
      <w:r>
        <w:rPr>
          <w:rFonts w:ascii="Arial" w:cs="Arial" w:eastAsia="Arial" w:hAnsi="Arial"/>
          <w:b/>
          <w:bCs/>
        </w:rPr>
        <w:t xml:space="preserve">Problem statement (Sec. 3). </w:t>
      </w:r>
      <w:r>
        <w:rPr>
          <w:rFonts w:ascii="Arial" w:cs="Arial" w:eastAsia="Arial" w:hAnsi="Arial"/>
        </w:rPr>
        <w:t xml:space="preserve">The decomposition and permutation-invariance formalism are clean and a highlight of the paper; Eqs. 1-6 are well constructed. Add a quantitative definition of stale here.</w:t>
      </w:r>
    </w:p>
    <w:p>
      <w:pPr>
        <w:pStyle w:val="ListParagraph"/>
        <w:numPr>
          <w:ilvl w:val="0"/>
          <w:numId w:val="5"/>
        </w:numPr>
        <w:spacing w:after="120" w:line="272"/>
      </w:pPr>
      <w:r>
        <w:rPr>
          <w:rFonts w:ascii="Arial" w:cs="Arial" w:eastAsia="Arial" w:hAnsi="Arial"/>
          <w:b/>
          <w:bCs/>
        </w:rPr>
        <w:t xml:space="preserve">Methodology (Sec. 4). </w:t>
      </w:r>
      <w:r>
        <w:rPr>
          <w:rFonts w:ascii="Arial" w:cs="Arial" w:eastAsia="Arial" w:hAnsi="Arial"/>
        </w:rPr>
        <w:t xml:space="preserve">Tokenization, the continuous-time encoding, and both encoders are clearly described, and the design rationale (shift-invariance via pooling, additive modality embedding surviving permutation, CLS retained for NaN-safety) is well argued. The one missing piece is empirical support for the central encoding choice (M1).</w:t>
      </w:r>
    </w:p>
    <w:p>
      <w:pPr>
        <w:pStyle w:val="ListParagraph"/>
        <w:numPr>
          <w:ilvl w:val="0"/>
          <w:numId w:val="5"/>
        </w:numPr>
        <w:spacing w:after="120" w:line="272"/>
      </w:pPr>
      <w:r>
        <w:rPr>
          <w:rFonts w:ascii="Arial" w:cs="Arial" w:eastAsia="Arial" w:hAnsi="Arial"/>
          <w:b/>
          <w:bCs/>
        </w:rPr>
        <w:t xml:space="preserve">Experiments (Sec. 5). </w:t>
      </w:r>
      <w:r>
        <w:rPr>
          <w:rFonts w:ascii="Arial" w:cs="Arial" w:eastAsia="Arial" w:hAnsi="Arial"/>
        </w:rPr>
        <w:t xml:space="preserve">Good practice in validating each encoder before fusion. Specify the WiFi field synthesis and the observation-set construction protocol (D4). Note that WiFi-Net's input dimension is dataset-specific (number of APs varies from 117 to 1419), so the encoder is retrained per dataset; this is fine but should be stated.</w:t>
      </w:r>
    </w:p>
    <w:p>
      <w:pPr>
        <w:pStyle w:val="ListParagraph"/>
        <w:numPr>
          <w:ilvl w:val="0"/>
          <w:numId w:val="5"/>
        </w:numPr>
        <w:spacing w:after="120" w:line="272"/>
      </w:pPr>
      <w:r>
        <w:rPr>
          <w:rFonts w:ascii="Arial" w:cs="Arial" w:eastAsia="Arial" w:hAnsi="Arial"/>
          <w:b/>
          <w:bCs/>
        </w:rPr>
        <w:t xml:space="preserve">Results (Sec. 6). </w:t>
      </w:r>
      <w:r>
        <w:rPr>
          <w:rFonts w:ascii="Arial" w:cs="Arial" w:eastAsia="Arial" w:hAnsi="Arial"/>
        </w:rPr>
        <w:t xml:space="preserve">Honest and nuanced, with the per-sequence IMU analysis a particular strength. Address seed variance (M2), test-split imbalance (M3), and move robustness onto real data (M5); add a WiFi-only-on-MSILN row (D1).</w:t>
      </w:r>
    </w:p>
    <w:p>
      <w:pPr>
        <w:pStyle w:val="ListParagraph"/>
        <w:numPr>
          <w:ilvl w:val="0"/>
          <w:numId w:val="5"/>
        </w:numPr>
        <w:spacing w:after="120" w:line="272"/>
      </w:pPr>
      <w:r>
        <w:rPr>
          <w:rFonts w:ascii="Arial" w:cs="Arial" w:eastAsia="Arial" w:hAnsi="Arial"/>
          <w:b/>
          <w:bCs/>
        </w:rPr>
        <w:t xml:space="preserve">Limitations and Conclusion (Sec. 6.5, 7). </w:t>
      </w:r>
      <w:r>
        <w:rPr>
          <w:rFonts w:ascii="Arial" w:cs="Arial" w:eastAsia="Arial" w:hAnsi="Arial"/>
        </w:rPr>
        <w:t xml:space="preserve">Candid and appropriately scoped; the two stated limitations are the right ones. Folding in the single-seed caveat and the simulation-only robustness caveat would make this section fully cover the reviewer concerns.</w:t>
      </w:r>
    </w:p>
    <w:p>
      <w:pPr>
        <w:pStyle w:val="Heading1"/>
      </w:pPr>
      <w:r>
        <w:t xml:space="preserve">8. Questions for the authors</w:t>
      </w:r>
    </w:p>
    <w:p>
      <w:pPr>
        <w:pStyle w:val="ListParagraph"/>
        <w:numPr>
          <w:ilvl w:val="0"/>
          <w:numId w:val="6"/>
        </w:numPr>
        <w:spacing w:after="120" w:line="272"/>
      </w:pPr>
      <w:r>
        <w:rPr>
          <w:rFonts w:ascii="Arial" w:cs="Arial" w:eastAsia="Arial" w:hAnsi="Arial"/>
        </w:rPr>
        <w:t xml:space="preserve">How were the IMUWiFine LSTM and PDR-from-start baselines configured on MSILN (training data, epochs, tuning)? In particular, was the LSTM trained on the MSILN training session, and if so, what accounts for its 52-65 m error against a 28 m k-NN?</w:t>
      </w:r>
    </w:p>
    <w:p>
      <w:pPr>
        <w:pStyle w:val="ListParagraph"/>
        <w:numPr>
          <w:ilvl w:val="0"/>
          <w:numId w:val="6"/>
        </w:numPr>
        <w:spacing w:after="120" w:line="272"/>
      </w:pPr>
      <w:r>
        <w:rPr>
          <w:rFonts w:ascii="Arial" w:cs="Arial" w:eastAsia="Arial" w:hAnsi="Arial"/>
        </w:rPr>
        <w:t xml:space="preserve">Why is WIO-EKF not included as a baseline, given that it is the most directly comparable cross-session WiFi-IMU fusion method?</w:t>
      </w:r>
    </w:p>
    <w:p>
      <w:pPr>
        <w:pStyle w:val="ListParagraph"/>
        <w:numPr>
          <w:ilvl w:val="0"/>
          <w:numId w:val="6"/>
        </w:numPr>
        <w:spacing w:after="120" w:line="272"/>
      </w:pPr>
      <w:r>
        <w:rPr>
          <w:rFonts w:ascii="Arial" w:cs="Arial" w:eastAsia="Arial" w:hAnsi="Arial"/>
        </w:rPr>
        <w:t xml:space="preserve">What does the proposed model achieve on MSILN with the IMU stream dropped (WiFi-only), to isolate the fusion contribution on real data?</w:t>
      </w:r>
    </w:p>
    <w:p>
      <w:pPr>
        <w:pStyle w:val="ListParagraph"/>
        <w:numPr>
          <w:ilvl w:val="0"/>
          <w:numId w:val="6"/>
        </w:numPr>
        <w:spacing w:after="120" w:line="272"/>
      </w:pPr>
      <w:r>
        <w:rPr>
          <w:rFonts w:ascii="Arial" w:cs="Arial" w:eastAsia="Arial" w:hAnsi="Arial"/>
        </w:rPr>
        <w:t xml:space="preserve">How sensitive are the cross-session results to the number of recent instants K and to the period range of the continuous-time encoding?</w:t>
      </w:r>
    </w:p>
    <w:p>
      <w:pPr>
        <w:pStyle w:val="ListParagraph"/>
        <w:numPr>
          <w:ilvl w:val="0"/>
          <w:numId w:val="6"/>
        </w:numPr>
        <w:spacing w:after="120" w:line="272"/>
      </w:pPr>
      <w:r>
        <w:rPr>
          <w:rFonts w:ascii="Arial" w:cs="Arial" w:eastAsia="Arial" w:hAnsi="Arial"/>
        </w:rPr>
        <w:t xml:space="preserve">How is the Webots WiFi field generated, and how robust are the sub-metre figures to the synthesis assumptions?</w:t>
      </w:r>
    </w:p>
    <w:p>
      <w:pPr>
        <w:pStyle w:val="ListParagraph"/>
        <w:numPr>
          <w:ilvl w:val="0"/>
          <w:numId w:val="6"/>
        </w:numPr>
        <w:spacing w:after="120" w:line="272"/>
      </w:pPr>
      <w:r>
        <w:rPr>
          <w:rFonts w:ascii="Arial" w:cs="Arial" w:eastAsia="Arial" w:hAnsi="Arial"/>
        </w:rPr>
        <w:t xml:space="preserve">Are the headline numbers stable across seeds? What is the standard deviation on the MSILN test and validation MAE?</w:t>
      </w:r>
    </w:p>
    <w:p>
      <w:pPr>
        <w:pStyle w:val="ListParagraph"/>
        <w:numPr>
          <w:ilvl w:val="0"/>
          <w:numId w:val="6"/>
        </w:numPr>
        <w:spacing w:after="120" w:line="272"/>
      </w:pPr>
      <w:r>
        <w:rPr>
          <w:rFonts w:ascii="Arial" w:cs="Arial" w:eastAsia="Arial" w:hAnsi="Arial"/>
        </w:rPr>
        <w:t xml:space="preserve">Will code and the Webots scenario be released?</w:t>
      </w:r>
    </w:p>
    <w:p>
      <w:pPr>
        <w:pStyle w:val="Heading1"/>
      </w:pPr>
      <w:r>
        <w:t xml:space="preserve">9. Editorial and typographical notes</w:t>
      </w:r>
    </w:p>
    <w:p>
      <w:pPr>
        <w:spacing w:after="140" w:line="276"/>
      </w:pPr>
      <w:r>
        <w:rPr>
          <w:rFonts w:ascii="Arial" w:cs="Arial" w:eastAsia="Arial" w:hAnsi="Arial"/>
          <w:i/>
          <w:iCs/>
        </w:rPr>
        <w:t xml:space="preserve">Some of the following may be PDF-to-text extraction artefacts rather than errors in the source; please verify against the typeset manuscript.</w:t>
      </w:r>
    </w:p>
    <w:p>
      <w:pPr>
        <w:pStyle w:val="ListParagraph"/>
        <w:numPr>
          <w:ilvl w:val="0"/>
          <w:numId w:val="7"/>
        </w:numPr>
        <w:spacing w:after="120" w:line="272"/>
      </w:pPr>
      <w:r>
        <w:rPr>
          <w:rFonts w:ascii="Arial" w:cs="Arial" w:eastAsia="Arial" w:hAnsi="Arial"/>
        </w:rPr>
        <w:t xml:space="preserve">Continious-Time should read Continuous-Time (appears as a label in the architecture figure).</w:t>
      </w:r>
    </w:p>
    <w:p>
      <w:pPr>
        <w:pStyle w:val="ListParagraph"/>
        <w:numPr>
          <w:ilvl w:val="0"/>
          <w:numId w:val="7"/>
        </w:numPr>
        <w:spacing w:after="120" w:line="272"/>
      </w:pPr>
      <w:r>
        <w:rPr>
          <w:rFonts w:ascii="Arial" w:cs="Arial" w:eastAsia="Arial" w:hAnsi="Arial"/>
        </w:rPr>
        <w:t xml:space="preserve">Ecoding should read Encoding (side label in the overview figure).</w:t>
      </w:r>
    </w:p>
    <w:p>
      <w:pPr>
        <w:pStyle w:val="ListParagraph"/>
        <w:numPr>
          <w:ilvl w:val="0"/>
          <w:numId w:val="7"/>
        </w:numPr>
        <w:spacing w:after="120" w:line="272"/>
      </w:pPr>
      <w:r>
        <w:rPr>
          <w:rFonts w:ascii="Arial" w:cs="Arial" w:eastAsia="Arial" w:hAnsi="Arial"/>
        </w:rPr>
        <w:t xml:space="preserve">Standardize the rendering of the WiFi baseline name (it appears both spaced and underscored).</w:t>
      </w:r>
    </w:p>
    <w:p>
      <w:pPr>
        <w:pStyle w:val="ListParagraph"/>
        <w:numPr>
          <w:ilvl w:val="0"/>
          <w:numId w:val="7"/>
        </w:numPr>
        <w:spacing w:after="120" w:line="272"/>
      </w:pPr>
      <w:r>
        <w:rPr>
          <w:rFonts w:ascii="Arial" w:cs="Arial" w:eastAsia="Arial" w:hAnsi="Arial"/>
        </w:rPr>
        <w:t xml:space="preserve">Confirm the square-root term in Eq. 15 and check sub/superscripts and stray line breaks in Eqs. 1, 4, 8, and 15-17 in the final PDF.</w:t>
      </w:r>
    </w:p>
    <w:p>
      <w:pPr>
        <w:pStyle w:val="ListParagraph"/>
        <w:numPr>
          <w:ilvl w:val="0"/>
          <w:numId w:val="7"/>
        </w:numPr>
        <w:spacing w:after="120" w:line="272"/>
      </w:pPr>
      <w:r>
        <w:rPr>
          <w:rFonts w:ascii="Arial" w:cs="Arial" w:eastAsia="Arial" w:hAnsi="Arial"/>
        </w:rPr>
        <w:t xml:space="preserve">Use raw ATE, ATE, and MAE consistently between the text and the figure captions so the metric in each plot is unambiguous.</w:t>
      </w:r>
    </w:p>
    <w:p>
      <w:pPr>
        <w:pBdr>
          <w:bottom w:val="single" w:color="2E75B6" w:sz="6" w:space="1"/>
        </w:pBdr>
        <w:spacing w:after="120"/>
      </w:pPr>
      <w:r>
        <w:rPr>
          <w:rFonts w:ascii="Arial" w:cs="Arial" w:eastAsia="Arial" w:hAnsi="Arial"/>
        </w:rPr>
        <w:t xml:space="preserve"/>
      </w:r>
    </w:p>
    <w:p>
      <w:pPr>
        <w:spacing w:after="140" w:line="276"/>
      </w:pPr>
      <w:r>
        <w:rPr>
          <w:rFonts w:ascii="Arial" w:cs="Arial" w:eastAsia="Arial" w:hAnsi="Arial"/>
          <w:i/>
          <w:iCs/>
        </w:rPr>
        <w:t xml:space="preserve">Bottom line: a clean idea, honestly evaluated, that currently claims a bit more than the experiments isolate. Adding the continuous-time ablation (M1) and seed-level variance (M2) would move this from a paper reviewers question to one they accept; the remaining items are strengthening, not blocking.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bullet"/>
      <w:lvlText w:val="•"/>
      <w:lvlJc w:val="left"/>
      <w:pPr>
        <w:ind w:left="600" w:hanging="320"/>
      </w:pPr>
    </w:lvl>
  </w:abstractNum>
  <w:abstractNum w:abstractNumId="7"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2026-06-18T07:46:20.286Z</dcterms:created>
  <dcterms:modified xsi:type="dcterms:W3CDTF">2026-06-18T07:46:20.286Z</dcterms:modified>
</cp:coreProperties>
</file>

<file path=docProps/custom.xml><?xml version="1.0" encoding="utf-8"?>
<Properties xmlns="http://schemas.openxmlformats.org/officeDocument/2006/custom-properties" xmlns:vt="http://schemas.openxmlformats.org/officeDocument/2006/docPropsVTypes"/>
</file>