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Breaking the Grid Chokehold: 12 Hz Architecture for Autonomous Infrastructure and Rapid Deployment</w:t>
      </w:r>
    </w:p>
    <w:p>
      <w:pPr>
        <w:pStyle w:val="Subtitle"/>
      </w:pPr>
      <w:r>
        <w:t xml:space="preserve">Revision 4 — Proven Technology, Local Manufacturing, National Sovereignty</w:t>
      </w:r>
    </w:p>
    <w:p>
      <w:pPr>
        <w:pStyle w:val="Author"/>
      </w:pPr>
      <w:r>
        <w:t xml:space="preserve">David Walther</w:t>
      </w:r>
    </w:p>
    <w:p>
      <w:pPr>
        <w:pStyle w:val="Date"/>
      </w:pPr>
      <w:r>
        <w:t xml:space="preserve">2026</w:t>
      </w:r>
    </w:p>
    <w:p>
      <w:pPr>
        <w:pStyle w:val="FirstParagraph"/>
      </w:pPr>
      <w:r>
        <w:rPr>
          <w:b/>
          <w:bCs/>
        </w:rPr>
        <w:t xml:space="preserve">Breaking the Grid Chokehold:</w:t>
      </w:r>
    </w:p>
    <w:p>
      <w:pPr>
        <w:pStyle w:val="BodyText"/>
      </w:pPr>
      <w:r>
        <w:rPr>
          <w:b/>
          <w:bCs/>
        </w:rPr>
        <w:t xml:space="preserve">12 Hz Architecture for Autonomous Infrastructure and Rapid Deployment</w:t>
      </w:r>
    </w:p>
    <w:p>
      <w:pPr>
        <w:pStyle w:val="BodyText"/>
      </w:pPr>
      <w:r>
        <w:rPr>
          <w:b/>
          <w:bCs/>
        </w:rPr>
        <w:t xml:space="preserve">Proven Technology, Local Manufacturing, National Sovereignty</w:t>
      </w:r>
    </w:p>
    <w:p>
      <w:pPr>
        <w:pStyle w:val="BodyText"/>
      </w:pPr>
      <w:r>
        <w:rPr>
          <w:i/>
          <w:iCs/>
        </w:rPr>
        <w:t xml:space="preserve">A Technical White Paper on Low-Frequency AC Grid Architecture</w:t>
      </w:r>
    </w:p>
    <w:p>
      <w:pPr>
        <w:pStyle w:val="BodyText"/>
      </w:pPr>
      <w:r>
        <w:rPr>
          <w:i/>
          <w:iCs/>
        </w:rPr>
        <w:t xml:space="preserve">for Breaking International Technology Dependence and Enabling Sovereign Grid Expansion</w:t>
      </w:r>
    </w:p>
    <w:p>
      <w:pPr>
        <w:pStyle w:val="BodyText"/>
      </w:pPr>
      <w:r>
        <w:t xml:space="preserve">April 2026 — Revision 4</w:t>
      </w:r>
    </w:p>
    <w:p>
      <w:pPr>
        <w:pStyle w:val="BodyText"/>
      </w:pPr>
      <w:r>
        <w:t xml:space="preserve">Abstract</w:t>
      </w:r>
    </w:p>
    <w:p>
      <w:pPr>
        <w:pStyle w:val="BodyText"/>
      </w:pPr>
      <w:r>
        <w:t xml:space="preserve">The global electrical grid is held prisoner by a structural supply-chain chokehold. Production of the specialty steel that conventional 50/60 Hz transformer cores require—grain-oriented electrical steel (GOES)—is concentrated in fewer than a dozen mills across just five nations: Japan, South Korea, Germany, Russia, and China. Every country building or expanding grid capacity, including most of the developed and developing world, must wait 2.5–3 years and depend on a handful of foreign suppliers for the transformers that power its national infrastructure. A single geopolitical event, sanctions regime, mill outage, or demand shock can freeze grid expansion worldwide. Wood Mackenzie estimates a 30% shortfall for power transformers, with lead times of 2.5–2.8 years, throttling every nation simultaneously. New generation capacity (data centers, renewable installations, industrial loads, hospital connections) cannot proceed because external suppliers determine when transformers arrive—and there are no alternative suppliers to choose from.</w:t>
      </w:r>
    </w:p>
    <w:p>
      <w:pPr>
        <w:pStyle w:val="BodyText"/>
      </w:pPr>
      <w:r>
        <w:t xml:space="preserve">This paper breaks the chokehold. A 12 Hz low-frequency grid architecture eliminates GOES as a prerequisite for deployment. Transformer cores are wound from ordinary commodity mild steel—the kind produced at scale by hundreds of mills worldwide. Any nation with steel production capacity, or even import access to commodity steel, can manufacture grid-critical infrastructure locally, using local labor, local materials, and trade-level expertise. Deployment shrinks from years to weeks. A transformer factory stands up in 6–9 months instead of waiting 12–18 months just for specialty steel procurement. The supplier base expands from a handful of foreign mills to hundreds of competing producers worldwide. Operators recover meaningful choice over their grid expansion timeline.</w:t>
      </w:r>
    </w:p>
    <w:p>
      <w:pPr>
        <w:pStyle w:val="BodyText"/>
      </w:pPr>
      <w:r>
        <w:t xml:space="preserve">The technology is proven, not speculative: the European Bahnstrom railway system has operated at 16.7 Hz continuously since 1912 across Germany, Austria, Switzerland, Sweden, and Norway, validating every architectural component at national scale for over a century. At 12 Hz—optimized for commodity-steel core performance while remaining within Bahnstrom’s validated engineering envelope—the same proven principles deliver a complete electrical grid architecture capable of rapid, sovereign deployment. Transformers accept progressive core upgrades from commodity steel to non-oriented (NOES) and ultimately grain-oriented (GOES) electrical steel as specialty supply permits, preserving efficiency improvements without sacrificing initial deployment speed. The lower transmission frequency also delivers measurable efficiency gains (lower resistive losses on long lines, dramatically reduced distribution-tier copper requirements through 600V-class three-phase service) and cost reductions across the entire grid architecture, while remaining compatible with the global 380V DC equipment ecosystem through simple bridge rectification. A second critical grid vulnerability—single-point-of-failure susceptibility to physical attack on transformer assets—is addressed in a companion paper on distributed grid resilience. Together, these papers describe an electrical infrastructure that is fast to deploy, resilient to attack, free from international supply-chain dependency, and manufacturable in any country with industrial capacity.</w:t>
      </w:r>
    </w:p>
    <w:p>
      <w:pPr>
        <w:pStyle w:val="BodyText"/>
      </w:pPr>
      <w:r>
        <w:t xml:space="preserve">1. The Grid Chokehold: Why Every Country Waits</w:t>
      </w:r>
    </w:p>
    <w:p>
      <w:pPr>
        <w:pStyle w:val="BodyText"/>
      </w:pPr>
      <w:r>
        <w:t xml:space="preserve">Grain-oriented electrical steel (GOES) is a silicon steel alloy with a crystallographic texture (Goss texture) that provides low core loss and high permeability along the rolling direction. It is the essential core material for transformers operating at power frequencies of 50 or 60 Hz. Global GOES production is concentrated in fewer than a dozen mills, distributed across just five nations: Japan (Nippon Steel, JFE), South Korea (POSCO), Germany (ThyssenKrupp), Russia (NLMK), and China (Baowu, Shougang). U.S. production is limited, primarily Cleveland-Cliffs (formerly AK Steel). For most of the world’s nations, including most of the European Union outside Germany, all of Latin America, all of Africa, all of Southeast Asia outside Japan and South Korea, and all of the Middle East, there is zero domestic GOES production. The transformer that powers a hospital, a factory, a data center, or a city neighborhood originates in a foreign mill that may or may not deliver on schedule, and against which the customer has no real alternative.</w:t>
      </w:r>
    </w:p>
    <w:p>
      <w:pPr>
        <w:pStyle w:val="BodyText"/>
      </w:pPr>
      <w:r>
        <w:t xml:space="preserve">The supply-demand imbalance is structural, not cyclical. Since 2019, demand for U.S. power transformers has surged 116%, generator step-up transformers 274%, and pad-mount distribution transformers 39–77% by specification. Lead times for power transformers remain at approximately 2.5 years; generator step-up units at 2.8 years. Imports account for 80% of U.S. power transformer supply and 50% of distribution transformer supply. More than half of U.S. distribution transformers—roughly 40 million units—are beyond their expected service life, adding replacement demand on top of new-build requirements. Wood Mackenzie projects marginal shortage across most specifications through 2030 even with planned manufacturing expansion.</w:t>
      </w:r>
    </w:p>
    <w:p>
      <w:pPr>
        <w:pStyle w:val="BodyText"/>
      </w:pPr>
      <w:r>
        <w:t xml:space="preserve">This is the chokehold: a small number of producers, a global queue, no alternative suppliers, and lead times measured in years. Building more transformer factories does not solve it because every new factory competes for the same limited GOES supply. The constraint is not factory capacity. The constraint is the specialty steel itself, and the very small number of mills that produce it. The question is whether transformer cores can be built from something other than GOES—and the answer has been operating across Europe for over a century.</w:t>
      </w:r>
    </w:p>
    <w:p>
      <w:pPr>
        <w:pStyle w:val="BodyText"/>
      </w:pPr>
      <w:r>
        <w:t xml:space="preserve">2. Historical Context: How Power Frequencies Were Chosen</w:t>
      </w:r>
    </w:p>
    <w:p>
      <w:pPr>
        <w:pStyle w:val="BodyText"/>
      </w:pPr>
      <w:r>
        <w:t xml:space="preserve">2.1 The 50/60 Hz Divide and the Right/Left Road Analogy</w:t>
      </w:r>
    </w:p>
    <w:p>
      <w:pPr>
        <w:pStyle w:val="BodyText"/>
      </w:pPr>
      <w:r>
        <w:t xml:space="preserve">Two engineering teams selected the world’s dominant grid frequencies within months of each other in 1891. Westinghouse engineers in Pittsburgh chose 60 Hz because existing arc-lighting equipment ran slightly better at that frequency. AEG engineers in Berlin chose 50 Hz because it fit metric conventions and a marginally different lighting tradition. Neither was demonstrably superior on engineering grounds. Neither was the result of a global engineering deliberation. The two choices propagated through industrial influence and colonial reach: 60 Hz across the Americas, parts of Latin America, Korea, Taiwan, and the eastern half of Japan; 50 Hz across continental Europe, the British Empire’s holdings in Asia and Africa, the French and Dutch colonial systems, and the Soviet sphere.</w:t>
      </w:r>
    </w:p>
    <w:p>
      <w:pPr>
        <w:pStyle w:val="BodyText"/>
      </w:pPr>
      <w:r>
        <w:t xml:space="preserve">The frequency divide closely parallels the divide between countries that drive on the right side of the road and those that drive on the left. Britain’s left-hand convention, codified in law from at least 1773, propagated to India, Australia, Hong Kong, much of southern and eastern Africa, Japan via early influence, and the Caribbean — wherever British practice dominated. Post-revolutionary France’s right-hand convention, partly chosen as a deliberate break from aristocratic English custom, propagated through the Napoleonic system across continental Europe and into French and Dutch colonies. The United States adopted right. Neither rule had a fundamental engineering basis; both became permanent through fleet investment.</w:t>
      </w:r>
    </w:p>
    <w:p>
      <w:pPr>
        <w:pStyle w:val="BodyText"/>
      </w:pPr>
      <w:r>
        <w:t xml:space="preserve">The two splits share a structure:</w:t>
      </w:r>
    </w:p>
    <w:p>
      <w:pPr>
        <w:pStyle w:val="Compact"/>
        <w:numPr>
          <w:ilvl w:val="0"/>
          <w:numId w:val="1001"/>
        </w:numPr>
      </w:pPr>
      <w:r>
        <w:rPr>
          <w:i/>
          <w:iCs/>
        </w:rPr>
        <w:t xml:space="preserve">Origins.</w:t>
      </w:r>
      <w:r>
        <w:t xml:space="preserve"> </w:t>
      </w:r>
      <w:r>
        <w:t xml:space="preserve">Late nineteenth-century centers made locally rational choices on marginal differences. The choices were not arbitrary, but they were not deeply principled either, and either alternative would have worked.</w:t>
      </w:r>
    </w:p>
    <w:p>
      <w:pPr>
        <w:pStyle w:val="Compact"/>
        <w:numPr>
          <w:ilvl w:val="0"/>
          <w:numId w:val="1001"/>
        </w:numPr>
      </w:pPr>
      <w:r>
        <w:rPr>
          <w:i/>
          <w:iCs/>
        </w:rPr>
        <w:t xml:space="preserve">Spread.</w:t>
      </w:r>
      <w:r>
        <w:t xml:space="preserve"> </w:t>
      </w:r>
      <w:r>
        <w:t xml:space="preserve">Both standards followed empire and trade rather than engineering authority. Each industrial bloc exported its convention into its sphere of influence, and the world divided along those lines.</w:t>
      </w:r>
    </w:p>
    <w:p>
      <w:pPr>
        <w:pStyle w:val="Compact"/>
        <w:numPr>
          <w:ilvl w:val="0"/>
          <w:numId w:val="1001"/>
        </w:numPr>
      </w:pPr>
      <w:r>
        <w:rPr>
          <w:i/>
          <w:iCs/>
        </w:rPr>
        <w:t xml:space="preserve">Lock-in.</w:t>
      </w:r>
      <w:r>
        <w:t xml:space="preserve"> </w:t>
      </w:r>
      <w:r>
        <w:t xml:space="preserve">Once a country had millions of vehicles configured for one side or millions of generators, motors, and transformers configured for one frequency, the cost of switching exceeded any plausible benefit. Sweden’s Dagen H — September 3, 1967, the day the country switched from left to right — required years of intersection redesign, public-information campaigns, and capital expense, and was undertaken only because Sweden was a contiguous geographic outlier surrounded by right-hand-driving neighbors. Myanmar switched in 1970 by government decree. Pakistan studied a switch in 1968 and abandoned it. Frequency switches are rarer still: Japan has operated two grids since the 1890s — 50 Hz in the eastern half from initial AEG generator imports, 60 Hz in the western half from initial GE imports — connected through a small set of frequency converters that have remained the country’s most persistent grid-stability constraint for over a century.</w:t>
      </w:r>
    </w:p>
    <w:p>
      <w:pPr>
        <w:pStyle w:val="FirstParagraph"/>
      </w:pPr>
      <w:r>
        <w:t xml:space="preserve">The lesson for the 12 Hz architecture is not that 50 or 60 Hz was wrong. It is that the choice of either was historically contingent and is preserved by sunk infrastructure, not by underlying engineering necessity. A clean-sheet grid built today can choose its operating frequency with the same freedom Westinghouse and AEG had in 1891, informed by 135 years of accumulated material science, machine design, and operational data that those engineers did not possess.</w:t>
      </w:r>
    </w:p>
    <w:p>
      <w:pPr>
        <w:pStyle w:val="BodyText"/>
      </w:pPr>
      <w:r>
        <w:t xml:space="preserve">2.2 Tesla, Niagara, and the Available Options of 1893</w:t>
      </w:r>
    </w:p>
    <w:p>
      <w:pPr>
        <w:pStyle w:val="BodyText"/>
      </w:pPr>
      <w:r>
        <w:t xml:space="preserve">Tesla’s frequency preferences are sometimes invoked as if they settle the question. They do not, but the historical record is worth getting right.</w:t>
      </w:r>
    </w:p>
    <w:p>
      <w:pPr>
        <w:pStyle w:val="BodyText"/>
      </w:pPr>
      <w:r>
        <w:t xml:space="preserve">Tesla’s polyphase induction motor required a lower operating frequency than the 133 Hz that was common for the single-phase arc-lighting systems of the late 1880s. Through the 1890s, Westinghouse and Tesla worked through a sequence of options. Thirty hertz was briefly considered — it would have been better for motor loads — but rejected as too slow for arc-lighting equipment of the period, which operated slightly better at 60 Hz. Sixty hertz was selected as the general-purpose distribution standard. Tesla’s published calculations and testing concluded that 60 Hz was the most efficient distribution frequency given the materials and apparatus available to him. That conclusion is real and is sometimes cited as evidence that 60 Hz is fundamentally optimal.</w:t>
      </w:r>
    </w:p>
    <w:p>
      <w:pPr>
        <w:pStyle w:val="BodyText"/>
      </w:pPr>
      <w:r>
        <w:t xml:space="preserve">But the most influential AC installation of the era — the original Niagara Falls Power Project, energized in 1895 — was built at 25 Hz, not 60 Hz. The reason was mechanical, not electrical. The water turbines (built by the I. P. Morris Company of Philadelphia from Swiss-derived designs) had been specified at a particular synchronous speed of approximately 250 RPM before the Westinghouse generator design was finalized. Twenty-five hertz was what fit that turbine speed at a practical generator pole count. Westinghouse engineers would have preferred 30 Hz for motor loads on theoretical grounds, but the turbine specification governed. The 25 Hz Niagara standard then propagated through North American industry for decades because of the project’s prestige and the precedent it set for low-frequency AC. Ontario operated 25 Hz grids until well into the 1950s.</w:t>
      </w:r>
    </w:p>
    <w:p>
      <w:pPr>
        <w:pStyle w:val="BodyText"/>
      </w:pPr>
      <w:r>
        <w:t xml:space="preserve">A General Electric historical analysis later concluded that 40 Hz would have been a better compromise between the lighting, motor, and transmission requirements of the first quarter of the twentieth century, given the materials and equipment of that era. Forty hertz was deployed in real systems: the Lauffen-Frankfurt 175 km transmission demonstration of 1891, the Newcastle-upon-Tyne grid in north-east England (NESCO) until the late 1920s, parts of the Italian network at 42 Hz, and Mechanicville Hydroelectric in New York, which still produces 40 Hz power and feeds it through frequency changers into the surrounding 60 Hz grid. Forty hertz worked, and worked well, but was bypassed by the higher-volume manufacturers who had standardized on 25, 50, and 60 Hz. The compromise the engineering studies endorsed lost to manufacturing volume, not to physics.</w:t>
      </w:r>
    </w:p>
    <w:p>
      <w:pPr>
        <w:pStyle w:val="BodyText"/>
      </w:pPr>
      <w:r>
        <w:t xml:space="preserve">Tesla chose 60 Hz from the available options. The available options have changed. Tesla’s</w:t>
      </w:r>
      <w:r>
        <w:t xml:space="preserve"> </w:t>
      </w:r>
      <w:r>
        <w:t xml:space="preserve">“most efficient”</w:t>
      </w:r>
      <w:r>
        <w:t xml:space="preserve"> </w:t>
      </w:r>
      <w:r>
        <w:t xml:space="preserve">was a conclusion reached within the constraints of 1890s material science: cast-iron construction, jeweled bearings, hand-wound copper, lacquered cotton insulation, and electrical steel that was metallurgically primitive by modern standards. Mild-steel cores at low flux density operating at 12 Hz exploit a regime Tesla did not have access to and could not have validated. The Niagara decision shows that the most prestigious AC project of his era ran at 25 Hz on mechanical grounds; the GE study shows that 40 Hz was the better answer if one were free to choose. The architectural argument for 12 Hz stands or falls on engineering grounds today, not on the inherited preferences of the engineers who set the original standards under earlier constraints.</w:t>
      </w:r>
    </w:p>
    <w:p>
      <w:pPr>
        <w:pStyle w:val="BodyText"/>
      </w:pPr>
      <w:r>
        <w:t xml:space="preserve">3. The Bahnstrom Precedent: 113 Years at 16.7 Hz</w:t>
      </w:r>
    </w:p>
    <w:p>
      <w:pPr>
        <w:pStyle w:val="BodyText"/>
      </w:pPr>
      <w:r>
        <w:t xml:space="preserve">The German Bahnstrom (railway current) system was established in 1912 and operates continuously today as a dedicated single-phase 16.7 Hz (originally 16⅔ Hz), 110 kV AC transmission grid powering the Deutsche Bahn rail network. The system includes dedicated generation (both 16.7 Hz power plants and rotary frequency converters from the 50 Hz grid), a 110 kV transmission backbone spanning thousands of kilometers, substations and distribution infrastructure at multiple voltage levels, and complete protection and control systems. Identical or compatible 16.7 Hz networks operate in Austria (ÖBB), Switzerland (SBB), Sweden (Trafikverket), and Norway (Bane NOR), forming a multinational low-frequency AC grid.</w:t>
      </w:r>
    </w:p>
    <w:p>
      <w:pPr>
        <w:pStyle w:val="BodyText"/>
      </w:pPr>
      <w:r>
        <w:t xml:space="preserve">The Bahnstrom system validates every component required for a general-purpose low-frequency grid: transformer design and manufacturing at transmission and distribution voltage levels; synchronous machine frequency conversion (50 Hz to 16.7 Hz motor-generator sets, operational since the 1920s); electromechanical relay protection at low frequency; long-distance AC transmission with passive reactive power compensation; mechanical switchgear and circuit breakers rated for low-frequency duty; and integration with the conventional 50 Hz grid at defined interface points.</w:t>
      </w:r>
    </w:p>
    <w:p>
      <w:pPr>
        <w:pStyle w:val="BodyText"/>
      </w:pPr>
      <w:r>
        <w:t xml:space="preserve">The critical insight is that Bahnstrom transformers do not require GOES. At 16.7 Hz, the lower frequency permits larger core cross-sections using steel grades that are not economical at 50/60 Hz but are perfectly adequate at low frequency. The same principle applies with even greater margin at 12 Hz: the further reduction in frequency permits still larger cores wound from ordinary commodity mild steel, the kind produced at scale by structural steel mills worldwide.</w:t>
      </w:r>
    </w:p>
    <w:p>
      <w:pPr>
        <w:pStyle w:val="BodyText"/>
      </w:pPr>
      <w:r>
        <w:t xml:space="preserve">4. 12 Hz Architecture: Technical Parameters</w:t>
      </w:r>
    </w:p>
    <w:p>
      <w:pPr>
        <w:pStyle w:val="BodyText"/>
      </w:pPr>
      <w:r>
        <w:t xml:space="preserve">4.1 Frequency Selection</w:t>
      </w:r>
    </w:p>
    <w:p>
      <w:pPr>
        <w:pStyle w:val="BodyText"/>
      </w:pPr>
      <w:r>
        <w:t xml:space="preserve">The 12 Hz operating point is chosen to optimize three factors: (a) maximum relaxation of core material requirements, permitting commodity mild steel; (b) sufficiently high frequency to avoid excessive transformer size at transmission voltage levels; and (c) proximity to the validated Bahnstrom envelope. At 12 Hz, core cross-sections are approximately 4.17x those of equivalent 50 Hz units and 1.39x those of 16.7 Hz Bahnstrom units. The 12 Hz point is comfortably within the low-frequency engineering design space that Bahnstrom has validated for over a century, while providing a more favorable commodity-steel operating point than 16.7 Hz.</w:t>
      </w:r>
    </w:p>
    <w:p>
      <w:pPr>
        <w:pStyle w:val="BodyText"/>
      </w:pPr>
      <w:r>
        <w:t xml:space="preserve">For grids interfacing with 60 Hz end-use networks (North America), 12 Hz offers a specific advantage: 60/5 = 12, a clean integer ratio. This enables gearbox-free rotary frequency converters through simple pole-count matching—a 12 Hz synchronous motor with 2 poles runs at 720 RPM, a 60 Hz generator with 10 poles also runs at 720 RPM, sharing a common shaft with no mechanical gearbox. (The European Bahnstrom choice of 16⅔ Hz was optimized for 50 Hz grids: 50/3 = 16.67. The analogous optimization for 60 Hz grids yields 12 Hz.)</w:t>
      </w:r>
    </w:p>
    <w:p>
      <w:pPr>
        <w:pStyle w:val="BodyText"/>
      </w:pPr>
      <w:r>
        <w:t xml:space="preserve">For grids interfacing with 50 Hz end-use networks (Europe, much of Asia and Africa, Australia), the analogous clean choice is 12.5 Hz: 50/4 = 12.5, again a clean integer ratio. A 12.5 Hz synchronous motor with 2 poles runs at 750 RPM; a 50 Hz generator with 8 poles also runs at 750 RPM, sharing a common shaft with no gearbox. The 12.5 Hz operating point is architecturally identical to 12 Hz in every other respect: the same transformer designs, the same core materials, the same protection schemes, the same 600V-class distribution voltages, the same end-use compatibility, and the same Bahnstrom-validated low-frequency engineering envelope. Only the rotating-machinery pole counts differ between the 12 Hz (60 Hz integration) and 12.5 Hz (50 Hz integration) variants. The 4% difference in operating frequency is well within the tolerance of every non-rotating component in the architecture, including the transformer cores themselves, which are sized with comfortable margin in either case. The architecture should therefore be understood as a low-frequency design family in the 12–12.5 Hz range, with each grid family selecting the variant that gives a clean integer ratio to its existing 50 or 60 Hz infrastructure. Both variants share a single equipment ecosystem; only rotors are tuned to the local grid.</w:t>
      </w:r>
    </w:p>
    <w:p>
      <w:pPr>
        <w:pStyle w:val="BodyText"/>
      </w:pPr>
      <w:r>
        <w:t xml:space="preserve">The lower frequency also provides a direct transmission advantage. The angular stability limit for power transfer over a given AC line distance is governed by the line reactance X = 2πfL × distance. Lower frequency means lower reactance, which means more power can be transmitted over longer distances before reaching stability limits. A 12 Hz backbone can push more power farther than a 50 Hz equivalent before requiring series compensation or intermediate switching stations. This makes 12 Hz particularly advantageous for large-territory national grids.</w:t>
      </w:r>
    </w:p>
    <w:p>
      <w:pPr>
        <w:pStyle w:val="BodyText"/>
      </w:pPr>
      <w:r>
        <w:t xml:space="preserve">The transformer core cost comparison, taken in isolation, favors 12 Hz despite the larger core volume. Approximate market pricing: hot-rolled commodity steel at $600–900/tonne; non-oriented electrical steel (NOES) at $1,200–2,000/tonne; grain-oriented electrical steel (GOES) at $3,000–6,000/tonne, with premium grades exceeding $8,000/tonne. A 12 Hz transformer with 5x the core volume of a 50 Hz equivalent, built from NOES at $1,500/tonne, costs approximately 1.5x more in core material than the 50 Hz unit built from GOES at $5,000/tonne. That is the transformer cost delta, and it is modest. But the transformers are dramatically faster to source, build, and repair—weeks versus years—because the steel is commodity industrial material available from dozens of suppliers, not a specialty alloy from a global queue. And the same transformer designs accept progressive re-coring to NOES or GOES as supply permits, recovering the efficiency difference over time at the operator’s discretion.</w:t>
      </w:r>
    </w:p>
    <w:p>
      <w:pPr>
        <w:pStyle w:val="BodyText"/>
      </w:pPr>
      <w:r>
        <w:t xml:space="preserve">However, the transformer core is only one component of total grid cost. The 12 Hz architecture enables 600V-class three-phase distribution to the building panel (see Section 4.6), which produces copper savings across the entire distribution and building wiring infrastructure that substantially exceed the transformer core premium. Wire losses scale as 1/V²: at 600V versus 120V, the same power delivery requires one-twenty-fifth the copper losses, or equivalently, far less copper for the same loss budget. Across a national grid comprising millions of kilometers of distribution wiring and billions of meters of building wire, the copper savings from 600V distribution represent an enormous material and cost reduction that dwarfs the incremental iron in the transformers. When the elimination of entire transformer tiers (the service entrance transformer disappears in the final-state architecture) is factored in, the total system material cost of a 12 Hz / 600V grid is potentially lower than a conventional 50/60 Hz / 120–240V grid, not higher—while being faster to build, easier to source, and simpler to repair.</w:t>
      </w:r>
    </w:p>
    <w:p>
      <w:pPr>
        <w:pStyle w:val="BodyText"/>
      </w:pPr>
      <w:r>
        <w:t xml:space="preserve">4.2 Transformer Design</w:t>
      </w:r>
    </w:p>
    <w:p>
      <w:pPr>
        <w:pStyle w:val="BodyText"/>
      </w:pPr>
      <w:r>
        <w:t xml:space="preserve">12 Hz transformer cores use laminated mild steel (A36 or equivalent structural grades) or commodity non-oriented electrical steel. Copper windings (approximately $8–10/kg for commodity copper wire, $12–18/kg for continuously transposed conductor), conventional oil or dry-type insulation, and standard cooling systems (radiators, fans, oil pumps) are unchanged from 50 Hz practice. The cores are physically larger but require no exotic materials and can be fabricated on standard industrial lamination-stacking and coil-winding equipment. A factory producing 12 Hz transformers draws on the same supply chain as structural steel construction—not the constrained GOES supply chain.</w:t>
      </w:r>
    </w:p>
    <w:p>
      <w:pPr>
        <w:pStyle w:val="BodyText"/>
      </w:pPr>
      <w:r>
        <w:t xml:space="preserve">Factory commissioning timeline: 6–9 months from authorization to first unit off the line, because no long-lead specialty steel procurement is required. Contrast this with conventional transformer factories, which face 12–18 months for GOES procurement alone before manufacturing can begin. A complete 500 kVA distribution-class 12 Hz transformer can be field-built for $2,000–$8,000 in materials and labor; a comparable 50 Hz unit with GOES core costs $5,000–$15,000 and requires factory procurement with weeks-to-months lead time.</w:t>
      </w:r>
    </w:p>
    <w:p>
      <w:pPr>
        <w:pStyle w:val="BodyText"/>
      </w:pPr>
      <w:r>
        <w:t xml:space="preserve">Critically, the 12 Hz transformer design supports a progressive core material upgrade path. The initial rapid-deployment units use commodity mild steel for maximum speed and supply-chain independence. As operations stabilize and specialty steel becomes available, the same transformer winding and tank designs accept upgraded cores using non-oriented electrical steel (NOES) for improved efficiency, and ultimately grain-oriented electrical steel (GOES) for optimal core loss performance. The mechanical dimensions, winding configurations, insulation systems, and cooling arrangements are unchanged across all three core grades—only the lamination material is substituted. This means that transformers deployed in an emergency from commodity steel on Day One can be progressively replaced or re-cored with NOES or GOES units as the grid matures and as specialty steel supply permits, without any change to the substation infrastructure, protection settings, or system design. The 12 Hz architecture thus does not reject GOES; it removes GOES as a prerequisite for deployment while preserving it as a performance upgrade for the long term.</w:t>
      </w:r>
    </w:p>
    <w:p>
      <w:pPr>
        <w:pStyle w:val="BodyText"/>
      </w:pPr>
      <w:r>
        <w:t xml:space="preserve">The larger core dimensions of 12 Hz transformers also enable a modular, segmented core construction. Rather than manufacturing and shipping a monolithic core assembly—which at transmission voltage levels can weigh hundreds of tons and require specialized heavy-haul transport—12 Hz cores can be designed as stackable segments, each sized for standard container or flatbed truck transport. Segments are manufactured in the factory, shipped individually using conventional logistics, and assembled on-site by bolting or clamping the segments together into the complete core stack before winding installation. This segmented approach solves one of the most persistent logistics problems in conventional transformer deployment: the</w:t>
      </w:r>
      <w:r>
        <w:t xml:space="preserve"> </w:t>
      </w:r>
      <w:r>
        <w:t xml:space="preserve">“last mile”</w:t>
      </w:r>
      <w:r>
        <w:t xml:space="preserve"> </w:t>
      </w:r>
      <w:r>
        <w:t xml:space="preserve">transport of oversized, overweight units that require route surveys, bridge load ratings, escort vehicles, and months of permitting. A 12 Hz transformer arrives at the substation on standard trucks, is assembled by a trained crew with conventional lifting equipment, and is energized days later. The same modularity that simplifies initial deployment also simplifies the future re-coring upgrade path: individual core segments can be swapped from commodity steel to NOES or GOES without disassembling the entire unit, reducing the upgrade from a factory rebuild to a field service operation.</w:t>
      </w:r>
    </w:p>
    <w:p>
      <w:pPr>
        <w:pStyle w:val="BodyText"/>
      </w:pPr>
      <w:r>
        <w:t xml:space="preserve">4.3 Supply Chain Resilience</w:t>
      </w:r>
    </w:p>
    <w:p>
      <w:pPr>
        <w:pStyle w:val="BodyText"/>
      </w:pPr>
      <w:r>
        <w:t xml:space="preserve">The 12 Hz backbone operates with passive electromagnetic voltage regulation and reactive power compensation: on-load tap changers (mechanical), synchronous condensers, and mechanically-switched capacitor banks. Protection is electromechanical (relays $50–$500 each, oil circuit breakers $1,000–$50,000 depending on voltage class). This architecture copes extremely well with chip shortages and semiconductor supply disruptions, because the critical power path—generation, transmission, distribution, protection, and switching—does not depend on semiconductor availability. In conventional grids, a chip shortage can delay HVDC converter stations, FACTS installations, and digital relay replacements by months or years, stalling grid expansion and degrading reliability. In the 12 Hz architecture, the grid continues to operate and expand using electromechanical components sourced from broad industrial supply chains unaffected by semiconductor market conditions. Optional digital monitoring overlays for operational optimization can be added when chips are available, upgraded when better chips arrive, or removed entirely without affecting grid operation. A chip supply disruption is an inconvenience to the optimization layer, not a threat to the power system.</w:t>
      </w:r>
    </w:p>
    <w:p>
      <w:pPr>
        <w:pStyle w:val="BodyText"/>
      </w:pPr>
      <w:r>
        <w:t xml:space="preserve">Maintenance of the backbone requires only commodity tools and trade-level skills: annual oil sampling ($50–$100 per test), visual inspection, gasket replacement ($20–$100), and surge arrester replacement after lightning events ($50–$200 per arrester). Total maintenance equipment cost per technician: under $1,500 (oil sampling kit $200–$400, megger $300–$800, hand tools $200–$500). A technician can be trained for routine transformer maintenance in one to two weeks; a transformer winder in three to six months. The maintenance workforce draws from the same labor pool as diesel generator mechanics, welders, and construction electricians.</w:t>
      </w:r>
    </w:p>
    <w:p>
      <w:pPr>
        <w:pStyle w:val="BodyText"/>
      </w:pPr>
      <w:r>
        <w:t xml:space="preserve">4.4 Generation Interface and Rotary Frequency Conversion</w:t>
      </w:r>
    </w:p>
    <w:p>
      <w:pPr>
        <w:pStyle w:val="BodyText"/>
      </w:pPr>
      <w:r>
        <w:t xml:space="preserve">Existing 50 Hz generation assets interface with a 12 Hz backbone through rotary frequency converters—motor-generator sets of the type used in the Bahnstrom system since the 1920s for 50/16.7 Hz conversion. New generation can be built with 12 Hz synchronous generators using standard machine designs with appropriate pole counts. Solar and wind generation interface through DC-to-12Hz power electronics ($0.03–$0.08 per watt at utility scale), which are simpler than DC-to-50Hz equivalents due to reduced switching frequency and relaxed harmonic filtering requirements. The solar inverter is the only semiconductor device in the generation-to-consumer power path—distributed across many sites, individually small and replaceable. If solar inverter imports are disrupted, the backbone continues operating on any AC-native generation source (hydro, wind, biomass, thermal) without any semiconductor interface.</w:t>
      </w:r>
    </w:p>
    <w:p>
      <w:pPr>
        <w:pStyle w:val="BodyText"/>
      </w:pPr>
      <w:r>
        <w:rPr>
          <w:b/>
          <w:bCs/>
        </w:rPr>
        <w:t xml:space="preserve">The rotary frequency converter</w:t>
      </w:r>
      <w:r>
        <w:t xml:space="preserve"> </w:t>
      </w:r>
      <w:r>
        <w:t xml:space="preserve">is a synchronous motor mechanically coupled to a synchronous generator on a shared shaft. The motor accepts power at one frequency; the generator delivers power at another. No gearbox is required when the pole counts of the two machines are chosen so that both operate at the same synchronous speed. For 60 Hz to 12 Hz conversion: a 10-pole motor at 60 Hz and a 2-pole generator at 12 Hz both run at 720 RPM on a common shaft—the 60/12 = 5:1 integer ratio enables this with the simplest possible pole combination. For 50 Hz to 12.5 Hz conversion (the natural choice for 50 Hz integration): an 8-pole motor at 50 Hz and a 2-pole generator at 12.5 Hz both run at 750 RPM, also on a common shaft—the 50/12.5 = 4:1 integer ratio is comparably clean. These machines are not novel. The Bahnstrom system has operated 50/16.7 Hz rotary converters continuously since the 1920s at ratings from single-digit MW to over 100 MW per unit. Siemens and ABB manufacture current-production versions for the European rail network. The adaptation from 50/16.7 Hz to 50/12.5 Hz (or 60/12 Hz) changes the pole counts but not the engineering principles, the materials, or the manufacturing processes.</w:t>
      </w:r>
    </w:p>
    <w:p>
      <w:pPr>
        <w:pStyle w:val="BodyText"/>
      </w:pPr>
      <w:r>
        <w:rPr>
          <w:b/>
          <w:bCs/>
        </w:rPr>
        <w:t xml:space="preserve">The flywheel effect.</w:t>
      </w:r>
      <w:r>
        <w:t xml:space="preserve"> </w:t>
      </w:r>
      <w:r>
        <w:t xml:space="preserve">The rotating mass of the motor-generator set stores kinetic energy (E = ½Iω²). This stored energy provides four grid services that semiconductor-based frequency converters cannot replicate passively.</w:t>
      </w:r>
      <w:r>
        <w:t xml:space="preserve"> </w:t>
      </w:r>
      <w:r>
        <w:rPr>
          <w:i/>
          <w:iCs/>
        </w:rPr>
        <w:t xml:space="preserve">Frequency regulation:</w:t>
      </w:r>
      <w:r>
        <w:t xml:space="preserve"> </w:t>
      </w:r>
      <w:r>
        <w:t xml:space="preserve">when load increases suddenly, the rotating mass decelerates slightly, releasing stored kinetic energy to maintain output power while the input source responds. The response is instantaneous—a direct consequence of rotational inertia, requiring no control system, no sensors, and no software.</w:t>
      </w:r>
      <w:r>
        <w:t xml:space="preserve"> </w:t>
      </w:r>
      <w:r>
        <w:rPr>
          <w:i/>
          <w:iCs/>
        </w:rPr>
        <w:t xml:space="preserve">Power smoothing:</w:t>
      </w:r>
      <w:r>
        <w:t xml:space="preserve"> </w:t>
      </w:r>
      <w:r>
        <w:t xml:space="preserve">variable generation sources (solar with cloud transients, wind gusts, gas turbines with load fluctuations) produce power variations on timescales of seconds to minutes; the rotary converter’s inertia absorbs these variations, delivering stable frequency to the 12 Hz backbone. A gas turbine plant with a flywheel-equipped rotary converter delivers clean, stable power even as fuel flow and combustion conditions fluctuate—the flywheel integrates the power over time, smoothing peaks and filling valleys.</w:t>
      </w:r>
      <w:r>
        <w:t xml:space="preserve"> </w:t>
      </w:r>
      <w:r>
        <w:rPr>
          <w:i/>
          <w:iCs/>
        </w:rPr>
        <w:t xml:space="preserve">Fault ride-through:</w:t>
      </w:r>
      <w:r>
        <w:t xml:space="preserve"> </w:t>
      </w:r>
      <w:r>
        <w:t xml:space="preserve">during a grid fault, the rotating mass continues spinning for several seconds, maintaining voltage and frequency while protection systems isolate the faulted section. This is physical inertia—what semiconductor inverters attempt to simulate through digital control with limited success.</w:t>
      </w:r>
      <w:r>
        <w:t xml:space="preserve"> </w:t>
      </w:r>
      <w:r>
        <w:rPr>
          <w:i/>
          <w:iCs/>
        </w:rPr>
        <w:t xml:space="preserve">Black-start capability:</w:t>
      </w:r>
      <w:r>
        <w:t xml:space="preserve"> </w:t>
      </w:r>
      <w:r>
        <w:t xml:space="preserve">a rotary converter with sufficient stored energy can provide the initial energization pulse to restart a dead grid section without any external power source.</w:t>
      </w:r>
    </w:p>
    <w:p>
      <w:pPr>
        <w:pStyle w:val="BodyText"/>
      </w:pPr>
      <w:r>
        <w:t xml:space="preserve">The flywheel effect can be enhanced by adding a steel disk to the shared shaft between the motor and generator. A modest disk (2–3 metres diameter, 0.5–1 metre thick, 10–30 tonnes of steel) adds seconds to minutes of ride-through energy at rated power without changing the electrical characteristics of either machine. The physical footprint is surprisingly compact: a 10–50 MW rotary frequency converter with enhanced flywheel occupies a space comparable to a large bedroom or small workshop—consistently smaller than observers expect for the amount of power handled. The energy stored in a spinning disk scales with the square of its radius and the square of its rotational speed, concentrating substantial energy in a compact rotating mass.</w:t>
      </w:r>
    </w:p>
    <w:p>
      <w:pPr>
        <w:pStyle w:val="BodyText"/>
      </w:pPr>
      <w:r>
        <w:rPr>
          <w:b/>
          <w:bCs/>
        </w:rPr>
        <w:t xml:space="preserve">Losses: the honest accounting.</w:t>
      </w:r>
      <w:r>
        <w:t xml:space="preserve"> </w:t>
      </w:r>
      <w:r>
        <w:t xml:space="preserve">A well-designed rotary frequency converter achieves 92–96% one-way efficiency (motor efficiency of 96–98% × generator efficiency of 96–98%). The 4–8% conversion loss is real and significant. For a 1,000 MW hydroelectric plant, a 5% loss in rotary conversion means approximately 50 MW dissipated as heat—not a rounding error.</w:t>
      </w:r>
    </w:p>
    <w:p>
      <w:pPr>
        <w:pStyle w:val="BodyText"/>
      </w:pPr>
      <w:r>
        <w:t xml:space="preserve">However, this loss comparison is incomplete without accounting for what the rotary converter provides in return. The frequency regulation, power smoothing, fault ride-through, and black-start functions would otherwise require dedicated equipment: battery-based frequency regulation ($100–$300/kWh installed), synchronous condensers ($20–$50/kVAr), power conditioning equipment, and black-start diesel generators. The rotary converter provides all of these as a byproduct of its primary frequency conversion role. The 4–8% conversion loss buys grid stability services that would cost more to provide separately.</w:t>
      </w:r>
    </w:p>
    <w:p>
      <w:pPr>
        <w:pStyle w:val="BodyText"/>
      </w:pPr>
      <w:r>
        <w:t xml:space="preserve">More importantly, the rotary converter enables a phased generation conversion that avoids taking existing power stations offline. A hydroelectric plant continues producing 50 Hz power while the rotary converter delivers 12 Hz to the new backbone. Generators are converted to direct 12 Hz production one unit at a time during scheduled overhauls, progressively eliminating the conversion loss over a period of years. The rotary converter is the bridge technology that makes the transition possible without a simultaneous nationwide switchover. When all generators at a station are converted to direct 12 Hz production, the rotary converters are repurposed as dedicated grid-forming flywheels at strategic network locations, where their inertial energy storage continues providing stability services indefinitely.</w:t>
      </w:r>
    </w:p>
    <w:p>
      <w:pPr>
        <w:pStyle w:val="BodyText"/>
      </w:pPr>
      <w:r>
        <w:rPr>
          <w:b/>
          <w:bCs/>
        </w:rPr>
        <w:t xml:space="preserve">Hydroelectric conversion: minimal mechanical changes.</w:t>
      </w:r>
      <w:r>
        <w:t xml:space="preserve"> </w:t>
      </w:r>
      <w:r>
        <w:t xml:space="preserve">Converting an existing hydroelectric station from 50 Hz to direct 12 Hz production requires replacing two components: the generator and the turbine runner. The civil works—dam, penstock, spiral case, draft tube, powerhouse—are unaffected.</w:t>
      </w:r>
    </w:p>
    <w:p>
      <w:pPr>
        <w:pStyle w:val="BodyText"/>
      </w:pPr>
      <w:r>
        <w:t xml:space="preserve">The generator is replaced with a new machine designed for 12 Hz at the appropriate synchronous speed. This is a major but routine operation; GE offers on-site generator rewind and replacement services up to 1,000 MVA and 500 kV, constructing temporary pressurized facilities at the powerhouse for humidity and temperature control.</w:t>
      </w:r>
    </w:p>
    <w:p>
      <w:pPr>
        <w:pStyle w:val="BodyText"/>
      </w:pPr>
      <w:r>
        <w:t xml:space="preserve">The turbine runner—the rotating wheel that extracts energy from the water—is replaced because the new generator’s synchronous speed differs from the original 50 Hz design speed. For a typical large Francis turbine currently synchronized at approximately 107 RPM (56 poles at 50 Hz), the nearest 12 Hz synchronous speed is 102.9 RPM (14 poles)—approximately 4% slower. A new runner optimized for the lower speed and the existing hydraulic head is straightforward hydraulic engineering. Runners are maintenance items with finite service lives due to cavitation erosion, particularly in silt-laden rivers; replacing the runner during a scheduled overhaul with one designed for the new operating speed adds minimal additional outage time beyond the overhaul already planned. The stay vanes are part of the civil works and remain in place. The wicket gates may require minor adjustment to the operating linkage for the revised flow profile—a mechanical modification, not a replacement. Total changes to the mechanical plant are minimal: a new runner (a maintenance-cycle item) and wicket gate linkage adjustment.</w:t>
      </w:r>
    </w:p>
    <w:p>
      <w:pPr>
        <w:pStyle w:val="BodyText"/>
      </w:pPr>
      <w:r>
        <w:t xml:space="preserve">Cost per generating unit is comparable to a scheduled major overhaul: $20–$50 million for large units (100+ MW class), including runner and generator replacement. Timeline: 12–18 months per unit, executable during low-water periods or scheduled maintenance windows. At a multi-unit station, generators are converted one at a time while the remaining units continue producing 50 Hz power through the rotary converter interface. The phased approach means no generation capacity is lost during the conversion—the station’s output shifts from 50 Hz (through the rotary converter) to direct 12 Hz (through the new generator) one unit at a time, with each conversion eliminating one unit’s share of the rotary conversion loss.</w:t>
      </w:r>
    </w:p>
    <w:p>
      <w:pPr>
        <w:pStyle w:val="BodyText"/>
      </w:pPr>
      <w:r>
        <w:rPr>
          <w:b/>
          <w:bCs/>
        </w:rPr>
        <w:t xml:space="preserve">Thermal and new-build generation.</w:t>
      </w:r>
      <w:r>
        <w:t xml:space="preserve"> </w:t>
      </w:r>
      <w:r>
        <w:t xml:space="preserve">Steam turbine generators (coal, gas, biomass, geothermal) are rewound or replaced for 12 Hz during scheduled major overhauls. The boiler, steam system, cooling, and mechanical plant are frequency-independent. New generation of any type can be specified for 12 Hz from initial design at no cost premium.</w:t>
      </w:r>
    </w:p>
    <w:p>
      <w:pPr>
        <w:pStyle w:val="BodyText"/>
      </w:pPr>
      <w:r>
        <w:t xml:space="preserve">4.5 Sodium-Ion Storage Integration</w:t>
      </w:r>
    </w:p>
    <w:p>
      <w:pPr>
        <w:pStyle w:val="BodyText"/>
      </w:pPr>
      <w:r>
        <w:t xml:space="preserve">Grid-scale sodium-ion battery storage (commercially available from multiple manufacturers including CATL’s Naxtra line at approximately $80–$120/kWh at cell level; sodium, iron, and manganese chemistry; sanctions-proof raw materials; -40°C to 70°C operating range; 175 Wh/kg; 10,000+ cycle life) interfaces with the 12 Hz backbone through bidirectional inverters providing grid-forming capability, frequency regulation, and black-start services. The lower backbone frequency reduces switching losses in the battery-to-grid power electronics interface, improving round-trip efficiency. Sodium-ion chemistry eliminates lithium supply-chain dependencies, thermal runaway risk, and cobalt/nickel sourcing concerns. A 100 kWh village-level installation costs approximately $10,000–$15,000 for cells plus $2,000–$5,000 for battery management system, enclosure, and wiring.</w:t>
      </w:r>
    </w:p>
    <w:p>
      <w:pPr>
        <w:pStyle w:val="BodyText"/>
      </w:pPr>
      <w:r>
        <w:t xml:space="preserve">4.6 High-Voltage Distribution and Consumer Voltage</w:t>
      </w:r>
    </w:p>
    <w:p>
      <w:pPr>
        <w:pStyle w:val="BodyText"/>
      </w:pPr>
      <w:r>
        <w:t xml:space="preserve">A clean-sheet 12 Hz grid enables a distribution voltage architecture that eliminates an entire tier of transformation and delivers substantial efficiency gains. The target is 600V-class three-phase wye, delivered directly to the building panel. 600V is the equipment rating ceiling (standard building wire THHN/THWN and NM-B is rated for 600V; 600V breakers are commodity industrial items), not the nominal operating voltage.</w:t>
      </w:r>
    </w:p>
    <w:p>
      <w:pPr>
        <w:pStyle w:val="BodyText"/>
      </w:pPr>
      <w:r>
        <w:t xml:space="preserve">Distribution output is set at approximately 575–580V nominal line-to-line, allowing for 5–10% voltage drop along the distribution line. The near consumer sees approximately 570–580V line-to-line (329–335V line-to-neutral). The far consumer after line losses sees approximately 530–550V line-to-line (306–318V line-to-neutral). This is standard utility practice—North American</w:t>
      </w:r>
      <w:r>
        <w:t xml:space="preserve"> </w:t>
      </w:r>
      <w:r>
        <w:t xml:space="preserve">“120V”</w:t>
      </w:r>
      <w:r>
        <w:t xml:space="preserve"> </w:t>
      </w:r>
      <w:r>
        <w:t xml:space="preserve">actually delivers 114–126V; European</w:t>
      </w:r>
      <w:r>
        <w:t xml:space="preserve"> </w:t>
      </w:r>
      <w:r>
        <w:t xml:space="preserve">“230V”</w:t>
      </w:r>
      <w:r>
        <w:t xml:space="preserve"> </w:t>
      </w:r>
      <w:r>
        <w:t xml:space="preserve">delivers 207–253V.</w:t>
      </w:r>
    </w:p>
    <w:p>
      <w:pPr>
        <w:pStyle w:val="BodyText"/>
      </w:pPr>
      <w:r>
        <w:t xml:space="preserve">The efficiency implications are fundamental: for a given power delivery, current scales as 1/V, and wire losses (I²R) scale as 1/V². At 600V, the same wire carries 5x the power with 1/25th the loss compared to 120V. Across a national grid comprising millions of kilometers of distribution wiring and billions of meters of building wire, the copper savings from 600V distribution dwarf the incremental iron in the transformers.</w:t>
      </w:r>
    </w:p>
    <w:p>
      <w:pPr>
        <w:pStyle w:val="BodyText"/>
      </w:pPr>
      <w:r>
        <w:t xml:space="preserve">At the building entrance, optional rectification from line-to-neutral AC (306–335V depending on position on the distribution line) to DC is achievable through a simple bridge rectifier ($5–20, four diodes in a package). The resulting DC voltage ranges from approximately 280V (far consumer) to approximately 325V (near consumer). This entire range falls within the ETSI EN300-132-3-1 acceptance window of 260–400V DC, the standard that defines the 380V DC data center bus. Every piece of 380V DC-rated equipment—server power supplies, DC LED drivers, DC appliances, battery charge controllers—operates natively on the rectified output of the 12 Hz system without modification, without adapters, and without voltage regulation electronics at the building entrance. The natural voltage variation of the AC distribution system is absorbed entirely by the DC equipment’s designed input tolerance.</w:t>
      </w:r>
    </w:p>
    <w:p>
      <w:pPr>
        <w:pStyle w:val="BodyText"/>
      </w:pPr>
      <w:r>
        <w:t xml:space="preserve">This compatibility is not coincidental. The 380V DC standard was designed with a wide acceptance band because data center engineers knew their equipment would be fed from varying AC sources worldwide. The 12 Hz distribution voltage variation maps directly onto the standard’s acceptance band. This means the 12 Hz AC grid natively feeds the growing global ecosystem of 380V DC components—the same components that serve data centers, battery systems (350–450V packs connect directly to the DC bus), USB-C power delivery (standard 19:1 step-down from 380V), and DC-native appliances. No system modification is needed to deliver 380V line-to-neutral, which would require 380 × √3 = 658V line-to-line—exceeding the 600V wire rating and pushing into 1000V-class industrial components. The three-phase wye geometry delivers the target voltage through trigonometry, not through a conversion device.</w:t>
      </w:r>
    </w:p>
    <w:p>
      <w:pPr>
        <w:pStyle w:val="BodyText"/>
      </w:pPr>
      <w:r>
        <w:t xml:space="preserve">In the final-state architecture (12 Hz / 600V-class to the panel), the service entrance transformer is eliminated entirely. Distribution outputs the wye voltage directly down the street and into every panel. The entire distribution level between the last transformer and the consumer’s breaker panel is just wire—no transformers, no conversion, no iron, no losses, no points of failure. Each transformation stage eliminated removes iron that doesn’t need to be manufactured, losses that aren’t taken, and a failure point that doesn’t need to be maintained.</w:t>
      </w:r>
    </w:p>
    <w:p>
      <w:pPr>
        <w:pStyle w:val="BodyText"/>
      </w:pPr>
      <w:r>
        <w:t xml:space="preserve">4.7 End-Use Compatibility and Transition Path</w:t>
      </w:r>
    </w:p>
    <w:p>
      <w:pPr>
        <w:pStyle w:val="BodyText"/>
      </w:pPr>
      <w:r>
        <w:t xml:space="preserve">The transition from a 50/60 Hz consumer environment to native 12 Hz delivery is a natural evolution, not a forced conversion, because the majority of modern electrical loads are already frequency-independent or require only trivial modification. Approximately 30–40% of residential load is purely resistive (water heaters, ovens, baseboard heating, kettles, toasters) and operates identically at any frequency and any voltage within the 306–335V range. An additional 50–60% of residential load is served by switch-mode power supplies or inverter-driven motors (computers, LED lighting, televisions, phone chargers, modern refrigerators, heat pumps, washing machines, induction cooktops)—these devices rectify the incoming AC to a DC bus internally and are both frequency-independent and voltage-tolerant by design, typically accepting 100–277V AC or 260–400V DC input. Adapting them for 12 Hz input requires only a slightly larger input filter capacitor, a component change costing approximately $0.50–2.00 per device.</w:t>
      </w:r>
    </w:p>
    <w:p>
      <w:pPr>
        <w:pStyle w:val="BodyText"/>
      </w:pPr>
      <w:r>
        <w:t xml:space="preserve">The remaining 10–20% of residential load consists of legacy bare induction motors (older refrigerator compressors, furnace blowers, ceiling fans, well pumps, pool pumps) that require 50/60 Hz for correct speed and torque. This category is already shrinking as modern efficiency standards push inverter drives into all motor applications. During the transition period, the neighborhood-level frequency converter handles these loads transparently. As legacy appliances reach end-of-life and are replaced with inverter-driven models—a natural replacement cycle of 10–20 years—the dependency on 50/60 Hz at the consumer level diminishes to near zero without any policy intervention or forced conversion.</w:t>
      </w:r>
    </w:p>
    <w:p>
      <w:pPr>
        <w:pStyle w:val="BodyText"/>
      </w:pPr>
      <w:r>
        <w:t xml:space="preserve">For lighting, three-phase 600V-class service provides an elegant solution. In multi-lamp fixtures, wiring each lamp to a different phase produces mathematically zero flicker at any frequency, because balanced three-phase resistive loads sum to a constant: sin²(θ) + sin²(θ – 120°) + sin²(θ – 240°) = 3/2. Total light output is perfectly steady with no additional components—just wiring. LED lighting with standard drivers is frequency-independent by design. The net result is that native 12 Hz delivery is fully compatible with the modern and near-future appliance fleet, with the neighborhood converter providing seamless backward compatibility during the transition.</w:t>
      </w:r>
    </w:p>
    <w:p>
      <w:pPr>
        <w:pStyle w:val="BodyText"/>
      </w:pPr>
      <w:r>
        <w:t xml:space="preserve">A key architectural property is that this transition is incremental and reversible at every stage. The 12 Hz backbone can be deployed one transmission corridor at a time, one region at a time, coexisting with the legacy grid through rotary converter interface points. Individual neighborhoods can be converted from 50/60 Hz distribution to native 12 Hz distribution independently, as their local appliance fleets become ready, without affecting adjacent areas. A single building can run native 12 Hz while its neighbor still receives 50/60 Hz from the same neighborhood converter. The conversion proceeds at whatever pace the local conditions permit—there is no</w:t>
      </w:r>
      <w:r>
        <w:t xml:space="preserve"> </w:t>
      </w:r>
      <w:r>
        <w:t xml:space="preserve">“flag day”</w:t>
      </w:r>
      <w:r>
        <w:t xml:space="preserve"> </w:t>
      </w:r>
      <w:r>
        <w:t xml:space="preserve">where the entire system must switch over simultaneously, and no point of no return. Each incremental step delivers immediate benefits (lower losses, reduced copper, simplified maintenance) while leaving the option open to continue, pause, or even reverse. This</w:t>
      </w:r>
      <w:r>
        <w:t xml:space="preserve"> </w:t>
      </w:r>
      <w:r>
        <w:t xml:space="preserve">“convert a bit at a time”</w:t>
      </w:r>
      <w:r>
        <w:t xml:space="preserve"> </w:t>
      </w:r>
      <w:r>
        <w:t xml:space="preserve">property makes the 12 Hz architecture deployable in any political, economic, or institutional context, from post-conflict emergency reconstruction to gradual domestic grid modernization.</w:t>
      </w:r>
    </w:p>
    <w:p>
      <w:pPr>
        <w:pStyle w:val="BodyText"/>
      </w:pPr>
      <w:r>
        <w:t xml:space="preserve">4.8 Protection Coordination</w:t>
      </w:r>
    </w:p>
    <w:p>
      <w:pPr>
        <w:pStyle w:val="BodyText"/>
      </w:pPr>
      <w:r>
        <w:t xml:space="preserve">Protection coordination—the systematic design of relay settings, fault current calculations, and trip timing to isolate faults quickly without cascading—is an ongoing engineering process for every electrical grid in the world. No grid at any frequency has a static, finished protection scheme; settings are refined continuously as loads change, generation is added or retired, and operating experience accumulates. The 12 Hz grid is no different in this regard.</w:t>
      </w:r>
    </w:p>
    <w:p>
      <w:pPr>
        <w:pStyle w:val="BodyText"/>
      </w:pPr>
      <w:r>
        <w:t xml:space="preserve">The 12 Hz architecture simplifies some aspects of protection while requiring fresh engineering on others. Zero crossings occur every 41.7 ms at 12 Hz (compared to 10 ms at 50 Hz), giving electromechanical circuit breakers more time between interruption opportunities—this relaxes breaker contact gap requirements and simplifies arc extinction. The lower system reactance at 12 Hz (X = 2πfL) means fault currents may be somewhat higher on long lines, requiring adjusted relay reach settings. Transformer inrush currents have longer time constants due to the larger cores, requiring adapted inrush discrimination settings. All of these are parameter adjustments within established protection principles, not new protection technology.</w:t>
      </w:r>
    </w:p>
    <w:p>
      <w:pPr>
        <w:pStyle w:val="BodyText"/>
      </w:pPr>
      <w:r>
        <w:t xml:space="preserve">The 16.7 Hz Bahnstrom system’s protection philosophy, developed over a century and documented in European rail engineering standards, provides the engineering baseline. Overcurrent, earth fault, differential, and distance protection all operate on the same principles at 12 Hz as at 50 or 16.7 Hz; the characteristic curves and timing settings are what change. A one-time engagement of international specialist consultants—firms with Bahnstrom protection experience in Germany, Austria, and Switzerland—working alongside domestic protection engineers establishes the initial relay settings library and coordination methodology for the 12 Hz network. This is a knowledge transfer engagement: the methodology, once established and documented, becomes the property of the domestic utility’s protection engineering department, which refines settings ongoing as the grid evolves. The consultant engagement is a capital cost, not a recurring dependency.</w:t>
      </w:r>
    </w:p>
    <w:p>
      <w:pPr>
        <w:pStyle w:val="BodyText"/>
      </w:pPr>
      <w:r>
        <w:t xml:space="preserve">4.9 Mechanical and Acoustic Considerations: Magnetostriction, Ground Coupling, and Substation Siting</w:t>
      </w:r>
    </w:p>
    <w:p>
      <w:pPr>
        <w:pStyle w:val="BodyText"/>
      </w:pPr>
      <w:r>
        <w:t xml:space="preserve">A predictable concern about a 12 Hz grid is whether large transformers operating at low frequency could excite ground resonances or couple into building structures more aggressively than 50/60 Hz units. The concern is not unfounded, and the relevant physics deserves to be addressed directly rather than dismissed.</w:t>
      </w:r>
    </w:p>
    <w:p>
      <w:pPr>
        <w:pStyle w:val="BodyText"/>
      </w:pPr>
      <w:r>
        <w:rPr>
          <w:b/>
          <w:bCs/>
        </w:rPr>
        <w:t xml:space="preserve">The mechanism.</w:t>
      </w:r>
      <w:r>
        <w:t xml:space="preserve"> </w:t>
      </w:r>
      <w:r>
        <w:t xml:space="preserve">Transformer cores vibrate at twice the supply frequency, because magnetostriction — the dimensional change in ferromagnetic steel under alternating magnetic flux — operates symmetrically on positive and negative half-cycles of the AC waveform. The fundamental mechanical excitation frequency is therefore 100 Hz at 50 Hz operation, 120 Hz at 60 Hz operation, and 24 Hz at 12 Hz operation. Twenty-four hertz falls well below the 100/120 Hz hum that conventional transformers radiate, and into a different acoustic regime.</w:t>
      </w:r>
    </w:p>
    <w:p>
      <w:pPr>
        <w:pStyle w:val="BodyText"/>
      </w:pPr>
      <w:r>
        <w:rPr>
          <w:b/>
          <w:bCs/>
        </w:rPr>
        <w:t xml:space="preserve">Why 24 Hz is in a relevant ground-coupling band.</w:t>
      </w:r>
      <w:r>
        <w:t xml:space="preserve"> </w:t>
      </w:r>
      <w:r>
        <w:t xml:space="preserve">Coupled vibratory roller-soil systems exhibit resonant frequencies of approximately 17 Hz, with optimum compaction occurring near 18 Hz, slightly above resonance. Railway and road-traffic ground vibrations relevant to building damage and structural concerns fall in the 5–50 Hz range. The 24 Hz mechanical excitation from a 12 Hz transformer therefore sits inside the band where ground coupling and structural sensitivity are real phenomena, in a way that 100/120 Hz transformer excitation does not. The concern is legitimate to raise.</w:t>
      </w:r>
    </w:p>
    <w:p>
      <w:pPr>
        <w:pStyle w:val="BodyText"/>
      </w:pPr>
      <w:r>
        <w:rPr>
          <w:b/>
          <w:bCs/>
        </w:rPr>
        <w:t xml:space="preserve">Why the</w:t>
      </w:r>
      <w:r>
        <w:rPr>
          <w:b/>
          <w:bCs/>
        </w:rPr>
        <w:t xml:space="preserve"> </w:t>
      </w:r>
      <w:r>
        <w:rPr>
          <w:b/>
          <w:bCs/>
        </w:rPr>
        <w:t xml:space="preserve">“earthquake machine”</w:t>
      </w:r>
      <w:r>
        <w:rPr>
          <w:b/>
          <w:bCs/>
        </w:rPr>
        <w:t xml:space="preserve"> </w:t>
      </w:r>
      <w:r>
        <w:rPr>
          <w:b/>
          <w:bCs/>
        </w:rPr>
        <w:t xml:space="preserve">framing is wrong.</w:t>
      </w:r>
      <w:r>
        <w:t xml:space="preserve"> </w:t>
      </w:r>
      <w:r>
        <w:t xml:space="preserve">The energy scales do not support the alarm. Magnetostrictive strain in transformer steel is on the order of 1–10 parts per million. Grain-oriented silicon steel measures below 1 ppm in the rolling direction and reaches only 2.5–3 ppm at corners and T-joints, with structural discontinuities lifting the effective local strain toward 10 ppm. For a one-meter core dimension, that is a few microns of cyclic dimensional change per cycle. The total acoustic power radiated by even a large transformer is in the watts-to-kilowatts range. A vibratory roller, by contrast, delivers tens to hundreds of kilonewtons of dynamic force at 17–30 Hz directly into the soil column — one published study cited 416 kN at 27 Hz for a single roller. The roller’s eccentric mass is engineered specifically to inject mechanical energy into the ground; the transformer is not. The transformer also sits on a concrete pad with substantial mass coupling that further attenuates ground transmission, while the roller is designed for maximum ground-coupling efficiency. The acoustic power radiated by a 12 Hz transformer at 24 Hz is roughly four to six orders of magnitude below the ground-injected power of a vibratory roller at 17 Hz, and the coupling pathway is dramatically less efficient. Whatever a 12 Hz substation does to the surrounding earth, it does not approach what a single piece of compaction equipment does in the course of a normal road-paving day.</w:t>
      </w:r>
    </w:p>
    <w:p>
      <w:pPr>
        <w:pStyle w:val="BodyText"/>
      </w:pPr>
      <w:r>
        <w:rPr>
          <w:b/>
          <w:bCs/>
        </w:rPr>
        <w:t xml:space="preserve">The real, smaller concerns.</w:t>
      </w:r>
      <w:r>
        <w:t xml:space="preserve"> </w:t>
      </w:r>
      <w:r>
        <w:t xml:space="preserve">Two issues are legitimate and merit engineering attention. First,</w:t>
      </w:r>
      <w:r>
        <w:t xml:space="preserve"> </w:t>
      </w:r>
      <w:r>
        <w:rPr>
          <w:i/>
          <w:iCs/>
        </w:rPr>
        <w:t xml:space="preserve">building-foundation coupling for substations sited near vibration-sensitive structures.</w:t>
      </w:r>
      <w:r>
        <w:t xml:space="preserve"> </w:t>
      </w:r>
      <w:r>
        <w:t xml:space="preserve">Hospitals with MRI suites, semiconductor fabrication facilities, and astronomical and metrological instruments have ground-vibration tolerances in the 10–50 Hz band. A 12 Hz substation’s 24 Hz mechanical signature intersects this band where 50/60 Hz substations at 100/120 Hz do not. This implies a siting constraint, not an architectural defect. Twelve-hertz substations near vibration-sensitive facilities require additional separation distance, vibration-isolated foundations, or both. Conventional engineering practice already accommodates such constraints for vibratory equipment and rotating machinery; the same toolkit applies to 12 Hz substation civil works. Second,</w:t>
      </w:r>
      <w:r>
        <w:t xml:space="preserve"> </w:t>
      </w:r>
      <w:r>
        <w:rPr>
          <w:i/>
          <w:iCs/>
        </w:rPr>
        <w:t xml:space="preserve">cumulative fatigue effects on substation civil works over decades.</w:t>
      </w:r>
      <w:r>
        <w:t xml:space="preserve"> </w:t>
      </w:r>
      <w:r>
        <w:t xml:space="preserve">Continuous low-frequency vibration through a concrete pad over a forty-year operational life can accelerate concrete fatigue and bolt-loosening at smaller strains than would cause acute damage. This is managed through standard isolation practices: elastomeric pads, sprung mountings, and periodic inspection of fasteners and grouting — items that already exist in heavy rotating-machinery installations and are inexpensive at the scale of a substation.</w:t>
      </w:r>
    </w:p>
    <w:p>
      <w:pPr>
        <w:pStyle w:val="BodyText"/>
      </w:pPr>
      <w:r>
        <w:t xml:space="preserve">The 16.7 Hz Bahnstrom system has operated at 33.4 Hz mechanical excitation for 113 years without producing the seismic effects that the</w:t>
      </w:r>
      <w:r>
        <w:t xml:space="preserve"> </w:t>
      </w:r>
      <w:r>
        <w:t xml:space="preserve">“earthquake machine”</w:t>
      </w:r>
      <w:r>
        <w:t xml:space="preserve"> </w:t>
      </w:r>
      <w:r>
        <w:t xml:space="preserve">framing would predict. The 24 Hz excitation of a 12 Hz grid is closer to the relevant ground-coupling band than 33.4 Hz, but not by a margin that overturns the underlying energy accounting. Substation siting near vibration-sensitive facilities deserves explicit engineering attention. The broader concern that a 12 Hz grid would shake the ground in a way that 50/60 Hz grids do not, does not survive scrutiny of the magnitudes involved.</w:t>
      </w:r>
    </w:p>
    <w:p>
      <w:pPr>
        <w:pStyle w:val="BodyText"/>
      </w:pPr>
      <w:r>
        <w:t xml:space="preserve">5. Applications</w:t>
      </w:r>
    </w:p>
    <w:p>
      <w:pPr>
        <w:pStyle w:val="BodyText"/>
      </w:pPr>
      <w:r>
        <w:t xml:space="preserve">5.1 Post-Conflict Reconstruction</w:t>
      </w:r>
    </w:p>
    <w:p>
      <w:pPr>
        <w:pStyle w:val="BodyText"/>
      </w:pPr>
      <w:r>
        <w:t xml:space="preserve">A 12 Hz grid can be deployed faster than any conventional 50 Hz reconstruction because it removes the transformer procurement bottleneck entirely. In scenarios where existing grid infrastructure has been destroyed, the 12 Hz architecture offers a path to power restoration that is months faster than conventional approaches, because the factory can be stood up and producing transformers from local steel while conventional orders would still be in the GOES procurement queue. This has immediate humanitarian implications: faster power restoration to hospitals, water treatment, and critical infrastructure.</w:t>
      </w:r>
    </w:p>
    <w:p>
      <w:pPr>
        <w:pStyle w:val="BodyText"/>
      </w:pPr>
      <w:r>
        <w:t xml:space="preserve">5.2 Domestic Grid Expansion</w:t>
      </w:r>
    </w:p>
    <w:p>
      <w:pPr>
        <w:pStyle w:val="BodyText"/>
      </w:pPr>
      <w:r>
        <w:t xml:space="preserve">For new grid segments—particularly serving data centers, industrial parks, and renewable generation interconnections—where the conventional transformer backlog prevents timely connection, a 12 Hz spur or subnet built from commodity-steel transformers offers a near-term alternative. The 12 Hz segment connects to the existing 60 Hz grid through rotary frequency converters at defined interface points, following the Bahnstrom model for 50/16.7 Hz interconnection.</w:t>
      </w:r>
    </w:p>
    <w:p>
      <w:pPr>
        <w:pStyle w:val="BodyText"/>
      </w:pPr>
      <w:r>
        <w:t xml:space="preserve">5.3 Resilient Infrastructure</w:t>
      </w:r>
    </w:p>
    <w:p>
      <w:pPr>
        <w:pStyle w:val="BodyText"/>
      </w:pPr>
      <w:r>
        <w:t xml:space="preserve">The combination of commodity-steel transformers (field-repairable from locally available materials), modular segmented construction (transportable by standard truck, assemblable on-site), semiconductor-free protection (no chip supply-chain vulnerability), and electromechanical control produces a grid architecture with resilience properties that conventional grids cannot match. A damaged 12 Hz transformer can be fabricated or assembled on-site by a trained crew in days from segments shipped by standard transport; a damaged conventional transformer requires specialized heavy-haul delivery and a 2–3 year factory replacement. Individual core segments can be swapped in the field without replacing the entire unit, reducing repair from a capital project to a maintenance operation.</w:t>
      </w:r>
    </w:p>
    <w:p>
      <w:pPr>
        <w:pStyle w:val="BodyText"/>
      </w:pPr>
      <w:r>
        <w:t xml:space="preserve">5.4 Developing-Nation Electrification</w:t>
      </w:r>
    </w:p>
    <w:p>
      <w:pPr>
        <w:pStyle w:val="BodyText"/>
      </w:pPr>
      <w:r>
        <w:t xml:space="preserve">In sub-Saharan Africa, where rural electrification rates are often below 20% and an estimated 600 million people lack access to electricity, the 12 Hz architecture addresses the binding constraints that conventional grid expansion cannot overcome: multi-year transformer procurement, scarcity of specialized engineers, dependence on imported components, and connection costs that exceed household income. A distribution-class 12 Hz transformer can be fabricated from local steel and copper at a workshop in the nearest city. A two-person crew installs it in 1–3 days. Training time: two weeks for installers, three to six months for winders. The skills draw from the existing pool of electricians, diesel mechanics, and welders—a pool that outnumbers university-educated power electronics engineers by approximately 500:1 in most African countries.</w:t>
      </w:r>
    </w:p>
    <w:p>
      <w:pPr>
        <w:pStyle w:val="BodyText"/>
      </w:pPr>
      <w:r>
        <w:t xml:space="preserve">Across Africa, Pay-As-You-Go (PAYG) solar home systems are already deployed at scale—solar panels, batteries with mobile-payment kill switches, DC appliances, less than 5% default rates. These systems are DC at both endpoints, already working, already financed. What they lack is geographic interconnection: when one household’s battery is empty, it cannot draw from a neighbor’s surplus 50 km away. A hospital cannot access the collective solar generation of its district. The 12 Hz backbone provides the missing layer—connecting thousands of PAYG solar islands into a grid through passive transformers and commodity conductors, enabling geographic load redistribution without adding semiconductor dependency at the connection points.</w:t>
      </w:r>
    </w:p>
    <w:p>
      <w:pPr>
        <w:pStyle w:val="BodyText"/>
      </w:pPr>
      <w:r>
        <w:t xml:space="preserve">Pakistan’s people-led solar revolution provides the deployment model precedent. Self-taught technicians, learning from YouTube tutorials and WhatsApp groups, deployed an estimated 24+ GW of distributed solar using hyperlocal supply chains through informal merchandise networks—more than Canada or the UK installed in five years. No factory-trained commissioning engineers. No foreign specialists. The 12 Hz backbone’s transformer winding and installation can be taught through the same practical, community-based skill transfer that scaled Pakistan’s solar deployment. The cognitive demands are comparable: mechanical aptitude, procedural discipline, and hands-on practice—not oscilloscope waveform interpretation or control loop tuning.</w:t>
      </w:r>
    </w:p>
    <w:p>
      <w:pPr>
        <w:pStyle w:val="BodyText"/>
      </w:pPr>
      <w:r>
        <w:t xml:space="preserve">5.5 Global Export and Sovereign Manufacturing</w:t>
      </w:r>
    </w:p>
    <w:p>
      <w:pPr>
        <w:pStyle w:val="BodyText"/>
      </w:pPr>
      <w:r>
        <w:t xml:space="preserve">The GOES dependency is global. Every nation building or expanding grid capacity faces the same multi-year wait and the same handful of foreign suppliers, with no domestic alternative available in most countries. The first country to commercialize a proven 12 Hz grid architecture—with validated transformer designs, manufacturing processes, protection schemes, and operational procedures—offers the rest of the world an exit from this dependency. The total addressable market for power and distribution transformers exceeds $50 billion annually. A commodity-steel alternative manufacturable from locally available materials does not merely compete in this market; it fundamentally restructures it, replacing a concentrated specialty-steel supply chain with a distributed commodity-steel supply chain that any industrial economy can participate in. The strategic value to the originating nation extends beyond the direct export revenue: 12 Hz architecture becomes a technology-transfer offering through which the originator builds long-term industrial relationships with countries that adopt the standard.</w:t>
      </w:r>
    </w:p>
    <w:p>
      <w:pPr>
        <w:pStyle w:val="BodyText"/>
      </w:pPr>
      <w:r>
        <w:t xml:space="preserve">6. Path to Validation</w:t>
      </w:r>
    </w:p>
    <w:p>
      <w:pPr>
        <w:pStyle w:val="BodyText"/>
      </w:pPr>
      <w:r>
        <w:t xml:space="preserve">The 12 Hz architecture requires a focused validation program, not a fundamental research effort. The underlying physics are settled and the engineering is proven at 16.7 Hz over 113 years. The validation effort targets the specific 12 Hz parameters and modern integrations that the Bahnstrom system does not employ:</w:t>
      </w:r>
    </w:p>
    <w:p>
      <w:pPr>
        <w:pStyle w:val="BodyText"/>
      </w:pPr>
      <w:r>
        <w:rPr>
          <w:b/>
          <w:bCs/>
        </w:rPr>
        <w:t xml:space="preserve">Phase 0 Pilot (6–7 months, ~$85M):</w:t>
      </w:r>
      <w:r>
        <w:t xml:space="preserve"> </w:t>
      </w:r>
      <w:r>
        <w:t xml:space="preserve">A 10 MW 12 Hz microgrid demonstration at a national laboratory validates commodity-steel transformer manufacturing at distribution and sub-transmission voltage levels, electromechanical relay protection coordination, synchronous condenser reactive power compensation, DC-to-12Hz solar interconnect, sodium-ion battery grid-forming operation, and rotary frequency converter interface (60/12 Hz for hosts on a 60 Hz grid, 50/12.5 Hz for hosts on a 50 Hz grid). The pilot leverages 113 years of Bahnstrom data as the baseline and focuses on the delta between 16.7 Hz and 12–12.5 Hz, plus the modern storage and renewable integrations.</w:t>
      </w:r>
    </w:p>
    <w:p>
      <w:pPr>
        <w:pStyle w:val="BodyText"/>
      </w:pPr>
      <w:r>
        <w:rPr>
          <w:b/>
          <w:bCs/>
        </w:rPr>
        <w:t xml:space="preserve">National Lab Feasibility Assessment (concurrent, 60 days):</w:t>
      </w:r>
      <w:r>
        <w:t xml:space="preserve"> </w:t>
      </w:r>
      <w:r>
        <w:t xml:space="preserve">Independent technical review by national laboratory staff producing a formal feasibility determination. This is the document that underwrites authorization for any larger deployment.</w:t>
      </w:r>
    </w:p>
    <w:p>
      <w:pPr>
        <w:pStyle w:val="BodyText"/>
      </w:pPr>
      <w:r>
        <w:rPr>
          <w:b/>
          <w:bCs/>
        </w:rPr>
        <w:t xml:space="preserve">Full-Scale Deployment:</w:t>
      </w:r>
      <w:r>
        <w:t xml:space="preserve"> </w:t>
      </w:r>
      <w:r>
        <w:t xml:space="preserve">Upon pilot validation, the architecture is ready for deployment at any scale—from single-facility microgrids to national grid reconstruction—using commodity materials, proven manufacturing processes, and a trained workforce developed through the pilot program.</w:t>
      </w:r>
    </w:p>
    <w:p>
      <w:pPr>
        <w:pStyle w:val="BodyText"/>
      </w:pPr>
      <w:r>
        <w:t xml:space="preserve">7. Conclusion</w:t>
      </w:r>
    </w:p>
    <w:p>
      <w:pPr>
        <w:pStyle w:val="BodyText"/>
      </w:pPr>
      <w:r>
        <w:t xml:space="preserve">The global transformer shortage is not a temporary supply-chain disruption. It is a structural chokehold: every nation building or expanding grid capacity depends on a small handful of foreign mills for the specialty steel that conventional transformer cores require, with no domestic alternative in most countries and no realistic path to one within the relevant time frame. Factory expansion does not solve it; new factories compete for the same constrained GOES supply. The only way to break the chokehold is to build transformers from something other than GOES.</w:t>
      </w:r>
    </w:p>
    <w:p>
      <w:pPr>
        <w:pStyle w:val="BodyText"/>
      </w:pPr>
      <w:r>
        <w:t xml:space="preserve">Low-frequency AC grid architecture makes this possible, and 113 years of European Bahnstrom operation proves it works. At 12 Hz, transformer cores can be wound from the same mild steel used in buildings and bridges—a commodity produced at massive scale worldwide, available from hundreds of competing suppliers, manufacturable in any country with industrial capacity. A 12 Hz transformer factory can be commissioned in months, not years, drawing on local materials and trade-skilled labor that exist almost everywhere. The resulting grid is faster to build, cheaper to maintain, field-repairable from local materials, and free of the semiconductor and specialty-steel supply chains that make conventional grids fragile. And because the same transformer designs accept progressive core upgrades from commodity steel to NOES to GOES as supply permits, the 12 Hz architecture does not abandon the specialty steel industry—it removes specialty steel as a prerequisite for deployment while preserving it as the long-term performance optimization path.</w:t>
      </w:r>
    </w:p>
    <w:p>
      <w:pPr>
        <w:pStyle w:val="BodyText"/>
      </w:pPr>
      <w:r>
        <w:t xml:space="preserve">The 12 Hz grid natively delivers consumer voltages compatible with the global 380V DC equipment ecosystem through simple bridge rectification, enabling direct integration with data center components, battery storage systems, and the growing market for DC-native appliances—without requiring any modification to the AC distribution system. The architecture connects existing distributed solar and PAYG deployments into a national grid through passive transformers, adding geographic load redistribution without adding semiconductor dependency. It can be installed and maintained by trade-skilled workers trained in weeks to months, using commodity materials available in any country. The lower transmission frequency delivers measurable efficiency gains and cost reductions across the grid as a side benefit of the architecture’s primary purpose.</w:t>
      </w:r>
    </w:p>
    <w:p>
      <w:pPr>
        <w:pStyle w:val="BodyText"/>
      </w:pPr>
      <w:r>
        <w:t xml:space="preserve">The technology is not speculative. It is a straightforward engineering adaptation of the oldest and most extensively proven low-frequency AC architecture in the world. What it requires is a focused validation pilot and the decision to deploy. The transformer crisis is here. The chokehold is real, and it tightens every year that demand grows faster than specialty-steel supply. The solution has been running in Europe since 1912; what remains is the political and engineering decision to apply it.</w:t>
      </w:r>
    </w:p>
    <w:p>
      <w:pPr>
        <w:pStyle w:val="BodyText"/>
      </w:pPr>
      <w:r>
        <w:t xml:space="preserve">Contact: David Walther</w:t>
      </w:r>
    </w:p>
    <w:p>
      <w:pPr>
        <w:pStyle w:val="BodyText"/>
      </w:pPr>
      <w:r>
        <w:t xml:space="preserve">Inquiries: tederific@gmail.com</w:t>
      </w:r>
    </w:p>
    <w:p>
      <w:r>
        <w:pict>
          <v:rect style="width:0;height:1.5pt" o:hralign="center" o:hrstd="t" o:hr="t"/>
        </w:pict>
      </w:r>
    </w:p>
    <w:p>
      <w:pPr>
        <w:pStyle w:val="FirstParagraph"/>
      </w:pPr>
      <w:r>
        <w:t xml:space="preserve">Appendix A: Grid Cutover Plan—The River Diversion Method</w:t>
      </w:r>
    </w:p>
    <w:p>
      <w:pPr>
        <w:pStyle w:val="BodyText"/>
      </w:pPr>
      <w:r>
        <w:rPr>
          <w:b/>
          <w:bCs/>
        </w:rPr>
        <w:t xml:space="preserve">A.1 The Problem</w:t>
      </w:r>
    </w:p>
    <w:p>
      <w:pPr>
        <w:pStyle w:val="BodyText"/>
      </w:pPr>
      <w:r>
        <w:t xml:space="preserve">Converting a national grid from its existing 50/60 Hz operating frequency to the corresponding low-frequency variant (12 Hz for 60 Hz nations, 12.5 Hz for 50 Hz nations) requires changing the operating frequency on every transmission and distribution corridor. The grid must continue delivering power throughout the conversion, with outages per section measured in hours, not days. A practical cutover plan must convert the grid section by section while maintaining continuous service. The method described below applies identically to either variant; references to</w:t>
      </w:r>
      <w:r>
        <w:t xml:space="preserve"> </w:t>
      </w:r>
      <w:r>
        <w:t xml:space="preserve">“12 Hz”</w:t>
      </w:r>
      <w:r>
        <w:t xml:space="preserve"> </w:t>
      </w:r>
      <w:r>
        <w:t xml:space="preserve">in this appendix should be read as</w:t>
      </w:r>
      <w:r>
        <w:t xml:space="preserve"> </w:t>
      </w:r>
      <w:r>
        <w:t xml:space="preserve">“the appropriate low-frequency target for the host grid.”</w:t>
      </w:r>
    </w:p>
    <w:p>
      <w:pPr>
        <w:pStyle w:val="BodyText"/>
      </w:pPr>
      <w:r>
        <w:rPr>
          <w:b/>
          <w:bCs/>
        </w:rPr>
        <w:t xml:space="preserve">A.2 Conductors Are Frequency-Agnostic</w:t>
      </w:r>
    </w:p>
    <w:p>
      <w:pPr>
        <w:pStyle w:val="BodyText"/>
      </w:pPr>
      <w:r>
        <w:t xml:space="preserve">The transmission and distribution conductors—aluminium ACSR (aluminium conductor, steel-reinforced) strung on steel or wooden structures—carry 12 Hz current exactly as well as 50 Hz. Skin effect is actually lower at 12 Hz (skin depth approximately 19 mm vs. 8.5 mm at 60 Hz in copper, proportionally better in aluminium), so conductor performance improves slightly at the lower frequency. Towers, insulators, and right-of-way are entirely frequency-independent. Only the transformers at each end of a corridor section are frequency-specific: a 50 Hz transformer core saturates catastrophically at 12 Hz, and a 12 Hz transformer is oversized and inefficient at 50 Hz. The cutover is therefore primarily a transformer replacement operation. The conductors, towers, and right-of-way are retained in place.</w:t>
      </w:r>
    </w:p>
    <w:p>
      <w:pPr>
        <w:pStyle w:val="BodyText"/>
      </w:pPr>
      <w:r>
        <w:rPr>
          <w:b/>
          <w:bCs/>
        </w:rPr>
        <w:t xml:space="preserve">A.3 The River Diversion Method</w:t>
      </w:r>
    </w:p>
    <w:p>
      <w:pPr>
        <w:pStyle w:val="BodyText"/>
      </w:pPr>
      <w:r>
        <w:t xml:space="preserve">When engineers build a dam on an active river, they do not stop the flow. They construct a temporary diversion—a tunnel, a cofferdam, a channel—that routes the river around the construction site. The river continues flowing, the dam is built in the dry, and when the dam is complete the diversion is closed. One set of diversion equipment serves multiple dam projects, moving from site to site as each is completed.</w:t>
      </w:r>
    </w:p>
    <w:p>
      <w:pPr>
        <w:pStyle w:val="BodyText"/>
      </w:pPr>
      <w:r>
        <w:t xml:space="preserve">The same principle converts a grid:</w:t>
      </w:r>
    </w:p>
    <w:p>
      <w:pPr>
        <w:pStyle w:val="BodyText"/>
      </w:pPr>
      <w:r>
        <w:rPr>
          <w:i/>
          <w:iCs/>
        </w:rPr>
        <w:t xml:space="preserve">Step 1—Pre-stage (weeks, no outage):</w:t>
      </w:r>
      <w:r>
        <w:t xml:space="preserve"> </w:t>
      </w:r>
      <w:r>
        <w:t xml:space="preserve">Install new 12 Hz transformers at both substations flanking the corridor section to be converted. The new transformers sit de-energized alongside the existing 50 Hz units. No outage required for installation.</w:t>
      </w:r>
    </w:p>
    <w:p>
      <w:pPr>
        <w:pStyle w:val="BodyText"/>
      </w:pPr>
      <w:r>
        <w:rPr>
          <w:i/>
          <w:iCs/>
        </w:rPr>
        <w:t xml:space="preserve">Step 2—Temporary bypass (days, no outage):</w:t>
      </w:r>
      <w:r>
        <w:t xml:space="preserve"> </w:t>
      </w:r>
      <w:r>
        <w:t xml:space="preserve">For critical corridors where even a brief outage is unacceptable, string a temporary conductor on the existing towers using spare cross-arm positions. Many transmission lines are designed for double-circuit configuration but carry only one circuit; the spare positions are available for the bypass. Where both circuits are in use, one circuit serves as the temporary 12 Hz path while the other continues 50 Hz service. Connect the temporary conductor to the pre-staged 12 Hz transformers. Energize and verify under test load.</w:t>
      </w:r>
    </w:p>
    <w:p>
      <w:pPr>
        <w:pStyle w:val="BodyText"/>
      </w:pPr>
      <w:r>
        <w:rPr>
          <w:i/>
          <w:iCs/>
        </w:rPr>
        <w:t xml:space="preserve">Step 3—Load transfer (hours):</w:t>
      </w:r>
      <w:r>
        <w:t xml:space="preserve"> </w:t>
      </w:r>
      <w:r>
        <w:t xml:space="preserve">Transfer loads from the 50 Hz path to the 12 Hz path. For non-critical corridors: a planned 4–8 hour outage—disconnect existing conductors from the 50 Hz transformers, reconnect to the 12 Hz transformers, energize. For critical corridors served by the temporary bypass: seamless transfer with zero outage, as the bypass carries the load while the permanent path is reconnected.</w:t>
      </w:r>
    </w:p>
    <w:p>
      <w:pPr>
        <w:pStyle w:val="BodyText"/>
      </w:pPr>
      <w:r>
        <w:rPr>
          <w:i/>
          <w:iCs/>
        </w:rPr>
        <w:t xml:space="preserve">Step 4—Recovery (days, no outage):</w:t>
      </w:r>
      <w:r>
        <w:t xml:space="preserve"> </w:t>
      </w:r>
      <w:r>
        <w:t xml:space="preserve">De-energize and remove 50 Hz transformers. Recover temporary bypass conductors for reuse. Move the temporary conductor stock and recovered transformer materials (copper, steel) to the next corridor section.</w:t>
      </w:r>
    </w:p>
    <w:p>
      <w:pPr>
        <w:pStyle w:val="BodyText"/>
      </w:pPr>
      <w:r>
        <w:rPr>
          <w:i/>
          <w:iCs/>
        </w:rPr>
        <w:t xml:space="preserve">Step 5—Repeat:</w:t>
      </w:r>
      <w:r>
        <w:t xml:space="preserve"> </w:t>
      </w:r>
      <w:r>
        <w:t xml:space="preserve">The temporary conductor stock moves section by section across the national grid. One set of temporary conductors serves the entire conversion, exactly as one set of diversion equipment serves multiple dam projects.</w:t>
      </w:r>
    </w:p>
    <w:p>
      <w:pPr>
        <w:pStyle w:val="BodyText"/>
      </w:pPr>
      <w:r>
        <w:rPr>
          <w:b/>
          <w:bCs/>
        </w:rPr>
        <w:t xml:space="preserve">A.4 The Bus-Tie Rotary Converter</w:t>
      </w:r>
    </w:p>
    <w:p>
      <w:pPr>
        <w:pStyle w:val="BodyText"/>
      </w:pPr>
      <w:r>
        <w:t xml:space="preserve">During conversion, substations at the boundary between converted (12 Hz) and unconverted (50 Hz) sections require power flow between both frequency domains. A rotary frequency converter installed as a bus-tie between the 12 Hz and 50 Hz sections of the substation provides this power transfer. The inherent flywheel effect (Section 4.4) delivers power smoothing and frequency stability at the interface between the two grid domains.</w:t>
      </w:r>
    </w:p>
    <w:p>
      <w:pPr>
        <w:pStyle w:val="BodyText"/>
      </w:pPr>
      <w:r>
        <w:t xml:space="preserve">As corridors radiating from a substation are converted one at a time, the 50/60 Hz domain at that substation shrinks and the low-frequency domain grows. When all corridors are converted, the bus-tie rotary converter is either repurposed as a grid-forming flywheel at that location, moved to the next substation undergoing conversion, or relocated to an international interconnector as a permanent cross-frequency interface (50/12.5 Hz, 60/12 Hz, or 12/12.5 Hz between adjacent low-frequency grids of differing host families). The bus-tie converter fleet, like the temporary conductor stock, is reusable capital equipment that moves through the grid during conversion and finds permanent homes when conversion is complete.</w:t>
      </w:r>
    </w:p>
    <w:p>
      <w:pPr>
        <w:pStyle w:val="BodyText"/>
      </w:pPr>
      <w:r>
        <w:rPr>
          <w:b/>
          <w:bCs/>
        </w:rPr>
        <w:t xml:space="preserve">A.5 Section Sequencing</w:t>
      </w:r>
    </w:p>
    <w:p>
      <w:pPr>
        <w:pStyle w:val="BodyText"/>
      </w:pPr>
      <w:r>
        <w:t xml:space="preserve">Conversion proceeds outward from the first energized 12 Hz generation source:</w:t>
      </w:r>
    </w:p>
    <w:p>
      <w:pPr>
        <w:pStyle w:val="Compact"/>
        <w:numPr>
          <w:ilvl w:val="0"/>
          <w:numId w:val="1002"/>
        </w:numPr>
      </w:pPr>
      <w:r>
        <w:t xml:space="preserve">Convert the corridor connecting the generation source to the nearest major substation.</w:t>
      </w:r>
    </w:p>
    <w:p>
      <w:pPr>
        <w:pStyle w:val="Compact"/>
        <w:numPr>
          <w:ilvl w:val="0"/>
          <w:numId w:val="1002"/>
        </w:numPr>
      </w:pPr>
      <w:r>
        <w:t xml:space="preserve">Install a bus-tie rotary converter at that substation between the new 12 Hz bus and the existing 50 Hz bus.</w:t>
      </w:r>
    </w:p>
    <w:p>
      <w:pPr>
        <w:pStyle w:val="Compact"/>
        <w:numPr>
          <w:ilvl w:val="0"/>
          <w:numId w:val="1002"/>
        </w:numPr>
      </w:pPr>
      <w:r>
        <w:t xml:space="preserve">Convert corridors radiating from the substation, one at a time, using the river diversion method.</w:t>
      </w:r>
    </w:p>
    <w:p>
      <w:pPr>
        <w:pStyle w:val="Compact"/>
        <w:numPr>
          <w:ilvl w:val="0"/>
          <w:numId w:val="1002"/>
        </w:numPr>
      </w:pPr>
      <w:r>
        <w:t xml:space="preserve">As each section converts, its loads transfer to 12 Hz supply. The 50 Hz domain contracts; the 12 Hz domain expands.</w:t>
      </w:r>
    </w:p>
    <w:p>
      <w:pPr>
        <w:pStyle w:val="Compact"/>
        <w:numPr>
          <w:ilvl w:val="0"/>
          <w:numId w:val="1002"/>
        </w:numPr>
      </w:pPr>
      <w:r>
        <w:t xml:space="preserve">Move bus-tie converters and temporary conductor stock progressively outward as the conversion front advances.</w:t>
      </w:r>
    </w:p>
    <w:p>
      <w:pPr>
        <w:pStyle w:val="FirstParagraph"/>
      </w:pPr>
      <w:r>
        <w:t xml:space="preserve">The conversion front moves through the network like a wave, with a clear boundary between the converted and unconverted domains at each stage. At no point does the entire grid undergo simultaneous disruption. Each converted section begins delivering the benefits of the 12 Hz architecture immediately upon energization.</w:t>
      </w:r>
    </w:p>
    <w:p>
      <w:pPr>
        <w:pStyle w:val="BodyText"/>
      </w:pPr>
      <w:r>
        <w:rPr>
          <w:b/>
          <w:bCs/>
        </w:rPr>
        <w:t xml:space="preserve">A.6 Outage Budget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Corridor type</w:t>
            </w:r>
          </w:p>
        </w:tc>
        <w:tc>
          <w:tcPr/>
          <w:p>
            <w:pPr>
              <w:pStyle w:val="Compact"/>
              <w:jc w:val="left"/>
            </w:pPr>
            <w:r>
              <w:t xml:space="preserve">Bypass method</w:t>
            </w:r>
          </w:p>
        </w:tc>
        <w:tc>
          <w:tcPr/>
          <w:p>
            <w:pPr>
              <w:pStyle w:val="Compact"/>
              <w:jc w:val="left"/>
            </w:pPr>
            <w:r>
              <w:t xml:space="preserve">Outage per section</w:t>
            </w:r>
          </w:p>
        </w:tc>
      </w:tr>
      <w:tr>
        <w:tc>
          <w:tcPr/>
          <w:p>
            <w:pPr>
              <w:pStyle w:val="Compact"/>
              <w:jc w:val="left"/>
            </w:pPr>
            <w:r>
              <w:t xml:space="preserve">Non-critical, single circuit</w:t>
            </w:r>
          </w:p>
        </w:tc>
        <w:tc>
          <w:tcPr/>
          <w:p>
            <w:pPr>
              <w:pStyle w:val="Compact"/>
              <w:jc w:val="left"/>
            </w:pPr>
            <w:r>
              <w:t xml:space="preserve">Direct switchover</w:t>
            </w:r>
          </w:p>
        </w:tc>
        <w:tc>
          <w:tcPr/>
          <w:p>
            <w:pPr>
              <w:pStyle w:val="Compact"/>
              <w:jc w:val="left"/>
            </w:pPr>
            <w:r>
              <w:t xml:space="preserve">4–8 hours</w:t>
            </w:r>
          </w:p>
        </w:tc>
      </w:tr>
      <w:tr>
        <w:tc>
          <w:tcPr/>
          <w:p>
            <w:pPr>
              <w:pStyle w:val="Compact"/>
              <w:jc w:val="left"/>
            </w:pPr>
            <w:r>
              <w:t xml:space="preserve">Critical, double-circuit towers</w:t>
            </w:r>
          </w:p>
        </w:tc>
        <w:tc>
          <w:tcPr/>
          <w:p>
            <w:pPr>
              <w:pStyle w:val="Compact"/>
              <w:jc w:val="left"/>
            </w:pPr>
            <w:r>
              <w:t xml:space="preserve">One circuit as bypass</w:t>
            </w:r>
          </w:p>
        </w:tc>
        <w:tc>
          <w:tcPr/>
          <w:p>
            <w:pPr>
              <w:pStyle w:val="Compact"/>
              <w:jc w:val="left"/>
            </w:pPr>
            <w:r>
              <w:t xml:space="preserve">Zero</w:t>
            </w:r>
          </w:p>
        </w:tc>
      </w:tr>
      <w:tr>
        <w:tc>
          <w:tcPr/>
          <w:p>
            <w:pPr>
              <w:pStyle w:val="Compact"/>
              <w:jc w:val="left"/>
            </w:pPr>
            <w:r>
              <w:t xml:space="preserve">Critical, single circuit</w:t>
            </w:r>
          </w:p>
        </w:tc>
        <w:tc>
          <w:tcPr/>
          <w:p>
            <w:pPr>
              <w:pStyle w:val="Compact"/>
              <w:jc w:val="left"/>
            </w:pPr>
            <w:r>
              <w:t xml:space="preserve">Temporary bypass conductor</w:t>
            </w:r>
          </w:p>
        </w:tc>
        <w:tc>
          <w:tcPr/>
          <w:p>
            <w:pPr>
              <w:pStyle w:val="Compact"/>
              <w:jc w:val="left"/>
            </w:pPr>
            <w:r>
              <w:t xml:space="preserve">Zero</w:t>
            </w:r>
          </w:p>
        </w:tc>
      </w:tr>
      <w:tr>
        <w:tc>
          <w:tcPr/>
          <w:p>
            <w:pPr>
              <w:pStyle w:val="Compact"/>
              <w:jc w:val="left"/>
            </w:pPr>
            <w:r>
              <w:t xml:space="preserve">Distribution (sub-transmission)</w:t>
            </w:r>
          </w:p>
        </w:tc>
        <w:tc>
          <w:tcPr/>
          <w:p>
            <w:pPr>
              <w:pStyle w:val="Compact"/>
              <w:jc w:val="left"/>
            </w:pPr>
            <w:r>
              <w:t xml:space="preserve">Direct switchover at substation</w:t>
            </w:r>
          </w:p>
        </w:tc>
        <w:tc>
          <w:tcPr/>
          <w:p>
            <w:pPr>
              <w:pStyle w:val="Compact"/>
              <w:jc w:val="left"/>
            </w:pPr>
            <w:r>
              <w:t xml:space="preserve">2–4 hours</w:t>
            </w:r>
          </w:p>
        </w:tc>
      </w:tr>
      <w:tr>
        <w:tc>
          <w:tcPr/>
          <w:p>
            <w:pPr>
              <w:pStyle w:val="Compact"/>
              <w:jc w:val="left"/>
            </w:pPr>
            <w:r>
              <w:t xml:space="preserve">Consumer service (new 600V tier)</w:t>
            </w:r>
          </w:p>
        </w:tc>
        <w:tc>
          <w:tcPr/>
          <w:p>
            <w:pPr>
              <w:pStyle w:val="Compact"/>
              <w:jc w:val="left"/>
            </w:pPr>
            <w:r>
              <w:t xml:space="preserve">New installation, not conversion</w:t>
            </w:r>
          </w:p>
        </w:tc>
        <w:tc>
          <w:tcPr/>
          <w:p>
            <w:pPr>
              <w:pStyle w:val="Compact"/>
              <w:jc w:val="left"/>
            </w:pPr>
            <w:r>
              <w:t xml:space="preserve">Zero</w:t>
            </w:r>
          </w:p>
        </w:tc>
      </w:tr>
    </w:tbl>
    <w:p>
      <w:pPr>
        <w:pStyle w:val="BodyText"/>
      </w:pPr>
      <w:r>
        <w:t xml:space="preserve">The consumer service tier (600V-class) is typically a new installation rather than a conversion of existing low-voltage circuits. New 600V-class transformers and conductors serve areas that previously had unreliable or no service. Existing consumers continue receiving 50 Hz through a local frequency converter at the distribution substation until their service is upgraded, providing backward compatibility during the transition.</w:t>
      </w:r>
    </w:p>
    <w:p>
      <w:pPr>
        <w:pStyle w:val="BodyText"/>
      </w:pPr>
      <w:r>
        <w:rPr>
          <w:b/>
          <w:bCs/>
        </w:rPr>
        <w:t xml:space="preserve">A.7 Temporary Conductor Accounting</w:t>
      </w:r>
    </w:p>
    <w:p>
      <w:pPr>
        <w:pStyle w:val="BodyText"/>
      </w:pPr>
      <w:r>
        <w:t xml:space="preserve">The temporary conductor stock is a capital asset, not a consumable cost. Aluminium ACSR conductor is pulled down, respooled, transported, and restrung at the next section. A single set sufficient for the longest corridor section in the network serves the entire national conversion over the multi-year program, then becomes permanent inventory for emergency restoration, network extension, or export to the next country that adopts 12 Hz.</w:t>
      </w:r>
    </w:p>
    <w:p>
      <w:pPr>
        <w:pStyle w:val="BodyText"/>
      </w:pPr>
      <w:r>
        <w:t xml:space="preserve">Decommissioned 50 Hz transformers yield recoverable copper and steel. Copper from windings is remelted and drawn into wire for new 12 Hz transformers or sold as commodity metal. Core steel from conventional GOES-core transformers is recycled as structural material. This material recovery partially offsets the cost of new 12 Hz equipment and ensures nothing is wasted in the conversion process.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Breaking the Grid Chokehold: 12 Hz Architecture for Autonomous Infrastructure and Rapid Deployment</dc:title>
  <dc:creator>David Walther</dc:creator>
  <cp:keywords/>
  <dcterms:created xsi:type="dcterms:W3CDTF">2026-04-28T10:36:36Z</dcterms:created>
  <dcterms:modified xsi:type="dcterms:W3CDTF">2026-04-28T10:36:36Z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mainfont">
    <vt:lpwstr>Liberation Serif</vt:lpwstr>
  </property>
  <property fmtid="{D5CDD505-2E9C-101B-9397-08002B2CF9AE}" pid="4" name="monofont">
    <vt:lpwstr>Liberation Mono</vt:lpwstr>
  </property>
  <property fmtid="{D5CDD505-2E9C-101B-9397-08002B2CF9AE}" pid="5" name="sansfont">
    <vt:lpwstr>Liberation Sans</vt:lpwstr>
  </property>
  <property fmtid="{D5CDD505-2E9C-101B-9397-08002B2CF9AE}" pid="6" name="subtitle">
    <vt:lpwstr>Revision 4 — Proven Technology, Local Manufacturing, National Sovereignty</vt:lpwstr>
  </property>
</Properties>
</file>