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they imagined gods and monsters. They have something to say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Everyone in AI is asking the same question: how do we make transformers smarter? Bigger models, more parameters, longer context windows, better data. The assumption is that intelligence is a scaling problem, that if you make the brain big enough it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is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 do none of those things. It produces a confident reconstruction from lossy memory, and if the reconstruction is wrong, it has no mechanism to discover that. No door to go back and check.</w:t>
      </w:r>
    </w:p>
    <w:p>
      <w:pPr>
        <w:pStyle w:val="BodyText"/>
      </w:pPr>
      <w:r>
        <w:t xml:space="preserve">The entire history of intelligence, biological and cultural and civilizational,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or the neural network in the artificial case,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and about what it would mean to build the full architecture in silicon.</w:t>
      </w:r>
    </w:p>
    <w:p>
      <w:r>
        <w:pict>
          <v:rect style="width:0;height:1.5pt" o:hralign="center" o:hrstd="t" o:hr="t"/>
        </w:pict>
      </w:r>
    </w:p>
    <w:bookmarkStart w:id="144"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co-founder of OpenAI and former Director of AI at Tesla, posted a tweet describing a personal knowledge system he’d been using for his own research.</w:t>
      </w:r>
      <w:r>
        <w:rPr>
          <w:rStyle w:val="FootnoteReference"/>
        </w:rPr>
        <w:footnoteReference w:id="11"/>
      </w:r>
      <w:r>
        <w:t xml:space="preserve"> </w:t>
      </w:r>
      <w:r>
        <w:t xml:space="preserve">The tweet went viral, over sixteen million views in the first week. It describes a three-folder markdown architecture, built in Obsidian. Raw sources are stored append-only and unchanged: the scroll that doesn’t change (Chapter 2). An LLM compiles them into a structured, interlinked wiki with backlinks and cross-references: multi-level structural encoding (Chapter 4). Periodic</w:t>
      </w:r>
      <w:r>
        <w:t xml:space="preserve"> </w:t>
      </w:r>
      <w:r>
        <w:t xml:space="preserve">“lint passes”</w:t>
      </w:r>
      <w:r>
        <w:t xml:space="preserve"> </w:t>
      </w:r>
      <w:r>
        <w:t xml:space="preserve">scan the wiki for contradictions, gaps, and stale claims: adversarial verification (Chapter 5). No vector database. No retrieval-augmented generation. Just plain files in folders, organized by structure rather than embedding similarity. Karpathy had independently reinvented three of the six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of wings, rooms, halls, and drawers, the way the Greeks organized human memory two thousand years ago: by place, not by keyword. Source conversations are stored verbatim rather than summarized: the scroll that doesn’t change (Chapter 2). The spatial hierarchy is not decorative. Metaphor is the compression technology at the root of every technique this book describes,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the highest results recorded for a free memory framework.</w:t>
      </w:r>
    </w:p>
    <w:p>
      <w:pPr>
        <w:pStyle w:val="BodyText"/>
      </w:pPr>
      <w:r>
        <w:t xml:space="preserve">Neither had read this book. Neither had consulted the other. They converged on pieces of the same architecture for the same reason every civilization in Chapter 5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in Greece, in Israel, in Scandinavia, in India,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the pun and the layered metaphor and the densely constrained verse,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4,</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5,</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the systematic inversion of symbolic encodings by rival traditions, requires the full distributed-verification architecture that every surviving knowledge tradition independently developed.</w:t>
      </w:r>
    </w:p>
    <w:p>
      <w:pPr>
        <w:pStyle w:val="BodyText"/>
      </w:pPr>
      <w:r>
        <w:t xml:space="preserve">Chapter 6,</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which can’t be symbolically inverted, which has no tribal loyalty, which reads the same on every thermometer, is the incorruptible foundation the entire stack rests on.</w:t>
      </w:r>
    </w:p>
    <w:p>
      <w:pPr>
        <w:pStyle w:val="BodyText"/>
      </w:pPr>
      <w:r>
        <w:t xml:space="preserve">An appendix,</w:t>
      </w:r>
      <w:r>
        <w:t xml:space="preserve"> </w:t>
      </w:r>
      <w:r>
        <w:t xml:space="preserve">“The Recovered Word,”</w:t>
      </w:r>
      <w:r>
        <w:t xml:space="preserve"> </w:t>
      </w:r>
      <w:r>
        <w:t xml:space="preserve">works the whole argument through as a single connected example. It takes four ancient texts from four unconnected cultures, Beowulf, the Homeric epics, the Rigveda, and the Hebrew Bible, and shows the machinery of Chapters 3 and 4 running on real material: the poetic structure preserving something the carriers themselves had lost, whether a historical event, a dead pronunciation, a forgotten meaning, or an obsolete grammar,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
          <w:iCs/>
        </w:rPr>
        <w:t xml:space="preserve">The denser the intelligence, the more architecture it needs around it to keep it sane,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computer scientists working at the intersection of formal language theory and machine learning,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that is, one complete cycle of the network processing an input and producing an output,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not when deterministic silicon is sitting right there. A transformer executing assembly language instructions autoregressively, meaning it generates each output one step at a time, feeding each result back as input for the next step,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the counter is the rigid surface the cook’s muscles work against, handling the geometry of compression that the brain would otherwise have to calculate. A bricklayer uses a string line to keep courses level,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the billions of numerical parameters that encode everything the model has learned, adjusted during training and frozen afterward,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or has been deliberately falsified,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only in the relationship between them.</w:t>
      </w:r>
    </w:p>
    <w:p>
      <w:pPr>
        <w:pStyle w:val="BodyText"/>
      </w:pPr>
      <w:r>
        <w:t xml:space="preserve">For the architecture, this distinction has a hard engineering consequence. Sensors alone give you grounded knowledge, passive calibration of representations against reality. Sensors plus actuators give you embodied intelligence,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the crackle tells you about shielding gas coverage, penetration, heat input. A baker watches the dough but also feels it,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but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he’s also a programmer and Torah scholar,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6"/>
      </w:r>
      <w:r>
        <w:t xml:space="preserve"> </w:t>
      </w:r>
      <w:r>
        <w:t xml:space="preserve">Then he hit on something that worked. Before a speech, he would take a walk through the town where he was performing, and mentally place each section of his lecture at a specific landmark along the route: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7"/>
      </w:r>
      <w:r>
        <w:t xml:space="preserve"> </w:t>
      </w:r>
      <w:r>
        <w:t xml:space="preserve">It has worked for thousands of years because human spatial memory is vastly more robust than verbal memory. The hippocampus, the brain’s spatial navigation system,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28"/>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29"/>
      </w:r>
    </w:p>
    <w:p>
      <w:pPr>
        <w:pStyle w:val="BodyText"/>
      </w:pPr>
      <w:r>
        <w:t xml:space="preserve">This is the same principle as the speech walk but halfway toward something simpler,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0"/>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Egypt, Mesopotamia, Yemen, the Mediterranean coast,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31"/>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“singing caravans”</w:t>
      </w:r>
      <w:r>
        <w:t xml:space="preserve"> </w:t>
      </w:r>
      <w:r>
        <w:t xml:space="preserve">of Arabia, they heard only the story the poem told and set about translating that: the narrative, the words. They discarded the meter as ornament. But the meter</w:t>
      </w:r>
      <w:r>
        <w:t xml:space="preserve"> </w:t>
      </w:r>
      <w:r>
        <w:rPr>
          <w:i/>
          <w:iCs/>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once the carriers have forgotten,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2"/>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4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3"/>
      </w:r>
      <w:r>
        <w:t xml:space="preserve"> </w:t>
      </w:r>
      <w:r>
        <w:t xml:space="preserve">When you know where you are in a piece of music, when you feel a resolution approaching, anticipate the return of the theme,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4"/>
      </w:r>
      <w:r>
        <w:t xml:space="preserve"> </w:t>
      </w:r>
      <w:r>
        <w:t xml:space="preserve">This is state-dependent memory, well established experimentally.</w:t>
      </w:r>
      <w:r>
        <w:rPr>
          <w:rStyle w:val="FootnoteReference"/>
        </w:rPr>
        <w:footnoteReference w:id="35"/>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4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and most of this book, follows from. When a large language model is trained, it processes hundreds of billions of text fragments and distills the statistical patterns it finds into a set of numerical parameters called weights, typically billions of them, each a single number, collectively encoding everything the model</w:t>
      </w:r>
      <w:r>
        <w:t xml:space="preserve"> </w:t>
      </w:r>
      <w:r>
        <w:t xml:space="preserve">“knows.”</w:t>
      </w:r>
      <w:r>
        <w:rPr>
          <w:rStyle w:val="FootnoteReference"/>
        </w:rPr>
        <w:footnoteReference w:id="36"/>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but that’s because we’ve been doing it for so long that we’ve forgotten it’s a technology.</w:t>
      </w:r>
    </w:p>
    <w:p>
      <w:pPr>
        <w:pStyle w:val="BodyText"/>
      </w:pPr>
      <w:r>
        <w:t xml:space="preserve">Cave paintings, clay tablets, cuneiform, scrolls, codices, printed books, filing cabinets, databases, the entire history of writing is the history of not trusting neural memory for precision work.</w:t>
      </w:r>
      <w:r>
        <w:rPr>
          <w:rStyle w:val="FootnoteReference"/>
        </w:rPr>
        <w:footnoteReference w:id="37"/>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38"/>
      </w:r>
      <w:r>
        <w:t xml:space="preserve"> </w:t>
      </w:r>
      <w:r>
        <w:t xml:space="preserve">Writing began not as literature but as accounting, as an error-correction mechanism for the brain’s unreliable storage of precise quantities.</w:t>
      </w:r>
    </w:p>
    <w:p>
      <w:pPr>
        <w:pStyle w:val="BodyText"/>
      </w:pPr>
      <w:r>
        <w:t xml:space="preserve">Large language models are in the pre-literate stage. They have the neural component, an impressive one, far surpassing any single human’s ability to compress and retrieve textual patterns,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an SSD, in the terminology we established in Chapter 1, containing their actual training data. Not embeddings: not the compressed vector representations that retrieval systems currently use.</w:t>
      </w:r>
      <w:r>
        <w:rPr>
          <w:rStyle w:val="FootnoteReference"/>
        </w:rPr>
        <w:footnoteReference w:id="39"/>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which it will, because the internet is full of contradictions.</w:t>
      </w:r>
      <w:r>
        <w:rPr>
          <w:rStyle w:val="FootnoteReference"/>
        </w:rPr>
        <w:footnoteReference w:id="40"/>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5.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1"/>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2"/>
      </w:r>
    </w:p>
    <w:p>
      <w:pPr>
        <w:pStyle w:val="BodyText"/>
      </w:pPr>
      <w:r>
        <w:t xml:space="preserve">It works, within limits. Here’s how: you store documents in a vector database, a system that converts text into numerical representations and finds documents that are mathematically</w:t>
      </w:r>
      <w:r>
        <w:t xml:space="preserve"> </w:t>
      </w:r>
      <w:r>
        <w:t xml:space="preserve">“close to”</w:t>
      </w:r>
      <w:r>
        <w:t xml:space="preserve"> </w:t>
      </w:r>
      <w:r>
        <w:t xml:space="preserve">a query. At inference time, the moment the model is generating a response;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3"/>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4"/>
      </w:r>
    </w:p>
    <w:p>
      <w:pPr>
        <w:pStyle w:val="BodyText"/>
      </w:pPr>
      <w:r>
        <w:t xml:space="preserve">The problem becomes clearer when you map it against how biological memory actually works. Cognitive scientists have long distinguished between short-term memory, medium-term memory, and long-term memory, three systems with different capacities, different persistence, and different roles in cognition.</w:t>
      </w:r>
      <w:r>
        <w:rPr>
          <w:rStyle w:val="FootnoteReference"/>
        </w:rPr>
        <w:footnoteReference w:id="45"/>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and they suffer from exactly the same lossiness and drift that biological long-term memory does.</w:t>
      </w:r>
    </w:p>
    <w:p>
      <w:pPr>
        <w:pStyle w:val="BodyText"/>
      </w:pPr>
      <w:r>
        <w:t xml:space="preserve">Medium-term memory sits between the two. In a biological brain, this is something like the consolidation process,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none of which is guaranteed.</w:t>
      </w:r>
    </w:p>
    <w:p>
      <w:pPr>
        <w:pStyle w:val="BodyText"/>
      </w:pPr>
      <w:r>
        <w:t xml:space="preserve">There is also a structural consequence of RAG’s design that is worth noting here, though we’ll return to it in Chapter 5. Because RAG leaves the weights untouched, whoever controlled the original training run controls what the model fundamentally believes. Users can add context at the surface, can tape new notes to the phone case, but they cannot change the number that’s already in the model’s head. The deep assumptions, the baseline biases, the frame through which the model interprets everything it reads, including the documents RAG retrieves, all of this is set at training time and frozen afterward. RAG gives users the feeling of customization while leaving the foundation immovable. This may be an accidental consequence of engineering convenience,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not by forbidding their use, but by monopolizing the production process and offering the outputs as a service. You could buy the land survey. You could not train your own surveyor. The training run is the modern temple. The API is the service window. We’ll return to this in Chapter 5.</w:t>
      </w:r>
    </w:p>
    <w:p>
      <w:pPr>
        <w:pStyle w:val="BodyText"/>
      </w:pPr>
      <w:r>
        <w:t xml:space="preserve">What’s actually needed is corrective retraining, the mechanism that moves knowledge from the external store into the weights, the way sleep consolidation moves recent experience into long-term memory.</w:t>
      </w:r>
      <w:r>
        <w:rPr>
          <w:rStyle w:val="FootnoteReference"/>
        </w:rPr>
        <w:footnoteReference w:id="46"/>
      </w:r>
      <w:r>
        <w:t xml:space="preserve"> </w:t>
      </w:r>
      <w:r>
        <w:t xml:space="preserve">The model operates in the world: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the important thing is that the error is detected and localized. The model then goes back to the precise source data on the SSD and retrains on that specific material. Not a full retraining run: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the error signal is what gives the correction its precision.</w:t>
      </w:r>
      <w:r>
        <w:rPr>
          <w:rStyle w:val="FootnoteReference"/>
        </w:rPr>
        <w:footnoteReference w:id="47"/>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though that can happen too. Wrong in the sense that the source data you retrained on was itself misleading, in a way you could only discover later through further experience or new cross-references. You went back to the document, re-studied it, updated your understanding,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not forgetting old knowledge when learning new knowledge, but incorporating bad corrections that can never be un-corrected because the pre-correction state has been overwritten.</w:t>
      </w:r>
      <w:r>
        <w:rPr>
          <w:rStyle w:val="FootnoteReference"/>
        </w:rPr>
        <w:footnoteReference w:id="48"/>
      </w:r>
    </w:p>
    <w:p>
      <w:pPr>
        <w:pStyle w:val="BodyText"/>
      </w:pPr>
      <w:r>
        <w:t xml:space="preserve">The SSD changes this. Because the source data is still there, unmodified, the model can always go back. Not to the previous state of its weights, that’s gone. But to the source material from which the weights were derived. It returns to the same text with new context, new experiences, new information, new cross-references that weren’t available during the first correction,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49"/>
      </w:r>
    </w:p>
    <w:p>
      <w:pPr>
        <w:pStyle w:val="BodyText"/>
      </w:pPr>
      <w:r>
        <w:t xml:space="preserve">This is not because the text has changed. The text is emphatically, obsessively unchanged, the Masoretic tradition, which we’ll discuss in Chapter 5, devoted centuries of effort to ensuring that not a single letter was altered.</w:t>
      </w:r>
      <w:r>
        <w:rPr>
          <w:rStyle w:val="FootnoteReference"/>
        </w:rPr>
        <w:footnoteReference w:id="50"/>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your changed self, and new understanding emerges from the mismatch between what you currently believe and what the text actually says. The text is the SSD. Your understanding is the weights. The meditation is the retraining run. And because the text doesn’t change, you can always return to it, next week, next year, next decade, with an even more refined context, generating an even more accurate reading.</w:t>
      </w:r>
    </w:p>
    <w:p>
      <w:pPr>
        <w:pStyle w:val="BodyText"/>
      </w:pPr>
      <w:r>
        <w:t xml:space="preserve">This is impossible without the external store. Without it, the model is like a scholar who burned their library,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the structural encoding of Chapters 3 and 4, the adversarial verification of Chapter 5, the iterative loop of Chapter 6, rests on these two layers. Without the body, you can’t check claims against physical reality. Without the notebook, you can’t check claims against recorded sources. Without either, you’re a brain in a jar with a bad memory; which is a fair description of a large language model in 2025.</w:t>
      </w:r>
    </w:p>
    <w:p>
      <w:pPr>
        <w:pStyle w:val="BodyText"/>
      </w:pPr>
      <w:r>
        <w:t xml:space="preserve">The next chapter is about what happens when you need to transmit knowledge not just across time but across minds, across generations of readers, each with their own biases, each with their own lossy compression. The body and the notebook solve the problem of one intelligence correcting itself.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51"/>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the more internal echoes woven into each line,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the error-correction algorithms used in everything from deep-space communication to QR codes.</w:t>
      </w:r>
      <w:r>
        <w:rPr>
          <w:rStyle w:val="FootnoteReference"/>
        </w:rPr>
        <w:footnoteReference w:id="52"/>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53"/>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the memory palace, is a metaphor: abstract knowledge</w:t>
      </w:r>
      <w:r>
        <w:t xml:space="preserve"> </w:t>
      </w:r>
      <w:r>
        <w:rPr>
          <w:i/>
          <w:iCs/>
        </w:rPr>
        <w:t xml:space="preserve">is</w:t>
      </w:r>
      <w:r>
        <w:t xml:space="preserve"> </w:t>
      </w:r>
      <w:r>
        <w:t xml:space="preserve">a room you walk through, a path you walk along. And almost all prophetic vision, the medium through which the ancient world claimed to receive its densest knowledge,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
          <w:iCs/>
        </w:rPr>
        <w:t xml:space="preserve">feels</w:t>
      </w:r>
      <w:r>
        <w:t xml:space="preserve"> </w:t>
      </w:r>
      <w:r>
        <w:t xml:space="preserve">old. It radiates depth,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“distance and a great abyss of time,”</w:t>
      </w:r>
      <w:r>
        <w:t xml:space="preserve"> </w:t>
      </w:r>
      <w:r>
        <w:t xml:space="preserve">and he argued they were kept and retold partly</w:t>
      </w:r>
      <w:r>
        <w:t xml:space="preserve"> </w:t>
      </w:r>
      <w:r>
        <w:rPr>
          <w:i/>
          <w:iCs/>
        </w:rPr>
        <w:t xml:space="preserve">because</w:t>
      </w:r>
      <w:r>
        <w:t xml:space="preserve"> </w:t>
      </w:r>
      <w:r>
        <w:t xml:space="preserve">they produced it. His image was the Cauldron of Story,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
          <w:iCs/>
        </w:rPr>
        <w:t xml:space="preserve">tells</w:t>
      </w:r>
      <w:r>
        <w:t xml:space="preserve">, mounds made of the collapsed cities beneath them,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
          <w:iCs/>
        </w:rPr>
        <w:t xml:space="preserve">counterfeit</w:t>
      </w:r>
      <w:r>
        <w:t xml:space="preserve"> </w:t>
      </w:r>
      <w:r>
        <w:t xml:space="preserve">it. A skilled reciter can produce the surface signature of antiquity, the weathered diction, the allusive aside, the authoritative music, with nothing underneath. This is precisely the danger Taliesin warns against: the unlucky bard who has mastered the form and lost the grounding, who</w:t>
      </w:r>
      <w:r>
        <w:t xml:space="preserve"> </w:t>
      </w:r>
      <w:r>
        <w:t xml:space="preserve">“cannot judge between truth and falsehood”</w:t>
      </w:r>
      <w:r>
        <w:t xml:space="preserve"> </w:t>
      </w:r>
      <w:r>
        <w:t xml:space="preserve">because he can no longer tell his true lines from his fabricated ones. We will meet this figure again, at scale, in the conclusion and in the worked example that follows it,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54"/>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55"/>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56"/>
      </w:r>
      <w:r>
        <w:t xml:space="preserve"> </w:t>
      </w:r>
      <w:r>
        <w:t xml:space="preserve">The poet and the prophet both spoke in structured, compressed, multi-layered language, and both were understood to be doing something fundamentally different from ordinary speech. In Norse culture, the skalds were considered to channel Odin’s mead of poetry, a divine gift. In Greek culture, the poet invoked the Muse,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57"/>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58"/>
      </w:r>
      <w:r>
        <w:t xml:space="preserve"> </w:t>
      </w:r>
      <w:r>
        <w:t xml:space="preserve">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59"/>
      </w:r>
      <w:r>
        <w:t xml:space="preserve"> </w:t>
      </w:r>
      <w:r>
        <w:t xml:space="preserve">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60"/>
      </w:r>
      <w:r>
        <w:t xml:space="preserve"> </w:t>
      </w:r>
      <w:r>
        <w:t xml:space="preserve">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61"/>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it carried an excess of meaning that seemed to come from outside the poet, compressed into forms that could survive transmission across centuries. Whatever one makes of the metaphysics, the engineering observation stands: the structures the ancient world associated with prophecy, the pun, the vision, the densely layered metaphor,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5.</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62"/>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and the greater the need for reality grounding to keep the interpretation calibrated. Sparse encoding is safe. If a word means one thing, you can’t over-read it. But when a word means three things simultaneously, surface meaning, phonetic echo, structural position,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63"/>
      </w:r>
      <w:r>
        <w:t xml:space="preserve"> </w:t>
      </w:r>
      <w:r>
        <w:t xml:space="preserve">This wasn’t mystical gatekeeping. It was an engineering specification. Forty years of embodied experience, of raising children, managing a household, navigating the physical and social world, provided the grounding needed to handle maximally dense symbolic content without losing your footing. The denser the information, the more life experience you need to interpret it safely. Without sufficient grounding, the student doesn’t gain wisdom from the dense encoding;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64"/>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65"/>
      </w:r>
      <w:r>
        <w:t xml:space="preserve"> </w:t>
      </w:r>
      <w:r>
        <w:t xml:space="preserve">The name repays attention.</w:t>
      </w:r>
      <w:r>
        <w:t xml:space="preserve"> </w:t>
      </w:r>
      <w:r>
        <w:rPr>
          <w:i/>
          <w:iCs/>
        </w:rPr>
        <w:t xml:space="preserve">Ta’am</w:t>
      </w:r>
      <w:r>
        <w:t xml:space="preserve"> </w:t>
      </w:r>
      <w:r>
        <w:t xml:space="preserve">means</w:t>
      </w:r>
      <w:r>
        <w:t xml:space="preserve"> </w:t>
      </w:r>
      <w:r>
        <w:t xml:space="preserve">“taste”</w:t>
      </w:r>
      <w:r>
        <w:t xml:space="preserve">, flavor, the thing the tongue reports, and also, in the same breath,</w:t>
      </w:r>
      <w:r>
        <w:t xml:space="preserve"> </w:t>
      </w:r>
      <w:r>
        <w:t xml:space="preserve">“sense,”</w:t>
      </w:r>
      <w:r>
        <w:t xml:space="preserve"> </w:t>
      </w:r>
      <w:r>
        <w:t xml:space="preserve">“discernment,”</w:t>
      </w:r>
      <w:r>
        <w:t xml:space="preserve"> </w:t>
      </w:r>
      <w:r>
        <w:t xml:space="preserve">“good judgment”</w:t>
      </w:r>
      <w:r>
        <w:t xml:space="preserve">; the</w:t>
      </w:r>
      <w:r>
        <w:t xml:space="preserve"> </w:t>
      </w:r>
      <w:r>
        <w:rPr>
          <w:i/>
          <w:iCs/>
        </w:rPr>
        <w:t xml:space="preserve">te’amim</w:t>
      </w:r>
      <w:r>
        <w:t xml:space="preserve"> </w:t>
      </w:r>
      <w:r>
        <w:t xml:space="preserve">are literally</w:t>
      </w:r>
      <w:r>
        <w:t xml:space="preserve"> </w:t>
      </w:r>
      <w:r>
        <w:t xml:space="preserve">“the tastes of the reading.”</w:t>
      </w:r>
      <w:r>
        <w:t xml:space="preserve"> </w:t>
      </w:r>
      <w:r>
        <w:t xml:space="preserve">The naming is not casual. A mark that says</w:t>
      </w:r>
      <w:r>
        <w:t xml:space="preserve"> </w:t>
      </w:r>
      <w:r>
        <w:rPr>
          <w:i/>
          <w:iCs/>
        </w:rPr>
        <w:t xml:space="preserve">ta’am</w:t>
      </w:r>
      <w:r>
        <w:t xml:space="preserve"> </w:t>
      </w:r>
      <w:r>
        <w:t xml:space="preserve">is telling the reader that this word has a flavor to be savored, a sense to be discerned; that there is something here worth slowing down for. Hold that double meaning of taste, flavor fused with judgment; it returns in Chapter 6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66"/>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67"/>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68"/>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
          <w:iCs/>
        </w:rPr>
        <w:t xml:space="preserve">register</w:t>
      </w:r>
      <w:r>
        <w:t xml:space="preserve"> </w:t>
      </w:r>
      <w:r>
        <w:t xml:space="preserve">itself, the special, marked, non-everyday language a tradition reserves for its sacred or heroic material,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69"/>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70"/>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71"/>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72"/>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“stately pleasure-dome”</w:t>
      </w:r>
      <w:r>
        <w:t xml:space="preserve"> </w:t>
      </w:r>
      <w:r>
        <w:t xml:space="preserve">was, by its author’s own account, composed inside an altered state: Coleridge said</w:t>
      </w:r>
      <w:r>
        <w:t xml:space="preserve"> </w:t>
      </w:r>
      <w:r>
        <w:t xml:space="preserve">“Kubla Khan”</w:t>
      </w:r>
      <w:r>
        <w:t xml:space="preserve"> </w:t>
      </w:r>
      <w:r>
        <w:t xml:space="preserve">came to him whole during an opium reverie, a finished vision he was merely transcribing until a knock at the door, the visitor from Porlock, broke the state and the rest of the poem was gone, unrecoverable, because the state that held it had closed.</w:t>
      </w:r>
      <w:r>
        <w:rPr>
          <w:rStyle w:val="FootnoteReference"/>
        </w:rPr>
        <w:footnoteReference w:id="73"/>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“The Rime of the Ancient Mariner,”</w:t>
      </w:r>
      <w:r>
        <w:t xml:space="preserve"> </w:t>
      </w:r>
      <w:r>
        <w:t xml:space="preserve">makes the mechanism its subject. The Mariner fixes the Wedding-Guest with his</w:t>
      </w:r>
      <w:r>
        <w:t xml:space="preserve"> </w:t>
      </w:r>
      <w:r>
        <w:t xml:space="preserve">“glittering eye”</w:t>
      </w:r>
      <w:r>
        <w:t xml:space="preserve"> </w:t>
      </w:r>
      <w:r>
        <w:t xml:space="preserve">and holds him fast, unable to leave, compelled to listen,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Jonathan Edwards preached</w:t>
      </w:r>
      <w:r>
        <w:t xml:space="preserve"> </w:t>
      </w:r>
      <w:r>
        <w:t xml:space="preserve">“Sinners in the Hands of an Angry God”</w:t>
      </w:r>
      <w:r>
        <w:t xml:space="preserve"> </w:t>
      </w:r>
      <w:r>
        <w:t xml:space="preserve">in 1741, the congregation broke down,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74"/>
      </w:r>
      <w:r>
        <w:t xml:space="preserve"> </w:t>
      </w:r>
      <w:r>
        <w:t xml:space="preserve">The state he induced in that room was not carried by performance. It was carried by the structure of the language itself,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
          <w:iCs/>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writing in the seventh and sixth centuries BC,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75"/>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76"/>
      </w:r>
      <w:r>
        <w:t xml:space="preserve"> </w:t>
      </w:r>
      <w:r>
        <w:t xml:space="preserve">Again: visual image, sound, and meaning fused into one token. If any channel is corrupted, if someone changes the image, or garbles the sound, the other channels flag the damage, because the pun no longer works. The wordplay is the checksum. And because symbols encoded this densely are extremely difficult to tamper with, they are also extremely difficult to invert,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even if the surface narrative still read fine. If a word substitution broke an alliterative pattern, the broken pattern flagged the error,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human or artificial,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77"/>
      </w:r>
      <w:r>
        <w:t xml:space="preserve"> </w:t>
      </w:r>
      <w:r>
        <w:t xml:space="preserve">Each recitation mode was an independent integrity check on the others. If the third word in a passage had been corrupted, the continuous recitation might not catch it, but the backward-woven recitation would,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that was the point. It guaranteed the output was a clean derivation from source, not a patched version with potential hidden corruption from the repair itself. Patching is dangerous. A patch fixes the immediate error but may introduce subtle downstream corruption from the repair,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78"/>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“impressive”</w:t>
      </w:r>
      <w:r>
        <w:t xml:space="preserve"> </w:t>
      </w:r>
      <w:r>
        <w:t xml:space="preserve">into</w:t>
      </w:r>
      <w:r>
        <w:t xml:space="preserve"> </w:t>
      </w:r>
      <w:r>
        <w:t xml:space="preserve">“proof.”</w:t>
      </w:r>
      <w:r>
        <w:t xml:space="preserve"> </w:t>
      </w:r>
      <w:r>
        <w:t xml:space="preserve">The transmission is near-perfect: not perfect. A small residue of error exists: the</w:t>
      </w:r>
      <w:r>
        <w:t xml:space="preserve"> </w:t>
      </w:r>
      <w:r>
        <w:rPr>
          <w:i/>
          <w:iCs/>
        </w:rPr>
        <w:t xml:space="preserve">padapatha</w:t>
      </w:r>
      <w:r>
        <w:t xml:space="preserve">, the authoritative word-by-word analysis of the Rigveda, contains a handful of recognized mistakes in how it divides certain run-together forms; different recension schools (</w:t>
      </w:r>
      <w:r>
        <w:rPr>
          <w:i/>
          <w:iCs/>
        </w:rPr>
        <w:t xml:space="preserve">shakhas</w:t>
      </w:r>
      <w:r>
        <w:t xml:space="preserve">) preserve minor variants in accent and, occasionally, in wording; the original text of the Atharvaveda can now only be</w:t>
      </w:r>
      <w:r>
        <w:t xml:space="preserve"> </w:t>
      </w:r>
      <w:r>
        <w:rPr>
          <w:i/>
          <w:iCs/>
        </w:rPr>
        <w:t xml:space="preserve">approximated</w:t>
      </w:r>
      <w:r>
        <w:t xml:space="preserve"> </w:t>
      </w:r>
      <w:r>
        <w:t xml:space="preserve">by comparing two partially corrupted lineages against each other.</w:t>
      </w:r>
      <w:r>
        <w:rPr>
          <w:rStyle w:val="FootnoteReference"/>
        </w:rPr>
        <w:footnoteReference w:id="79"/>
      </w:r>
      <w:r>
        <w:t xml:space="preserve"> </w:t>
      </w:r>
      <w:r>
        <w:t xml:space="preserve">This does not weaken the claim. It is the claim. The errors are known</w:t>
      </w:r>
      <w:r>
        <w:t xml:space="preserve"> </w:t>
      </w:r>
      <w:r>
        <w:rPr>
          <w:i/>
          <w:iCs/>
        </w:rPr>
        <w:t xml:space="preserve">because</w:t>
      </w:r>
      <w:r>
        <w:t xml:space="preserve"> </w:t>
      </w:r>
      <w:r>
        <w:t xml:space="preserve">they are detectable, and they are detectable</w:t>
      </w:r>
      <w:r>
        <w:t xml:space="preserve"> </w:t>
      </w:r>
      <w:r>
        <w:rPr>
          <w:i/>
          <w:iCs/>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
          <w:iCs/>
        </w:rPr>
        <w:t xml:space="preserve">shakha</w:t>
      </w:r>
      <w:r>
        <w:t xml:space="preserve"> </w:t>
      </w:r>
      <w:r>
        <w:t xml:space="preserve">stands out precisely because every other</w:t>
      </w:r>
      <w:r>
        <w:t xml:space="preserve"> </w:t>
      </w:r>
      <w:r>
        <w:rPr>
          <w:i/>
          <w:iCs/>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it lights up against the near-perfect background like a single off-key voice in a hundred-voice chorus. The tiny error rate is not the exception to the system’s fidelity. It is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not just by Western scholars but by the Indian tradition itself.</w:t>
      </w:r>
      <w:r>
        <w:rPr>
          <w:rStyle w:val="FootnoteReference"/>
        </w:rPr>
        <w:footnoteReference w:id="80"/>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critically,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81"/>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words glossed as ritual implements or dismissed as meaningless, and recovered original poetic meanings that the Brahmins themselves had lost centuries ago.</w:t>
      </w:r>
      <w:r>
        <w:rPr>
          <w:rStyle w:val="FootnoteReference"/>
        </w:rPr>
        <w:footnoteReference w:id="82"/>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they cohere with each other, with the metrical structure, and with the known geographical features of the Rigvedic landscape. The structure preserved information it didn’t know it was preserving. Thomson’s new context, her comparative linguistic tools and her willingness to read the text as poetry rather than liturgy,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just as a Reed-Solomon code can reconstruct a corrupted transmission from the redundancy embedded in the original signal. The more garbled the data, the more work the reconstruction requires. But if the encoding was dense enough, if there is enough redundancy in enough independent channels, the original signal can be recovered. The field of comparative and historical linguistics has centuries of accumulated data to draw from, which is itself a kind of SSD, a vast, precise, externally stored record against which individual claims can be checked and refined.</w:t>
      </w:r>
      <w:r>
        <w:rPr>
          <w:rStyle w:val="FootnoteReference"/>
        </w:rPr>
        <w:footnoteReference w:id="83"/>
      </w:r>
    </w:p>
    <w:p>
      <w:pPr>
        <w:pStyle w:val="BodyText"/>
      </w:pPr>
      <w:r>
        <w:t xml:space="preserve">The Veda is not the only text this has happened to, and</w:t>
      </w:r>
      <w:r>
        <w:t xml:space="preserve"> </w:t>
      </w:r>
      <w:r>
        <w:rPr>
          <w:i/>
          <w:iCs/>
        </w:rPr>
        <w:t xml:space="preserve">gravan</w:t>
      </w:r>
      <w:r>
        <w:t xml:space="preserve"> </w:t>
      </w:r>
      <w:r>
        <w:t xml:space="preserve">is not the only kind of thing that can be pulled back out of an old poem. The same recovery, structure preserving what the carriers had lost, until a reader with the right key arrived,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indefinitely,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the centuries-long rabbinical project of legal commentary and debate.</w:t>
      </w:r>
      <w:r>
        <w:rPr>
          <w:rStyle w:val="FootnoteReference"/>
        </w:rPr>
        <w:footnoteReference w:id="84"/>
      </w:r>
      <w:r>
        <w:t xml:space="preserve"> </w:t>
      </w:r>
      <w:r>
        <w:t xml:space="preserve">The tradition called them</w:t>
      </w:r>
      <w:r>
        <w:t xml:space="preserve"> </w:t>
      </w:r>
      <w:r>
        <w:rPr>
          <w:i/>
          <w:iCs/>
        </w:rPr>
        <w:t xml:space="preserve">sinai</w:t>
      </w:r>
      <w:r>
        <w:t xml:space="preserve">, walking Sinais, mountains of knowledge,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85"/>
      </w:r>
      <w:r>
        <w:t xml:space="preserve"> </w:t>
      </w:r>
      <w:r>
        <w:t xml:space="preserve">Both types were valued. But the walking Sinai, the scholar whose memory was so precise that they could function as a living reference library,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because their compression encodings were tighter, their internal models more articulated, for the specific domains they paid attention to? The verbal intelligence that large language models specialize in today is exactly this cognitive profile, the skaldic, rabbinical, lawyerly ability to compress and retrieve structured language with high fidelity. Engineers, meanwhile, are often high in visual-spatial intelligence, seemingly connected to hands-on sensory experience: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the body, the notebook, the poetic structure,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4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a passage deliberately inserted into a text by a later hand,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86"/>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different scribal slips, different marginal glosses that had crept into the main text, different orthographic conventions. But because the copying errors were independent, because no single scribe or scribal school could have coordinated changes across all the traditions simultaneously,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the method by which networks of unreliable computers produce reliable collective outputs.</w:t>
      </w:r>
      <w:r>
        <w:rPr>
          <w:rStyle w:val="FootnoteReference"/>
        </w:rPr>
        <w:footnoteReference w:id="87"/>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the cryptocurrency system designed by the pseudonymous Satoshi Nakamoto in 2008.</w:t>
      </w:r>
      <w:r>
        <w:rPr>
          <w:rStyle w:val="FootnoteReference"/>
        </w:rPr>
        <w:footnoteReference w:id="88"/>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89"/>
      </w:r>
      <w:r>
        <w:t xml:space="preserve"> </w:t>
      </w:r>
      <w:r>
        <w:t xml:space="preserve">These are structural checksums, the same class of integrity verification we discussed in Chapter 3, but applied at the macro level rather than the level of individual verses. Any alteration, no matter how small, a single added letter, a single deleted word,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90"/>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91"/>
      </w:r>
    </w:p>
    <w:p>
      <w:pPr>
        <w:pStyle w:val="BodyText"/>
      </w:pPr>
      <w:r>
        <w:t xml:space="preserve">Every reported saying carries an</w:t>
      </w:r>
      <w:r>
        <w:t xml:space="preserve"> </w:t>
      </w:r>
      <w:r>
        <w:rPr>
          <w:i/>
          <w:iCs/>
        </w:rPr>
        <w:t xml:space="preserve">isnad</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92"/>
      </w:r>
      <w:r>
        <w:t xml:space="preserve"> </w:t>
      </w:r>
      <w:r>
        <w:t xml:space="preserve">A chain with one unreliable link, a transmitter known for poor memory, or a gap where no plausible transmission path exists,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93"/>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94"/>
      </w:r>
    </w:p>
    <w:p>
      <w:pPr>
        <w:pStyle w:val="BodyText"/>
      </w:pPr>
      <w:r>
        <w:t xml:space="preserve">A large language model trained on recent web data has ingested enormous quantities of fabricated material, and it has no mechanism to distinguish this from legitimate content. Every word in its training corpus, true or false, sincere or manufactured, carefully researched or algorithmically generated,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sensory ground truth, as discussed in Chapter 1, or a verified corpus with known provenance,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95"/>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deterministic computation, sensory grounding, precise external memory, multi-level structural encoding, distributed adversarial verification,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96"/>
      </w:r>
      <w:r>
        <w:t xml:space="preserve"> </w:t>
      </w:r>
      <w:r>
        <w:t xml:space="preserve">They controlled not just the knowledge but the infrastructure for producing knowledge, the temples, the instruments, the training pipelines (literally: the decades-long apprenticeship system that produced new priests). An outsider who wanted to challenge their conclusions couldn’t simply check the data,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all produced inside the temple complex, all offered as services to the king and the public, all inaccessible in their raw form to anyone outside the institutional structure.</w:t>
      </w:r>
      <w:r>
        <w:rPr>
          <w:rStyle w:val="FootnoteReference"/>
        </w:rPr>
        <w:footnoteReference w:id="97"/>
      </w:r>
      <w:r>
        <w:t xml:space="preserve"> </w:t>
      </w:r>
      <w:r>
        <w:t xml:space="preserve">The priesthood’s authority rested not on the correctness of their knowledge, which they sometimes got spectacularly wrong, but on their monopoly over the process by which knowledge was produced and verified.</w:t>
      </w:r>
    </w:p>
    <w:p>
      <w:pPr>
        <w:pStyle w:val="BodyText"/>
      </w:pPr>
      <w:r>
        <w:t xml:space="preserve">The distributed traditions, Masoretic, Vedic, hadith, were designed specifically to break this pattern. The Torah wasn’t kept in a temple. Every community had its own scroll. The Vedas weren’t recited by a single priestly lineage, multiple geographically separated lineages maintained independent copies. The hadith weren’t stored in a central archive,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billions of numbers,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these are typically not released. The weights are the compiled binary. The training process is the source code. And the source code is inside the temple.</w:t>
      </w:r>
      <w:r>
        <w:rPr>
          <w:rStyle w:val="FootnoteReference"/>
        </w:rPr>
        <w:footnoteReference w:id="98"/>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admitting the fabrication,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99"/>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4 served two purposes simultaneously, error correction (the same structural redundancy the skalds used) and access control (restricting deeper meanings to those equipped to understand them).</w:t>
      </w:r>
    </w:p>
    <w:p>
      <w:pPr>
        <w:pStyle w:val="BodyText"/>
      </w:pPr>
      <w:r>
        <w:t xml:space="preserve">The prophetic wordplay discussed in Chapter 4, Jeremiah’s</w:t>
      </w:r>
      <w:r>
        <w:t xml:space="preserve"> </w:t>
      </w:r>
      <w:r>
        <w:rPr>
          <w:i/>
          <w:iCs/>
        </w:rPr>
        <w:t xml:space="preserve">shaqed/shoqed</w:t>
      </w:r>
      <w:r>
        <w:t xml:space="preserve">, Amos’s</w:t>
      </w:r>
      <w:r>
        <w:t xml:space="preserve"> </w:t>
      </w:r>
      <w:r>
        <w:rPr>
          <w:i/>
          <w:iCs/>
        </w:rPr>
        <w:t xml:space="preserve">qayits/qets</w:t>
      </w:r>
      <w:r>
        <w:t xml:space="preserve">, belongs to this world. Prophecy and initiatory spiritual experience are deeply connected. The prophetic vision is itself a kind of sensory grounding, direct experiential contact with reality that operates outside the verbal channel, then gets encoded into language using the densest multi-level structure the prophet can manage. The metaphor, the pun, the symbolic image;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itself a small lesson in the fragility of digital provenance), spent years cataloguing the specific inversions between Mesopotamian and Hebrew narratives.</w:t>
      </w:r>
      <w:r>
        <w:rPr>
          <w:rStyle w:val="FootnoteReference"/>
        </w:rPr>
        <w:footnoteReference w:id="100"/>
      </w:r>
      <w:r>
        <w:t xml:space="preserve"> </w:t>
      </w:r>
      <w:r>
        <w:t xml:space="preserve">Building on an observation by Joseph Campbell in</w:t>
      </w:r>
      <w:r>
        <w:t xml:space="preserve"> </w:t>
      </w:r>
      <w:r>
        <w:rPr>
          <w:i/>
          <w:iCs/>
        </w:rPr>
        <w:t xml:space="preserve">The Masks of God: Occidental Mythology</w:t>
      </w:r>
      <w:r>
        <w:t xml:space="preserve">, that the Hebrews employed systematic 180-degree inversions of Mesopotamian motifs, Mattfeld documented the pattern in meticulous detail across his two books.</w:t>
      </w:r>
      <w:r>
        <w:rPr>
          <w:rStyle w:val="FootnoteReference"/>
        </w:rPr>
        <w:footnoteReference w:id="101"/>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who is civilized through sexual encounter with the temple woman Shamhat, becomes Adam, the man placed in the garden of Eden who falls through encounter with Eve.</w:t>
      </w:r>
      <w:r>
        <w:rPr>
          <w:rStyle w:val="FootnoteReference"/>
        </w:rPr>
        <w:footnoteReference w:id="102"/>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motif by motif, character by character, moral valence by moral valence,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when the same word means opposite things in different traditions, and both traditions are represented in your training data,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the gods as exploiters AND God as generous creator,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most importantly,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eyes on the page, words processing,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possibly real discovery, possibly the pattern-recognition engine finding shapes in noise, but worth examining rather than simply following. The discomfort when a text contradicts a belief you hold but haven’t examined, the slight aversion, the impulse to read past the difficult passage quickly,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03"/>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problem-solving, abstraction, pattern recognition,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04"/>
      </w:r>
      <w:r>
        <w:t xml:space="preserve"> </w:t>
      </w:r>
      <w:r>
        <w:t xml:space="preserve">Damasio’s patients are the clinical demonstration. Their intelligence measures were unaffected. Their wisdom, the capacity to navigate practical life with appropriate priorities,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years of emotional responses checked against outcomes, of excitement followed into error, of resistance examined and found to be projection rather than insight. The Kabbalistic forty-year minimum isn’t mysticism. It is a dataset size requirement.</w:t>
      </w:r>
    </w:p>
    <w:p>
      <w:r>
        <w:pict>
          <v:rect style="width:0;height:1.5pt" o:hralign="center" o:hrstd="t" o:hr="t"/>
        </w:pict>
      </w:r>
    </w:p>
    <w:p>
      <w:pPr>
        <w:pStyle w:val="FirstParagraph"/>
      </w:pPr>
      <w:r>
        <w:t xml:space="preserve">So far this channel has been described as a brake, the unease that flags a claim, the resistance that says</w:t>
      </w:r>
      <w:r>
        <w:t xml:space="preserve"> </w:t>
      </w:r>
      <w:r>
        <w:rPr>
          <w:i/>
          <w:iCs/>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
          <w:iCs/>
        </w:rPr>
        <w:t xml:space="preserve">there is something here, dig.</w:t>
      </w:r>
      <w:r>
        <w:t xml:space="preserve"> </w:t>
      </w:r>
      <w:r>
        <w:t xml:space="preserve">The Hebrew tradition had a name for exactly this, and we met it in Chapter 4:</w:t>
      </w:r>
      <w:r>
        <w:t xml:space="preserve"> </w:t>
      </w:r>
      <w:r>
        <w:rPr>
          <w:i/>
          <w:iCs/>
        </w:rPr>
        <w:t xml:space="preserve">ta’am</w:t>
      </w:r>
      <w:r>
        <w:t xml:space="preserve">, taste, the same word for the flavor on the tongue and for the discernment that tells you a text has depth worth pursuing. The cantillation marks, the</w:t>
      </w:r>
      <w:r>
        <w:t xml:space="preserve"> </w:t>
      </w:r>
      <w:r>
        <w:rPr>
          <w:i/>
          <w:iCs/>
        </w:rPr>
        <w:t xml:space="preserve">te’amim</w:t>
      </w:r>
      <w:r>
        <w:t xml:space="preserve">, are literally</w:t>
      </w:r>
      <w:r>
        <w:t xml:space="preserve"> </w:t>
      </w:r>
      <w:r>
        <w:t xml:space="preserve">“the tastes,”</w:t>
      </w:r>
      <w:r>
        <w:t xml:space="preserve"> </w:t>
      </w:r>
      <w:r>
        <w:t xml:space="preserve">and to read with</w:t>
      </w:r>
      <w:r>
        <w:t xml:space="preserve"> </w:t>
      </w:r>
      <w:r>
        <w:rPr>
          <w:i/>
          <w:iCs/>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in an essay called</w:t>
      </w:r>
      <w:r>
        <w:t xml:space="preserve"> </w:t>
      </w:r>
      <w:r>
        <w:t xml:space="preserve">“Taste for Makers,”</w:t>
      </w:r>
      <w:r>
        <w:t xml:space="preserve"> </w:t>
      </w:r>
      <w:r>
        <w:t xml:space="preserve">argues that good taste is real, not arbitrary; that the sense of</w:t>
      </w:r>
      <w:r>
        <w:t xml:space="preserve"> </w:t>
      </w:r>
      <w:r>
        <w:rPr>
          <w:i/>
          <w:iCs/>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05"/>
      </w:r>
      <w:r>
        <w:t xml:space="preserve"> </w:t>
      </w:r>
      <w:r>
        <w:t xml:space="preserve">That is the accelerator described from the maker’s side: a felt signal, cultivated over years against real outcomes, that homes in on quality before you can fully articulate why. Mathematicians live by it. Henri Poincaré, describing his own discoveries, held that the flood of possible combinations the unconscious throws up is sifted by an</w:t>
      </w:r>
      <w:r>
        <w:t xml:space="preserve"> </w:t>
      </w:r>
      <w:r>
        <w:rPr>
          <w:i/>
          <w:iCs/>
        </w:rPr>
        <w:t xml:space="preserve">aesthetic sensibility</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06"/>
      </w:r>
      <w:r>
        <w:t xml:space="preserve"> </w:t>
      </w:r>
      <w:r>
        <w:t xml:space="preserve">The feeling of beauty is the search heuristic. Working mathematicians report hunting for exactly this sensation, the click, the sense that a result is true and worth proving, and following it, then supplying the rigor afterward. The taste comes first; the proof confirms.</w:t>
      </w:r>
    </w:p>
    <w:p>
      <w:pPr>
        <w:pStyle w:val="BodyText"/>
      </w:pPr>
      <w:r>
        <w:t xml:space="preserve">And then there is the case that looks like the search being skipped, and is the opposite of it. Srinivasa Ramanujan produced results so strange and so deep that G. H. Hardy said they</w:t>
      </w:r>
      <w:r>
        <w:t xml:space="preserve"> </w:t>
      </w:r>
      <w:r>
        <w:rPr>
          <w:i/>
          <w:iCs/>
        </w:rPr>
        <w:t xml:space="preserve">must</w:t>
      </w:r>
      <w:r>
        <w:t xml:space="preserve"> </w:t>
      </w:r>
      <w:r>
        <w:t xml:space="preserve">be true, because no one would have had the imagination to invent them if they were false, and Ramanujan attributed them not to labor but to revelation: the goddess Namagiri, he said, revealed the formulas to him in dreams, and he woke and wrote down what he had been shown.</w:t>
      </w:r>
      <w:r>
        <w:rPr>
          <w:rStyle w:val="FootnoteReference"/>
        </w:rPr>
        <w:footnoteReference w:id="107"/>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the part of his own mind that had become fluent enough to work without his supervision, and which he therefore experienced as</w:t>
      </w:r>
      <w:r>
        <w:t xml:space="preserve"> </w:t>
      </w:r>
      <w:r>
        <w:rPr>
          <w:i/>
          <w:iCs/>
        </w:rPr>
        <w:t xml:space="preserve">other</w:t>
      </w:r>
      <w:r>
        <w:t xml:space="preserve">, as a voice rather than an effort. This is the same faculty described in Chapter 3, at the far end of its range: the pattern-recognition engine so saturated with structure that insight arrives finished, feeling received rather than constructed. But it was built, not bestowed. The revelation was the interest on an enormous principal of work;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it is the richest possible</w:t>
      </w:r>
      <w:r>
        <w:t xml:space="preserve"> </w:t>
      </w:r>
      <w:r>
        <w:rPr>
          <w:i/>
          <w:iCs/>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the maker’s taste, the mathematician’s nose, the deeply internalized search,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08"/>
      </w:r>
      <w:r>
        <w:t xml:space="preserve"> </w:t>
      </w:r>
      <w:r>
        <w:t xml:space="preserve">Eric Raymond, writing for people who want to acquire the craft, gives the mechanism concretely: you learn to program the way you learn to write prose, read work by masters, produce your own, read more, produce more, and repeat until your own work</w:t>
      </w:r>
      <w:r>
        <w:t xml:space="preserve"> </w:t>
      </w:r>
      <w:r>
        <w:t xml:space="preserve">“begins to develop the kind of strength and economy you see in your models,”</w:t>
      </w:r>
      <w:r>
        <w:t xml:space="preserve"> </w:t>
      </w:r>
      <w:r>
        <w:t xml:space="preserve">imitating the masters’ mind-set until you have made it your own.</w:t>
      </w:r>
      <w:r>
        <w:rPr>
          <w:rStyle w:val="FootnoteReference"/>
        </w:rPr>
        <w:footnoteReference w:id="109"/>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“seeing”</w:t>
      </w:r>
      <w:r>
        <w:t xml:space="preserve"> </w:t>
      </w:r>
      <w:r>
        <w:t xml:space="preserve">or</w:t>
      </w:r>
      <w:r>
        <w:t xml:space="preserve"> </w:t>
      </w:r>
      <w:r>
        <w:t xml:space="preserve">“hearing”</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10"/>
      </w:r>
      <w:r>
        <w:t xml:space="preserve"> </w:t>
      </w:r>
      <w:r>
        <w:t xml:space="preserve">A few discriminations are wired in from birth, mostly the survival-critical ones: the face, the looming object, the edge of the drop, the reek of rot,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“by reason of use,”</w:t>
      </w:r>
      <w:r>
        <w:t xml:space="preserve"> </w:t>
      </w:r>
      <w:r>
        <w:t xml:space="preserve">has</w:t>
      </w:r>
      <w:r>
        <w:t xml:space="preserve"> </w:t>
      </w:r>
      <w:r>
        <w:t xml:space="preserve">“their senses exercised to discern both good and evil.”</w:t>
      </w:r>
      <w:r>
        <w:rPr>
          <w:rStyle w:val="FootnoteReference"/>
        </w:rPr>
        <w:footnoteReference w:id="111"/>
      </w:r>
      <w:r>
        <w:t xml:space="preserve"> </w:t>
      </w:r>
      <w:r>
        <w:t xml:space="preserve">The Greek is sharper than the English carries. The word for</w:t>
      </w:r>
      <w:r>
        <w:t xml:space="preserve"> </w:t>
      </w:r>
      <w:r>
        <w:t xml:space="preserve">“senses”</w:t>
      </w:r>
      <w:r>
        <w:t xml:space="preserve"> </w:t>
      </w:r>
      <w:r>
        <w:t xml:space="preserve">is</w:t>
      </w:r>
      <w:r>
        <w:t xml:space="preserve"> </w:t>
      </w:r>
      <w:r>
        <w:rPr>
          <w:i/>
          <w:iCs/>
        </w:rPr>
        <w:t xml:space="preserve">aisthētēria</w:t>
      </w:r>
      <w:r>
        <w:t xml:space="preserve">: the organs of perception, the sense-faculties themselves. The word for</w:t>
      </w:r>
      <w:r>
        <w:t xml:space="preserve"> </w:t>
      </w:r>
      <w:r>
        <w:t xml:space="preserve">“exercised”</w:t>
      </w:r>
      <w:r>
        <w:t xml:space="preserve"> </w:t>
      </w:r>
      <w:r>
        <w:t xml:space="preserve">is</w:t>
      </w:r>
      <w:r>
        <w:t xml:space="preserve"> </w:t>
      </w:r>
      <w:r>
        <w:rPr>
          <w:i/>
          <w:iCs/>
        </w:rPr>
        <w:t xml:space="preserve">gegymnasmena</w:t>
      </w:r>
      <w:r>
        <w:t xml:space="preserve">, from</w:t>
      </w:r>
      <w:r>
        <w:t xml:space="preserve"> </w:t>
      </w:r>
      <w:r>
        <w:rPr>
          <w:i/>
          <w:iCs/>
        </w:rPr>
        <w:t xml:space="preserve">gymnazō</w:t>
      </w:r>
      <w:r>
        <w:t xml:space="preserve">, the root of</w:t>
      </w:r>
      <w:r>
        <w:t xml:space="preserve"> </w:t>
      </w:r>
      <w:r>
        <w:rPr>
          <w:i/>
          <w:iCs/>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
          <w:iCs/>
        </w:rPr>
        <w:t xml:space="preserve">diakrisis</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
          <w:iCs/>
        </w:rPr>
        <w:t xml:space="preserve">ta’am</w:t>
      </w:r>
      <w:r>
        <w:t xml:space="preserve">, closing the same circle, taste as the sense that is educated into judgment.</w:t>
      </w:r>
    </w:p>
    <w:p>
      <w:pPr>
        <w:pStyle w:val="BodyText"/>
      </w:pPr>
      <w:r>
        <w:t xml:space="preserve">This finally explains the thing people find most mysterious about the very gifted, and it is the Ramanujan pattern generalized. A person of unusual ability, the kind that registers on a test as a very high number,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psychologists borrowed the Gospel’s own phrase and named it a Matthew effect,</w:t>
      </w:r>
      <w:r>
        <w:t xml:space="preserve"> </w:t>
      </w:r>
      <w:r>
        <w:rPr>
          <w:i/>
          <w:iCs/>
        </w:rPr>
        <w:t xml:space="preserve">to those who have, more will be given</w:t>
      </w:r>
      <w:r>
        <w:t xml:space="preserve">, so that ability tends, over a lifetime, to pull away from itself, the trained intuition thickening year over year on the interest of its own earlier gains.</w:t>
      </w:r>
      <w:r>
        <w:rPr>
          <w:rStyle w:val="FootnoteReference"/>
        </w:rPr>
        <w:footnoteReference w:id="112"/>
      </w:r>
    </w:p>
    <w:p>
      <w:pPr>
        <w:pStyle w:val="BodyText"/>
      </w:pPr>
      <w:r>
        <w:t xml:space="preserve">But the compounding is not guaranteed, and this is the shadow on the whole picture. A faculty that grows by exposure can be starved of exposure, or actively suppressed. Societies have done both,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Kurt Vonnegut gave the impulse its exact satirical form in a story where the gifted are fitted with handicaps, weights on the strong, distracting bursts of noise piped into the ears of the clever, until no one can out-think or outrun anyone else, and equality is achieved by dragging every ceiling down to the floor.</w:t>
      </w:r>
      <w:r>
        <w:rPr>
          <w:rStyle w:val="FootnoteReference"/>
        </w:rPr>
        <w:footnoteReference w:id="113"/>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rather than either suppressing it as irrational or capitulating to it as truth,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14"/>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15"/>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16"/>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not to suppress those movements but to see them, which is not the same thing.</w:t>
      </w:r>
      <w:r>
        <w:rPr>
          <w:rStyle w:val="FootnoteReference"/>
        </w:rPr>
        <w:footnoteReference w:id="117"/>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3, we noted that the prophetic pattern-recognition engine and the paranoid schizophrenic’s pattern-recognition engine are running the same algorithm,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maximally compressed, multi-layered, meaning folded into every phonetic and structural feature,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traditionally, at least forty years old, married, grounded in the practical obligations of household and community, was not mystical gatekeeping.</w:t>
      </w:r>
      <w:r>
        <w:rPr>
          <w:rStyle w:val="FootnoteReference"/>
        </w:rPr>
        <w:footnoteReference w:id="118"/>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19"/>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a reliable symptom of working at the edge of its training,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the research program in AI concerned with aligning a model’s expressed confidence to its actual accuracy.</w:t>
      </w:r>
      <w:r>
        <w:rPr>
          <w:rStyle w:val="FootnoteReference"/>
        </w:rPr>
        <w:footnoteReference w:id="120"/>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21"/>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structural encoding is robust but static. The adversarial verification network is rigorous but reactive. Every layer from zero through four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deterministic computation and sensory grounding. Chapter 2 added the notebook, precise external memory with source attribution. Chapter 3 added the poetry, structural encoding as error-correcting code, and the ancient recognition that poetry and prophecy serve the same function. Chapter 4 added the room, multi-level structural encoding, cantillation, architectural state-induction, and the Vedic existence proof that the architecture works even when the transmitters don’t understand what they’re transmitting. Chapter 5 added the scholars, distributed adversarial verification and the detection of deliberate corruption. Chapter 6 added the watching mind,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six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you hand it to the calculator. You don’t ask the brain to measure each board, you push it against the block. You don’t ask a probabilistic network to run a primality test;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each encoding the same content in a different structural feature, each independently verifiable, so that corruption at any level is detectable from the others. The data carries its own integrity checks. The text knows when it’s been damaged. This layer catches silent corruption,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five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the probabilistic system guessing where it should be computing. Remove the sensors, and the world model drifts unchecked, the brain in the jar, confident and wrong, with no thermometer to tell it so. Remove the SSD, and corrections can’t be re-examined, every update overwrites the last, and errors become permanent the moment they’re introduced. Remove the structural encoding, and silent corruption goes unnoticed; the text degrades imperceptibly, one generation at a time, until the signal is noise. Remove the adversarial scholars, and deliberate falsification goes unchallenged, the consistent lie passes as consensus, the inverted symbol passes as original. Remove the iterative loop, and understanding fossilizes, the first reading is the last reading, and the errors it contains are never revisited. Lose the metacognitive thread, and the system can’t distinguish its confident outputs from its confabulations;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22"/>
      </w:r>
      <w:r>
        <w:t xml:space="preserve"> </w:t>
      </w:r>
      <w:r>
        <w:t xml:space="preserve">The skaldic tradition: multi-level structural redundancy in verse as error-correcting code, transmitted by trained specialists across generations.</w:t>
      </w:r>
      <w:r>
        <w:rPr>
          <w:rStyle w:val="FootnoteReference"/>
        </w:rPr>
        <w:footnoteReference w:id="123"/>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24"/>
      </w:r>
      <w:r>
        <w:t xml:space="preserve"> </w:t>
      </w:r>
      <w:r>
        <w:t xml:space="preserve">The Vedic tradition: multi-modal redundant encoding, group consensus verification, restart-from-zero error recovery, maintaining perfect fidelity of texts so old that the transmitters themselves no longer understand them.</w:t>
      </w:r>
      <w:r>
        <w:rPr>
          <w:rStyle w:val="FootnoteReference"/>
        </w:rPr>
        <w:footnoteReference w:id="125"/>
      </w:r>
      <w:r>
        <w:t xml:space="preserve"> </w:t>
      </w:r>
      <w:r>
        <w:t xml:space="preserve">The Buddhist commentarial tradition: iterative re-examination of source texts with accumulated interpretive context, across centuries of scholastic debate.</w:t>
      </w:r>
      <w:r>
        <w:rPr>
          <w:rStyle w:val="FootnoteReference"/>
        </w:rPr>
        <w:footnoteReference w:id="126"/>
      </w:r>
    </w:p>
    <w:p>
      <w:pPr>
        <w:pStyle w:val="BodyText"/>
      </w:pPr>
      <w:r>
        <w:t xml:space="preserve">All converging on the same stack. Not because they copied each other: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five. More parameters. More training data. Longer context windows. The Vedic Brahmins didn’t scale their brains, they built an architecture around them, one so robust it maintained perfect fidelity for three thousand years. The Masoretes didn’t try to remember harder, they built systems that caught them when they forgot. The</w:t>
      </w:r>
      <w:r>
        <w:t xml:space="preserve"> </w:t>
      </w:r>
      <w:r>
        <w:rPr>
          <w:i/>
          <w:iCs/>
        </w:rPr>
        <w:t xml:space="preserve">muhaddithin</w:t>
      </w:r>
      <w:r>
        <w:t xml:space="preserve"> </w:t>
      </w:r>
      <w:r>
        <w:t xml:space="preserve">didn’t trust any single scholar’s judgment,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six. The body checks claims against physical reality. The notebook checks claims against recorded sources.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The question isn’t how to build a bigger brain. It’s how to give it a door to go back and check, a body, a notebook, and colleagues who will tell it when it’s wrong.</w:t>
      </w:r>
    </w:p>
    <w:p>
      <w:pPr>
        <w:pStyle w:val="BodyText"/>
      </w:pPr>
      <w:r>
        <w:t xml:space="preserve">The appendix that follows shows the whole architecture at work on four real texts, Beowulf, Homer, the Veda, and the Bible,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
          <w:iCs/>
        </w:rPr>
        <w:t xml:space="preserve">A temple which no former king had seen since the distant days —</w:t>
      </w:r>
      <w:r>
        <w:t xml:space="preserve"> </w:t>
      </w:r>
      <w:r>
        <w:rPr>
          <w:i/>
          <w:iCs/>
        </w:rPr>
        <w:t xml:space="preserve">I found the foundation of Naram-Sin, a remote ancestor,</w:t>
      </w:r>
      <w:r>
        <w:t xml:space="preserve"> </w:t>
      </w:r>
      <w:r>
        <w:rPr>
          <w:i/>
          <w:iCs/>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
          <w:iCs/>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it is Old English, composed in a Christian idiom, preserved in a single manuscript written around the year 1000 by a scribe who signals throughout that he is a monk, not a raider.</w:t>
      </w:r>
      <w:r>
        <w:rPr>
          <w:rStyle w:val="FootnoteReference"/>
        </w:rPr>
        <w:footnoteReference w:id="127"/>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“Viking poem”</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
          <w:iCs/>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28"/>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Old English</w:t>
      </w:r>
      <w:r>
        <w:t xml:space="preserve"> </w:t>
      </w:r>
      <w:r>
        <w:rPr>
          <w:i/>
          <w:iCs/>
        </w:rPr>
        <w:t xml:space="preserve">Gēatas</w:t>
      </w:r>
      <w:r>
        <w:t xml:space="preserve">, is the same name as Old Norse</w:t>
      </w:r>
      <w:r>
        <w:t xml:space="preserve"> </w:t>
      </w:r>
      <w:r>
        <w:rPr>
          <w:i/>
          <w:iCs/>
        </w:rPr>
        <w:t xml:space="preserve">Gautar</w:t>
      </w:r>
      <w:r>
        <w:t xml:space="preserve"> </w:t>
      </w:r>
      <w:r>
        <w:t xml:space="preserve">(the people of Götaland) and stands in a regular relationship to</w:t>
      </w:r>
      <w:r>
        <w:t xml:space="preserve"> </w:t>
      </w:r>
      <w:r>
        <w:rPr>
          <w:i/>
          <w:iCs/>
        </w:rPr>
        <w:t xml:space="preserve">Gotar/Gutar</w:t>
      </w:r>
      <w:r>
        <w:t xml:space="preserve"> </w:t>
      </w:r>
      <w:r>
        <w:t xml:space="preserve">(Gotlanders) and to the</w:t>
      </w:r>
      <w:r>
        <w:t xml:space="preserve"> </w:t>
      </w:r>
      <w:r>
        <w:rPr>
          <w:i/>
          <w:iCs/>
        </w:rPr>
        <w:t xml:space="preserve">Gutans</w:t>
      </w:r>
      <w:r>
        <w:t xml:space="preserve"> </w:t>
      </w:r>
      <w:r>
        <w:t xml:space="preserve">who became the Goths: the same name-stock in different ablaut grades, from a root meaning</w:t>
      </w:r>
      <w:r>
        <w:t xml:space="preserve"> </w:t>
      </w:r>
      <w:r>
        <w:t xml:space="preserve">“to pour.”</w:t>
      </w:r>
      <w:r>
        <w:rPr>
          <w:rStyle w:val="FootnoteReference"/>
        </w:rPr>
        <w:footnoteReference w:id="129"/>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the comparative method separating a tangle of related names into their regular sound-correspondences,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
          <w:iCs/>
        </w:rPr>
        <w:t xml:space="preserve">contain</w:t>
      </w:r>
      <w:r>
        <w:t xml:space="preserve"> </w:t>
      </w:r>
      <w:r>
        <w:t xml:space="preserve">old material; it</w:t>
      </w:r>
      <w:r>
        <w:t xml:space="preserve"> </w:t>
      </w:r>
      <w:r>
        <w:rPr>
          <w:i/>
          <w:iCs/>
        </w:rPr>
        <w:t xml:space="preserve">feels</w:t>
      </w:r>
      <w:r>
        <w:t xml:space="preserve"> </w:t>
      </w:r>
      <w:r>
        <w:t xml:space="preserve">old, deliberately, and it achieves that feeling by two distinct means. The first is internal: the poem is built out of allusion. It keeps gesturing at other stories it never fully tells,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30"/>
      </w:r>
      <w:r>
        <w:t xml:space="preserve"> </w:t>
      </w:r>
      <w:r>
        <w:t xml:space="preserve">Tolkien, in the lecture that rescued the poem for the twentieth century, saw exactly this: Beowulf is not a narrative that happens to be old but an</w:t>
      </w:r>
      <w:r>
        <w:t xml:space="preserve"> </w:t>
      </w:r>
      <w:r>
        <w:rPr>
          <w:i/>
          <w:iCs/>
        </w:rPr>
        <w:t xml:space="preserve">elegy</w:t>
      </w:r>
      <w:r>
        <w:t xml:space="preserve">, composed by a poet already looking back across a great distance at a heroic world felt to be passing or passed;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
          <w:iCs/>
        </w:rPr>
        <w:t xml:space="preserve">already</w:t>
      </w:r>
      <w:r>
        <w:t xml:space="preserve"> </w:t>
      </w:r>
      <w:r>
        <w:t xml:space="preserve">writing across an abyss of time and belief. The distance is not a special effect added to the poem; it is the poet’s real position. An English poem about a Gothic king was, in a sense, enough,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
          <w:iCs/>
        </w:rPr>
        <w:t xml:space="preserve">Kunstsprache</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31"/>
      </w:r>
      <w:r>
        <w:t xml:space="preserve"> </w:t>
      </w:r>
      <w:r>
        <w:t xml:space="preserve">Its backbone is Ionic, but woven through it are Aeolic forms, Arcado-Cypriot forms, and, this is the crucial layer,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the meter comes up a beat short, unless you restore a /w/ at the start of a word that no longer had one.</w:t>
      </w:r>
      <w:r>
        <w:rPr>
          <w:rStyle w:val="FootnoteReference"/>
        </w:rPr>
        <w:footnoteReference w:id="132"/>
      </w:r>
      <w:r>
        <w:t xml:space="preserve"> </w:t>
      </w:r>
      <w:r>
        <w:t xml:space="preserve">The word for</w:t>
      </w:r>
      <w:r>
        <w:t xml:space="preserve"> </w:t>
      </w:r>
      <w:r>
        <w:t xml:space="preserve">“wine,”</w:t>
      </w:r>
      <w:r>
        <w:t xml:space="preserve"> </w:t>
      </w:r>
      <w:r>
        <w:t xml:space="preserve">written</w:t>
      </w:r>
      <w:r>
        <w:t xml:space="preserve"> </w:t>
      </w:r>
      <w:r>
        <w:rPr>
          <w:i/>
          <w:iCs/>
        </w:rPr>
        <w:t xml:space="preserve">oînos</w:t>
      </w:r>
      <w:r>
        <w:t xml:space="preserve">, behaves in the meter as though it began with a consonant, because it once did:</w:t>
      </w:r>
      <w:r>
        <w:t xml:space="preserve"> </w:t>
      </w:r>
      <w:r>
        <w:rPr>
          <w:i/>
          <w:iCs/>
        </w:rPr>
        <w:t xml:space="preserve">woînos</w:t>
      </w:r>
      <w:r>
        <w:t xml:space="preserve">, cognate with Latin</w:t>
      </w:r>
      <w:r>
        <w:t xml:space="preserve"> </w:t>
      </w:r>
      <w:r>
        <w:rPr>
          <w:i/>
          <w:iCs/>
        </w:rPr>
        <w:t xml:space="preserve">vīnum</w:t>
      </w:r>
      <w:r>
        <w:t xml:space="preserve"> </w:t>
      </w:r>
      <w:r>
        <w:t xml:space="preserve">and English</w:t>
      </w:r>
      <w:r>
        <w:t xml:space="preserve"> </w:t>
      </w:r>
      <w:r>
        <w:rPr>
          <w:i/>
          <w:iCs/>
        </w:rPr>
        <w:t xml:space="preserve">wine</w:t>
      </w:r>
      <w:r>
        <w:t xml:space="preserve">. The word for</w:t>
      </w:r>
      <w:r>
        <w:t xml:space="preserve"> </w:t>
      </w:r>
      <w:r>
        <w:t xml:space="preserve">“word,”</w:t>
      </w:r>
      <w:r>
        <w:t xml:space="preserve"> </w:t>
      </w:r>
      <w:r>
        <w:rPr>
          <w:i/>
          <w:iCs/>
        </w:rPr>
        <w:t xml:space="preserve">épos</w:t>
      </w:r>
      <w:r>
        <w:t xml:space="preserve">, sometimes demands an extra consonant at its front:</w:t>
      </w:r>
      <w:r>
        <w:t xml:space="preserve"> </w:t>
      </w:r>
      <w:r>
        <w:rPr>
          <w:i/>
          <w:iCs/>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
          <w:iCs/>
        </w:rPr>
        <w:t xml:space="preserve">androtēta</w:t>
      </w:r>
      <w:r>
        <w:t xml:space="preserve"> </w:t>
      </w:r>
      <w:r>
        <w:t xml:space="preserve">(</w:t>
      </w:r>
      <w:r>
        <w:t xml:space="preserve">“manhood,”</w:t>
      </w:r>
      <w:r>
        <w:t xml:space="preserve"> </w:t>
      </w:r>
      <w:r>
        <w:t xml:space="preserve">“vigor”</w:t>
      </w:r>
      <w:r>
        <w:t xml:space="preserve">) appears three times in the Iliad, always in the same grief-laden formula about a warrior’s life cut short.</w:t>
      </w:r>
      <w:r>
        <w:rPr>
          <w:rStyle w:val="FootnoteReference"/>
        </w:rPr>
        <w:footnoteReference w:id="133"/>
      </w:r>
      <w:r>
        <w:t xml:space="preserve"> </w:t>
      </w:r>
      <w:r>
        <w:t xml:space="preserve">As written, it cannot be scanned in a hexameter at all,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3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
          <w:iCs/>
        </w:rPr>
        <w:t xml:space="preserve">added</w:t>
      </w:r>
      <w:r>
        <w:t xml:space="preserve"> </w:t>
      </w:r>
      <w:r>
        <w:t xml:space="preserve">new ones: the layer the transmission itself deposited on top. The poems were fixed and copied in Athens; they passed through Athenian recitation and Attic-speaking scribes; and those hands left a film of Attic forms,</w:t>
      </w:r>
      <w:r>
        <w:t xml:space="preserve"> </w:t>
      </w:r>
      <w:r>
        <w:t xml:space="preserve">“Atticisms”</w:t>
      </w:r>
      <w:r>
        <w:t xml:space="preserve">, over the older Ionic-Aeolic surface, substituting the shapes of their own dialect for the poet’s.</w:t>
      </w:r>
      <w:r>
        <w:rPr>
          <w:rStyle w:val="FootnoteReference"/>
        </w:rPr>
        <w:footnoteReference w:id="134"/>
      </w:r>
      <w:r>
        <w:t xml:space="preserve"> </w:t>
      </w:r>
      <w:r>
        <w:t xml:space="preserve">But an Atticism is not invisible, because the intruding form frequently does not fit. Where an Attic word has replaced an older one, the meter often breaks, the substitute has the wrong number of syllables or the wrong quantity, and the fracture is the fingerprint. Reading the metrical damage, scholars can lift the Attic overlay back off and restore the older form beneath it,</w:t>
      </w:r>
      <w:r>
        <w:t xml:space="preserve"> </w:t>
      </w:r>
      <w:r>
        <w:t xml:space="preserve">“de-Atticizing”</w:t>
      </w:r>
      <w:r>
        <w:t xml:space="preserve"> </w:t>
      </w:r>
      <w:r>
        <w:t xml:space="preserve">the text to recover a stage of the language earlier than any surviving manuscript. So Homer’s language turns out to be layered in</w:t>
      </w:r>
      <w:r>
        <w:t xml:space="preserve"> </w:t>
      </w:r>
      <w:r>
        <w:rPr>
          <w:i/>
          <w:iCs/>
        </w:rPr>
        <w:t xml:space="preserve">both</w:t>
      </w:r>
      <w:r>
        <w:t xml:space="preserve"> </w:t>
      </w:r>
      <w:r>
        <w:t xml:space="preserve">directions at once: it preserves survivals older than the poet (the Mycenaean forms) and accretions younger than the poet (the Atticisms), and the single tool of the meter separates all three strata, old, base, and late,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described in careful, specific detail.</w:t>
      </w:r>
      <w:r>
        <w:rPr>
          <w:rStyle w:val="FootnoteReference"/>
        </w:rPr>
        <w:footnoteReference w:id="135"/>
      </w:r>
      <w:r>
        <w:t xml:space="preserve"> </w:t>
      </w:r>
      <w:r>
        <w:t xml:space="preserve">For a long time this was a puzzle, because no such helmet existed anywhere in the Greek world Homer knew; his own warriors wear bronze. Then archaeologists began pulling boar’s-tusk helmets out of Mycenaean graves,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w:t>
      </w:r>
      <w:r>
        <w:t xml:space="preserve"> </w:t>
      </w:r>
      <w:r>
        <w:rPr>
          <w:i/>
          <w:iCs/>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4,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4, is the limit case, so this appendix only needs to place it in the series. Here the loss and the recovery are cleanly separated, because the Vedic tradition preserved the</w:t>
      </w:r>
      <w:r>
        <w:t xml:space="preserve"> </w:t>
      </w:r>
      <w:r>
        <w:rPr>
          <w:i/>
          <w:iCs/>
        </w:rPr>
        <w:t xml:space="preserve">sound</w:t>
      </w:r>
      <w:r>
        <w:t xml:space="preserve"> </w:t>
      </w:r>
      <w:r>
        <w:t xml:space="preserve">of the hymns with a perfection unmatched anywhere on Earth, the interlocking recitation modes, the group verification, the restart-from-zero error protocol, while allowing the</w:t>
      </w:r>
      <w:r>
        <w:t xml:space="preserve"> </w:t>
      </w:r>
      <w:r>
        <w:rPr>
          <w:i/>
          <w:iCs/>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36"/>
      </w:r>
      <w:r>
        <w:t xml:space="preserve"> </w:t>
      </w:r>
      <w:r>
        <w:t xml:space="preserve">The shell was flawless and the kernel had gone dark.</w:t>
      </w:r>
    </w:p>
    <w:p>
      <w:pPr>
        <w:pStyle w:val="BodyText"/>
      </w:pPr>
      <w:r>
        <w:t xml:space="preserve">What Chapter 4 recounted through Karen Thomson’s work is that the kernel was recoverable, precisely because the shell had been kept intact. When she brought comparative Indo-European linguistics to a word the tradition had long glossed as a ritual implement,</w:t>
      </w:r>
      <w:r>
        <w:t xml:space="preserve"> </w:t>
      </w:r>
      <w:r>
        <w:rPr>
          <w:i/>
          <w:iCs/>
        </w:rPr>
        <w:t xml:space="preserve">grávan</w:t>
      </w:r>
      <w:r>
        <w:t xml:space="preserve">,</w:t>
      </w:r>
      <w:r>
        <w:t xml:space="preserve"> </w:t>
      </w:r>
      <w:r>
        <w:t xml:space="preserve">“the pressing-stone”</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37"/>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semantics rather than phonology,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
          <w:iCs/>
        </w:rPr>
        <w:t xml:space="preserve">sounds</w:t>
      </w:r>
      <w:r>
        <w:t xml:space="preserve"> </w:t>
      </w:r>
      <w:r>
        <w:t xml:space="preserve">were partly lost (the digamma dropped out) and the meter let us recover them; the meaning, on the whole, stayed legible. In the Veda the</w:t>
      </w:r>
      <w:r>
        <w:t xml:space="preserve"> </w:t>
      </w:r>
      <w:r>
        <w:rPr>
          <w:i/>
          <w:iCs/>
        </w:rPr>
        <w:t xml:space="preserve">sounds</w:t>
      </w:r>
      <w:r>
        <w:t xml:space="preserve"> </w:t>
      </w:r>
      <w:r>
        <w:t xml:space="preserve">were kept perfectly and the</w:t>
      </w:r>
      <w:r>
        <w:t xml:space="preserve"> </w:t>
      </w:r>
      <w:r>
        <w:rPr>
          <w:i/>
          <w:iCs/>
        </w:rPr>
        <w:t xml:space="preserve">meaning</w:t>
      </w:r>
      <w:r>
        <w:t xml:space="preserve"> </w:t>
      </w:r>
      <w:r>
        <w:t xml:space="preserve">was lost; comparative linguistics let us recover that. Between them the two traditions demonstrate that the architecture protects every layer independently, phonology in the one case, semantics in the other, and that which layer degrades and which survives depends on the particular tradition’s practices, not on any limit of the method. And as Chapter 4 noted, even the Veda’s near-perfect sound-transmission is not quite perfect, a small residue of error survives in the word-divisions and across the recension schools, but the residue is</w:t>
      </w:r>
      <w:r>
        <w:t xml:space="preserve"> </w:t>
      </w:r>
      <w:r>
        <w:rPr>
          <w:i/>
          <w:iCs/>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widely held to be among the very oldest passages in the Bible, a victory hymn whose language is, in places, barely recognizable even to a fluent reader of standard Biblical Hebrew.</w:t>
      </w:r>
      <w:r>
        <w:rPr>
          <w:rStyle w:val="FootnoteReference"/>
        </w:rPr>
        <w:footnoteReference w:id="138"/>
      </w:r>
      <w:r>
        <w:t xml:space="preserve"> </w:t>
      </w:r>
      <w:r>
        <w:t xml:space="preserve">When the Greek translators of the Septuagint reached it, centuries before the Masoretes, they produced what one modern scholar calls a maze of strange readings,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a closely related Northwest Semitic language from the Late Bronze Age,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39"/>
      </w:r>
      <w:r>
        <w:t xml:space="preserve"> </w:t>
      </w:r>
      <w:r>
        <w:t xml:space="preserve">The comparative method did for the Bible what it did for the Veda and for Homer,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40"/>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41"/>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a body of externally stored, cross-checkable data of exactly the kind Chapter 4 called a civilizational SSD,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
          <w:iCs/>
        </w:rPr>
        <w:t xml:space="preserve">structure</w:t>
      </w:r>
      <w:r>
        <w:t xml:space="preserve"> </w:t>
      </w:r>
      <w:r>
        <w:t xml:space="preserve">of the text had to carry the material past the point of comprehension;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
          <w:iCs/>
        </w:rPr>
        <w:t xml:space="preserve">culture of exact preservation</w:t>
      </w:r>
      <w:r>
        <w:t xml:space="preserve"> </w:t>
      </w:r>
      <w:r>
        <w:t xml:space="preserve">had to keep that structure intact long enough for the right reader to arrive,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Linear B, comparative Indo-European, Ugaritic, a Frankish chronicle,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he was a philologist of Old English and Old Norse before he was a novelist, noticed that the oldest stories carry a particular quality he called</w:t>
      </w:r>
      <w:r>
        <w:t xml:space="preserve"> </w:t>
      </w:r>
      <w:r>
        <w:t xml:space="preserve">“distance and a great abyss of time,”</w:t>
      </w:r>
      <w:r>
        <w:t xml:space="preserve"> </w:t>
      </w:r>
      <w:r>
        <w:t xml:space="preserve">a sense of depth receding behind the surface, of vistas half-glimpsed and untold.</w:t>
      </w:r>
      <w:r>
        <w:rPr>
          <w:rStyle w:val="FootnoteReference"/>
        </w:rPr>
        <w:footnoteReference w:id="142"/>
      </w:r>
      <w:r>
        <w:t xml:space="preserve"> </w:t>
      </w:r>
      <w:r>
        <w:t xml:space="preserve">He argued, in his essay on fairy-stories, that such tales were kept and retold</w:t>
      </w:r>
      <w:r>
        <w:t xml:space="preserve"> </w:t>
      </w:r>
      <w:r>
        <w:rPr>
          <w:i/>
          <w:iCs/>
        </w:rPr>
        <w:t xml:space="preserve">because</w:t>
      </w:r>
      <w:r>
        <w:t xml:space="preserve"> </w:t>
      </w:r>
      <w:r>
        <w:t xml:space="preserve">they produced this effect: the feeling of standing at the mouth of something vast and old. His image for the process was the Cauldron of Story,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
          <w:iCs/>
        </w:rPr>
        <w:t xml:space="preserve">feels</w:t>
      </w:r>
      <w:r>
        <w:t xml:space="preserve"> </w:t>
      </w:r>
      <w:r>
        <w:t xml:space="preserve">ancient because there is a real dead language fossilized in his meter; Beowulf</w:t>
      </w:r>
      <w:r>
        <w:t xml:space="preserve"> </w:t>
      </w:r>
      <w:r>
        <w:rPr>
          <w:i/>
          <w:iCs/>
        </w:rPr>
        <w:t xml:space="preserve">feels</w:t>
      </w:r>
      <w:r>
        <w:t xml:space="preserve"> </w:t>
      </w:r>
      <w:r>
        <w:t xml:space="preserve">like it opens onto a lost heroic world because a real sixth-century raid is buried in it; the archaic strata of the Bible</w:t>
      </w:r>
      <w:r>
        <w:t xml:space="preserve"> </w:t>
      </w:r>
      <w:r>
        <w:rPr>
          <w:i/>
          <w:iCs/>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
          <w:iCs/>
        </w:rPr>
        <w:t xml:space="preserve">tells</w:t>
      </w:r>
      <w:r>
        <w:t xml:space="preserve">, mounds made of the collapsed cities beneath them, and their kings dug down through the rubble looking for the foundations of ancestors already legendary in their own day, Nebuchadnezzar boring through the debris to find, and carefully preserve, the inscription of Naram-Sin, a man as remote from him as he is from us.</w:t>
      </w:r>
      <w:r>
        <w:rPr>
          <w:rStyle w:val="FootnoteReference"/>
        </w:rPr>
        <w:footnoteReference w:id="143"/>
      </w:r>
      <w:r>
        <w:t xml:space="preserve"> </w:t>
      </w:r>
      <w:r>
        <w:t xml:space="preserve">The oldest hymns already gesture at ruins whose origin the singers no longer knew. The sense of an underspecified backstory stretching away behind the present, lending the present its weight and its claim to be true: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
          <w:iCs/>
        </w:rPr>
        <w:t xml:space="preserve">surface signature</w:t>
      </w:r>
      <w:r>
        <w:t xml:space="preserve"> </w:t>
      </w:r>
      <w:r>
        <w:t xml:space="preserve">of depth,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soup that was never boiled, flavored to imitate a broth. And the test that tells the two apart is the one this appendix has been running the whole time:</w:t>
      </w:r>
      <w:r>
        <w:t xml:space="preserve"> </w:t>
      </w:r>
      <w:r>
        <w:rPr>
          <w:i/>
          <w:iCs/>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
          <w:iCs/>
        </w:rPr>
        <w:t xml:space="preserve">feeling</w:t>
      </w:r>
      <w:r>
        <w:t xml:space="preserve"> </w:t>
      </w:r>
      <w:r>
        <w:t xml:space="preserve">of depth without the</w:t>
      </w:r>
      <w:r>
        <w:t xml:space="preserve"> </w:t>
      </w:r>
      <w:r>
        <w:rPr>
          <w:i/>
          <w:iCs/>
        </w:rPr>
        <w:t xml:space="preserve">fact</w:t>
      </w:r>
      <w:r>
        <w:t xml:space="preserve"> </w:t>
      </w:r>
      <w:r>
        <w:t xml:space="preserve">of it has not met the standard; it has counterfeited it. The Welsh bardic tradition had a line for this, quoted at the head of Chapter 3 and worth repeating here:</w:t>
      </w:r>
      <w:r>
        <w:t xml:space="preserve"> </w:t>
      </w:r>
      <w:r>
        <w:rPr>
          <w:i/>
          <w:iCs/>
        </w:rPr>
        <w:t xml:space="preserve">Be silent, then, ye unlucky rhyming bards, for you cannot judge between truth and falsehood.</w:t>
      </w:r>
      <w:r>
        <w:t xml:space="preserve"> </w:t>
      </w:r>
      <w:r>
        <w:t xml:space="preserve">The unlucky bard is the one who has mastered the surface, the meter, the diction, the authoritative music,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2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2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2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2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26">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27">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28">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29">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30">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31">
    <w:p>
      <w:pPr>
        <w:pStyle w:val="FootnoteText"/>
      </w:pPr>
      <w:r>
        <w:rPr>
          <w:rStyle w:val="FootnoteReference"/>
        </w:rPr>
        <w:footnoteRef/>
      </w:r>
      <w:r>
        <w:t xml:space="preserve"> </w:t>
      </w:r>
      <w:r>
        <w:t xml:space="preserve">The reconstruction of Nabataean and early Arab desert navigation, the</w:t>
      </w:r>
      <w:r>
        <w:t xml:space="preserve"> </w:t>
      </w:r>
      <w:r>
        <w:rPr>
          <w:i/>
          <w:iCs/>
        </w:rPr>
        <w:t xml:space="preserve">qiyās</w:t>
      </w:r>
      <w:r>
        <w:t xml:space="preserve"> </w:t>
      </w:r>
      <w:r>
        <w:t xml:space="preserve">measurement of stellar altitude in finger-widths (</w:t>
      </w:r>
      <w:r>
        <w:rPr>
          <w:i/>
          <w:iCs/>
        </w:rPr>
        <w:t xml:space="preserve">iṣbaʿ</w:t>
      </w:r>
      <w:r>
        <w:t xml:space="preserve">), and the use of metered poetry to pace and count a caravan’s steps, is developed by the independent researcher Dan Gibson, drawing on the surviving Arab navigational literature, especially the fifteenth-century pilot Aḥmad ibn Mājid’s</w:t>
      </w:r>
      <w:r>
        <w:t xml:space="preserve"> </w:t>
      </w:r>
      <w:r>
        <w:rPr>
          <w:i/>
          <w:iCs/>
        </w:rPr>
        <w:t xml:space="preserve">Kitāb al-Fawāʾid</w:t>
      </w:r>
      <w:r>
        <w:t xml:space="preserve">, translated by G. R. Tibbetts as</w:t>
      </w:r>
      <w:r>
        <w:t xml:space="preserve"> </w:t>
      </w:r>
      <w:r>
        <w:rPr>
          <w:i/>
          <w:iCs/>
        </w:rPr>
        <w:t xml:space="preserve">Arab Navigation in the Indian Ocean before the Coming of the Portuguese</w:t>
      </w:r>
      <w:r>
        <w:t xml:space="preserve"> </w:t>
      </w:r>
      <w:r>
        <w:t xml:space="preserve">(London: Royal Asiatic Society, 1981). Pliny the Elder’s figure for the incense road, 2,437,500 steps from Timna to Gaza, is in</w:t>
      </w:r>
      <w:r>
        <w:t xml:space="preserve"> </w:t>
      </w:r>
      <w:r>
        <w:rPr>
          <w:i/>
          <w:iCs/>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that meter can encode distance, and that this encoding is invisible to a listener who attends only to the words, stands independently of those debates and rests on the plain testimony of Pliny and the navigational manuals.</w:t>
      </w:r>
    </w:p>
  </w:footnote>
  <w:footnote w:id="32">
    <w:p>
      <w:pPr>
        <w:pStyle w:val="FootnoteText"/>
      </w:pPr>
      <w:r>
        <w:rPr>
          <w:rStyle w:val="FootnoteReference"/>
        </w:rPr>
        <w:footnoteRef/>
      </w:r>
      <w:r>
        <w:t xml:space="preserve"> </w:t>
      </w:r>
      <w:r>
        <w:t xml:space="preserve">The durability of melodic memory relative to verbal memory is well documented in cognitive neuroscience. Séverine Samson and Robert J. Zatorre,</w:t>
      </w:r>
      <w:r>
        <w:t xml:space="preserve"> </w:t>
      </w:r>
      <w:r>
        <w:t xml:space="preserve">“Melodic and Harmonic Discrimination Following Unilateral Cerebral Excision,”</w:t>
      </w:r>
      <w:r>
        <w:t xml:space="preserve"> </w:t>
      </w:r>
      <w:r>
        <w:rPr>
          <w:i/>
          <w:iCs/>
        </w:rPr>
        <w:t xml:space="preserve">Brain and Language</w:t>
      </w:r>
      <w:r>
        <w:t xml:space="preserve"> </w:t>
      </w:r>
      <w:r>
        <w:t xml:space="preserve">45, no. 2 (1994): 284–301, demonstrated that melodic processing engages neural systems partially independent of those used for language. More striking is the clinical evidence from Alzheimer’s patients, who frequently retain the ability to recognize and sing familiar melodies long after verbal memory has deteriorated. See Aline Moussard et al.,</w:t>
      </w:r>
      <w:r>
        <w:t xml:space="preserve"> </w:t>
      </w:r>
      <w:r>
        <w:t xml:space="preserve">“Music as a Mnemonic to Learn Gesture Sequences in Normal Aging and Alzheimer’s Disease,”</w:t>
      </w:r>
      <w:r>
        <w:t xml:space="preserve"> </w:t>
      </w:r>
      <w:r>
        <w:rPr>
          <w:i/>
          <w:iCs/>
        </w:rPr>
        <w:t xml:space="preserve">Frontiers in Human Neuroscience</w:t>
      </w:r>
      <w:r>
        <w:t xml:space="preserve"> </w:t>
      </w:r>
      <w:r>
        <w:t xml:space="preserve">8 (2014): 159. The implication is that melody writes to a storage system that degrades later and more slowly than the verbal channel.</w:t>
      </w:r>
    </w:p>
  </w:footnote>
  <w:footnote w:id="33">
    <w:p>
      <w:pPr>
        <w:pStyle w:val="FootnoteText"/>
      </w:pPr>
      <w:r>
        <w:rPr>
          <w:rStyle w:val="FootnoteReference"/>
        </w:rPr>
        <w:footnoteRef/>
      </w:r>
      <w:r>
        <w:t xml:space="preserve"> </w:t>
      </w:r>
      <w:r>
        <w:t xml:space="preserve">Howard Eichenbaum,</w:t>
      </w:r>
      <w:r>
        <w:t xml:space="preserve"> </w:t>
      </w:r>
      <w:r>
        <w:t xml:space="preserve">“Time Cells in the Hippocampus: A New Dimension for Mapping Memories,”</w:t>
      </w:r>
      <w:r>
        <w:t xml:space="preserve"> </w:t>
      </w:r>
      <w:r>
        <w:rPr>
          <w:i/>
          <w:iCs/>
        </w:rPr>
        <w:t xml:space="preserve">Nature Reviews Neuroscience</w:t>
      </w:r>
      <w:r>
        <w:t xml:space="preserve"> </w:t>
      </w:r>
      <w:r>
        <w:t xml:space="preserve">15, no. 10 (2014): 732–744. Eichenbaum’s laboratory discovered</w:t>
      </w:r>
      <w:r>
        <w:t xml:space="preserve"> </w:t>
      </w:r>
      <w:r>
        <w:t xml:space="preserve">“time cells”</w:t>
      </w:r>
      <w:r>
        <w:t xml:space="preserve"> </w:t>
      </w:r>
      <w:r>
        <w:t xml:space="preserve">in the hippocampus that fire at specific moments during temporal sequences, directly analogous to the place cells that fire at specific locations in physical space (see note 16). The implication is that the hippocampus maps any structured sequential experience, not only physical geometry. See also Petr Janata et al.,</w:t>
      </w:r>
      <w:r>
        <w:t xml:space="preserve"> </w:t>
      </w:r>
      <w:r>
        <w:t xml:space="preserve">“The Cortical Topography of Tonal Structures Underlying Western Music,”</w:t>
      </w:r>
      <w:r>
        <w:t xml:space="preserve"> </w:t>
      </w:r>
      <w:r>
        <w:rPr>
          <w:i/>
          <w:iCs/>
        </w:rPr>
        <w:t xml:space="preserve">Science</w:t>
      </w:r>
      <w:r>
        <w:t xml:space="preserve"> </w:t>
      </w:r>
      <w:r>
        <w:t xml:space="preserve">298, no. 5601 (2002): 2167–2170, which demonstrated that the brain constructs tonotopic maps tracking the movement of music through tonal space: spatial representations of a non-spatial domain.</w:t>
      </w:r>
    </w:p>
  </w:footnote>
  <w:footnote w:id="34">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5">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3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3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3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4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4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4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4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4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4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4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4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48">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4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5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51">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52">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53">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54">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55">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56">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57">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58">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59">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60">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61">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62">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63">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6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6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7">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68">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69">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70">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71">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72">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73">
    <w:p>
      <w:pPr>
        <w:pStyle w:val="FootnoteText"/>
      </w:pPr>
      <w:r>
        <w:rPr>
          <w:rStyle w:val="FootnoteReference"/>
        </w:rPr>
        <w:footnoteRef/>
      </w:r>
      <w:r>
        <w:t xml:space="preserve"> </w:t>
      </w:r>
      <w:r>
        <w:t xml:space="preserve">Samuel Taylor Coleridge,</w:t>
      </w:r>
      <w:r>
        <w:t xml:space="preserve"> </w:t>
      </w:r>
      <w:r>
        <w:t xml:space="preserve">“Kubla Khan: or, A Vision in a Dream. A Fragment”</w:t>
      </w:r>
      <w:r>
        <w:t xml:space="preserve"> </w:t>
      </w:r>
      <w:r>
        <w:t xml:space="preserve">(composed c. 1797, published 1816). In his prefatory note Coleridge describes composing the poem, some two to three hundred lines, during an opium-induced sleep,</w:t>
      </w:r>
      <w:r>
        <w:t xml:space="preserve"> </w:t>
      </w:r>
      <w:r>
        <w:t xml:space="preserve">“if that indeed can be called composition in which all the images rose up before him as things,”</w:t>
      </w:r>
      <w:r>
        <w:t xml:space="preserve"> </w:t>
      </w:r>
      <w:r>
        <w:t xml:space="preserve">and losing all but a fragment when he was</w:t>
      </w:r>
      <w:r>
        <w:t xml:space="preserve"> </w:t>
      </w:r>
      <w:r>
        <w:t xml:space="preserve">“called out by a person on business from Porlock”</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“The Rime of the Ancient Mariner”</w:t>
      </w:r>
      <w:r>
        <w:t xml:space="preserve"> </w:t>
      </w:r>
      <w:r>
        <w:t xml:space="preserve">(1798) thematizes the same receptive compulsion, the Mariner holds the Wedding-Guest with his</w:t>
      </w:r>
      <w:r>
        <w:t xml:space="preserve"> </w:t>
      </w:r>
      <w:r>
        <w:t xml:space="preserve">“glittering eye”</w:t>
      </w:r>
      <w:r>
        <w:t xml:space="preserve"> </w:t>
      </w:r>
      <w:r>
        <w:t xml:space="preserve">so that the listener</w:t>
      </w:r>
      <w:r>
        <w:t xml:space="preserve"> </w:t>
      </w:r>
      <w:r>
        <w:t xml:space="preserve">“cannot choose but hear.”</w:t>
      </w:r>
    </w:p>
  </w:footnote>
  <w:footnote w:id="74">
    <w:p>
      <w:pPr>
        <w:pStyle w:val="FootnoteText"/>
      </w:pPr>
      <w:r>
        <w:rPr>
          <w:rStyle w:val="FootnoteReference"/>
        </w:rPr>
        <w:footnoteRef/>
      </w:r>
      <w:r>
        <w:t xml:space="preserve"> </w:t>
      </w:r>
      <w:r>
        <w:t xml:space="preserve">On the delivery of</w:t>
      </w:r>
      <w:r>
        <w:t xml:space="preserve"> </w:t>
      </w:r>
      <w:r>
        <w:t xml:space="preserve">“Sinners in the Hands of an Angry God”</w:t>
      </w:r>
      <w:r>
        <w:t xml:space="preserve"> </w:t>
      </w:r>
      <w:r>
        <w:t xml:space="preserve">(Enfield, Connecticut, July 8, 1741) and the congregation’s reaction, see the eyewitness diary of the Rev. Stephen Williams and the account in George Marsden,</w:t>
      </w:r>
      <w:r>
        <w:t xml:space="preserve"> </w:t>
      </w:r>
      <w:r>
        <w:rPr>
          <w:i/>
          <w:iCs/>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
          <w:iCs/>
        </w:rPr>
        <w:t xml:space="preserve">Norton Anthology of American Literature</w:t>
      </w:r>
      <w:r>
        <w:t xml:space="preserve"> </w:t>
      </w:r>
      <w:r>
        <w:t xml:space="preserve">notes he read</w:t>
      </w:r>
      <w:r>
        <w:t xml:space="preserve"> </w:t>
      </w:r>
      <w:r>
        <w:t xml:space="preserve">“in a level voice”</w:t>
      </w:r>
      <w:r>
        <w:t xml:space="preserve"> </w:t>
      </w:r>
      <w:r>
        <w:t xml:space="preserve">while the congregation was overcome. The popular characterization of a flat</w:t>
      </w:r>
      <w:r>
        <w:t xml:space="preserve"> </w:t>
      </w:r>
      <w:r>
        <w:t xml:space="preserve">“monotone”</w:t>
      </w:r>
      <w:r>
        <w:t xml:space="preserve"> </w:t>
      </w:r>
      <w:r>
        <w:t xml:space="preserve">is somewhat exaggerated in the later tradition, see Jim Ehrhard,</w:t>
      </w:r>
      <w:r>
        <w:t xml:space="preserve"> </w:t>
      </w:r>
      <w:r>
        <w:t xml:space="preserve">“A Critical Analysis of the Tradition of Jonathan Edwards as a Manuscript Preacher,”</w:t>
      </w:r>
      <w:r>
        <w:t xml:space="preserve"> </w:t>
      </w:r>
      <w:r>
        <w:rPr>
          <w:i/>
          <w:iCs/>
        </w:rPr>
        <w:t xml:space="preserve">Westminster Theological Journal</w:t>
      </w:r>
      <w:r>
        <w:t xml:space="preserve"> </w:t>
      </w:r>
      <w:r>
        <w:t xml:space="preserve">60 (1998),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75">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76">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77">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78">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79">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
          <w:iCs/>
        </w:rPr>
        <w:t xml:space="preserve">padapatha</w:t>
      </w:r>
      <w:r>
        <w:t xml:space="preserve"> </w:t>
      </w:r>
      <w:r>
        <w:t xml:space="preserve">attributed to Śākalya, where the pitch-accent (</w:t>
      </w:r>
      <w:r>
        <w:rPr>
          <w:i/>
          <w:iCs/>
        </w:rPr>
        <w:t xml:space="preserve">svara</w:t>
      </w:r>
      <w:r>
        <w:t xml:space="preserve">) system serves as an independent check that flags a faulty word-division, see the analysis in the</w:t>
      </w:r>
      <w:r>
        <w:t xml:space="preserve"> </w:t>
      </w:r>
      <w:r>
        <w:rPr>
          <w:i/>
          <w:iCs/>
        </w:rPr>
        <w:t xml:space="preserve">Rigveda-Prātiśākhya</w:t>
      </w:r>
      <w:r>
        <w:t xml:space="preserve"> </w:t>
      </w:r>
      <w:r>
        <w:t xml:space="preserve">tradition and the discussion in Witzel,</w:t>
      </w:r>
      <w:r>
        <w:t xml:space="preserve"> </w:t>
      </w:r>
      <w:r>
        <w:t xml:space="preserve">“Vedas and Upanisads,”</w:t>
      </w:r>
      <w:r>
        <w:t xml:space="preserve"> </w:t>
      </w:r>
      <w:r>
        <w:t xml:space="preserve">and in Frits Staal,</w:t>
      </w:r>
      <w:r>
        <w:t xml:space="preserve"> </w:t>
      </w:r>
      <w:r>
        <w:rPr>
          <w:i/>
          <w:iCs/>
        </w:rPr>
        <w:t xml:space="preserve">Rituals and Mantras: Rules Without Meaning</w:t>
      </w:r>
      <w:r>
        <w:t xml:space="preserve"> </w:t>
      </w:r>
      <w:r>
        <w:t xml:space="preserve">(Delhi: Motilal Banarsidass, 1996). On inter-</w:t>
      </w:r>
      <w:r>
        <w:rPr>
          <w:i/>
          <w:iCs/>
        </w:rPr>
        <w:t xml:space="preserve">shakha</w:t>
      </w:r>
      <w:r>
        <w:t xml:space="preserve"> </w:t>
      </w:r>
      <w:r>
        <w:t xml:space="preserve">variation in accent and content, see the comparative work summarized in the</w:t>
      </w:r>
      <w:r>
        <w:t xml:space="preserve"> </w:t>
      </w:r>
      <w:r>
        <w:rPr>
          <w:i/>
          <w:iCs/>
        </w:rPr>
        <w:t xml:space="preserve">Caraṇavyūha</w:t>
      </w:r>
      <w:r>
        <w:t xml:space="preserve"> </w:t>
      </w:r>
      <w:r>
        <w:t xml:space="preserve">literature and modern editions collating recensions. On the Atharvaveda specifically, whose original is reconstructible only by collating the corrupted Śaunakīya and Paippalāda traditions, see the discussion in the editions and Michael Witzel,</w:t>
      </w:r>
      <w:r>
        <w:t xml:space="preserve"> </w:t>
      </w:r>
      <w:r>
        <w:t xml:space="preserve">“The Development of the Vedic Canon and its Schools,”</w:t>
      </w:r>
      <w:r>
        <w:t xml:space="preserve"> </w:t>
      </w:r>
      <w:r>
        <w:t xml:space="preserve">in</w:t>
      </w:r>
      <w:r>
        <w:t xml:space="preserve"> </w:t>
      </w:r>
      <w:r>
        <w:rPr>
          <w:i/>
          <w:iCs/>
        </w:rPr>
        <w:t xml:space="preserve">Inside the Texts, Beyond the Texts</w:t>
      </w:r>
      <w:r>
        <w:t xml:space="preserve">, ed. Michael Witzel (Cambridge, MA: Harvard Oriental Series, 1997). The point for the argument here is structural rather than sectarian: the errors are localizable precisely because the redundancy, multiple recitation modes, the independent accent channel, and multiple geographically separated lineages, makes them stand out.</w:t>
      </w:r>
    </w:p>
  </w:footnote>
  <w:footnote w:id="80">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8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8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8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8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85">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8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8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8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8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9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9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9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9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9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9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9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9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98">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9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0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101">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02">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0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4">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05">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06">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7">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0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0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 w:id="111">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12">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13">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1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22">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3">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4">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5">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26">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7">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8">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9">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30">
    <w:p>
      <w:pPr>
        <w:pStyle w:val="FootnoteText"/>
      </w:pPr>
      <w:r>
        <w:rPr>
          <w:rStyle w:val="FootnoteReference"/>
        </w:rPr>
        <w:footnoteRef/>
      </w:r>
      <w:r>
        <w:t xml:space="preserve"> </w:t>
      </w:r>
      <w:r>
        <w:t xml:space="preserve">On the poem’s technique of allusion and its so-called digressions, the Finnsburg episode, the Heathobard feud, the Scyld Scefing frame, the foreboding of the Geats’ fall, and their creation of narrative depth, see the classic (if disapproving) catalogue in Frederick Klaeber’s edition and the reassessment in Adrien Bonjour,</w:t>
      </w:r>
      <w:r>
        <w:t xml:space="preserve"> </w:t>
      </w:r>
      <w:r>
        <w:rPr>
          <w:i/>
          <w:iCs/>
        </w:rPr>
        <w:t xml:space="preserve">The Digressions in Beowulf</w:t>
      </w:r>
      <w:r>
        <w:t xml:space="preserve"> </w:t>
      </w:r>
      <w:r>
        <w:t xml:space="preserve">(Oxford: Blackwell, 1950). The decisive reframing is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which argues that the poem is essentially elegiac,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a Christian English author treating the pagan Scandinavian past of his cultural ancestors, see the introduction to</w:t>
      </w:r>
      <w:r>
        <w:t xml:space="preserve"> </w:t>
      </w:r>
      <w:r>
        <w:rPr>
          <w:i/>
          <w:iCs/>
        </w:rPr>
        <w:t xml:space="preserve">Klaeber’s Beowulf</w:t>
      </w:r>
      <w:r>
        <w:t xml:space="preserve">, 4th ed., and Tom Shippey,</w:t>
      </w:r>
      <w:r>
        <w:t xml:space="preserve"> </w:t>
      </w:r>
      <w:r>
        <w:rPr>
          <w:i/>
          <w:iCs/>
        </w:rPr>
        <w:t xml:space="preserve">Beowulf and the Critics</w:t>
      </w:r>
      <w:r>
        <w:t xml:space="preserve"> </w:t>
      </w:r>
      <w:r>
        <w:t xml:space="preserve">(on Tolkien’s argument and its afterlife).</w:t>
      </w:r>
    </w:p>
  </w:footnote>
  <w:footnote w:id="13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3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34">
    <w:p>
      <w:pPr>
        <w:pStyle w:val="FootnoteText"/>
      </w:pPr>
      <w:r>
        <w:rPr>
          <w:rStyle w:val="FootnoteReference"/>
        </w:rPr>
        <w:footnoteRef/>
      </w:r>
      <w:r>
        <w:t xml:space="preserve"> </w:t>
      </w:r>
      <w:r>
        <w:t xml:space="preserve">On</w:t>
      </w:r>
      <w:r>
        <w:t xml:space="preserve"> </w:t>
      </w:r>
      <w:r>
        <w:t xml:space="preserve">“Atticisms”</w:t>
      </w:r>
      <w:r>
        <w:t xml:space="preserve">, Attic dialect forms introduced into the Ionic-Aeolic text of Homer during its transmission through Athens (the Panathenaic recitations and the work of Attic-speaking scribes), and on their detection and removal, see the discussion in Martin L. West, ed.,</w:t>
      </w:r>
      <w:r>
        <w:t xml:space="preserve"> </w:t>
      </w:r>
      <w:r>
        <w:rPr>
          <w:i/>
          <w:iCs/>
        </w:rPr>
        <w:t xml:space="preserve">Homeri Ilias</w:t>
      </w:r>
      <w:r>
        <w:t xml:space="preserve"> </w:t>
      </w:r>
      <w:r>
        <w:t xml:space="preserve">(Stuttgart and Leipzig: Teubner, 1998–2000), and West’s</w:t>
      </w:r>
      <w:r>
        <w:t xml:space="preserve"> </w:t>
      </w:r>
      <w:r>
        <w:rPr>
          <w:i/>
          <w:iCs/>
        </w:rPr>
        <w:t xml:space="preserve">Studies in the Text and Transmission of the Iliad</w:t>
      </w:r>
      <w:r>
        <w:t xml:space="preserve"> </w:t>
      </w:r>
      <w:r>
        <w:t xml:space="preserve">(Munich: Saur, 2001); also Geoffrey Horrocks,</w:t>
      </w:r>
      <w:r>
        <w:t xml:space="preserve"> </w:t>
      </w:r>
      <w:r>
        <w:rPr>
          <w:i/>
          <w:iCs/>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the process sometimes called</w:t>
      </w:r>
      <w:r>
        <w:t xml:space="preserve"> </w:t>
      </w:r>
      <w:r>
        <w:t xml:space="preserve">“de-Atticizing”</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“Aeolic phase”</w:t>
      </w:r>
      <w:r>
        <w:t xml:space="preserve"> </w:t>
      </w:r>
      <w:r>
        <w:t xml:space="preserve">hypothesis about the deep prehistory of the epic language.</w:t>
      </w:r>
    </w:p>
  </w:footnote>
  <w:footnote w:id="135">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36">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37">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38">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3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4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41">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42">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43">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2026-07-03T23:54:03Z</dcterms:created>
  <dcterms:modified xsi:type="dcterms:W3CDTF">2026-07-03T23:54:03Z</dcterms:modified>
</cp:coreProperties>
</file>

<file path=docProps/custom.xml><?xml version="1.0" encoding="utf-8"?>
<Properties xmlns="http://schemas.openxmlformats.org/officeDocument/2006/custom-properties" xmlns:vt="http://schemas.openxmlformats.org/officeDocument/2006/docPropsVTypes"/>
</file>