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Annex: 12 Hz AC Backbone vs. All-DC Grid Architecture</w:t>
      </w:r>
    </w:p>
    <w:p>
      <w:pPr>
        <w:pStyle w:val="Subtitle"/>
      </w:pPr>
      <w:r>
        <w:t xml:space="preserve">National Power Grid Reconstruction &amp; Sovereign Resilience Program</w:t>
      </w:r>
    </w:p>
    <w:p>
      <w:pPr>
        <w:pStyle w:val="Author"/>
      </w:pPr>
      <w:r>
        <w:t xml:space="preserve">David Walther</w:t>
      </w:r>
    </w:p>
    <w:p>
      <w:pPr>
        <w:pStyle w:val="Date"/>
      </w:pPr>
      <w:r>
        <w:t xml:space="preserve">2026</w:t>
      </w:r>
    </w:p>
    <w:p>
      <w:pPr>
        <w:pStyle w:val="FirstParagraph"/>
      </w:pPr>
      <w:r>
        <w:rPr>
          <w:b/>
          <w:bCs/>
        </w:rPr>
        <w:t xml:space="preserve">TECHNICAL ANNEX</w:t>
      </w:r>
    </w:p>
    <w:p>
      <w:pPr>
        <w:pStyle w:val="BodyText"/>
      </w:pPr>
      <w:r>
        <w:rPr>
          <w:b/>
          <w:bCs/>
        </w:rPr>
        <w:t xml:space="preserve">12 Hz AC Backbone vs. All-DC Grid Architecture</w:t>
      </w:r>
    </w:p>
    <w:p>
      <w:pPr>
        <w:pStyle w:val="BodyText"/>
      </w:pPr>
      <w:r>
        <w:rPr>
          <w:i/>
          <w:iCs/>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
          <w:bCs/>
        </w:rPr>
        <w:t xml:space="preserve">National Power Grid Reconstruction &amp; Sovereign Resilience Program</w:t>
      </w:r>
    </w:p>
    <w:p>
      <w:pPr>
        <w:pStyle w:val="BodyText"/>
      </w:pPr>
      <w:r>
        <w:t xml:space="preserve">July 2026 — Revision 3</w:t>
      </w:r>
    </w:p>
    <w:bookmarkStart w:id="9" w:name="executive-summary"/>
    <w:p>
      <w:pPr>
        <w:pStyle w:val="Heading2"/>
      </w:pPr>
      <w:r>
        <w:t xml:space="preserve">1. EXECUTIVE SUMMARY</w:t>
      </w:r>
    </w:p>
    <w:p>
      <w:pPr>
        <w:pStyle w:val="FirstParagraph"/>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 380V-class DC in the all-DC case; 306–335V AC line-to-neutral, optionally rectified to approximately 275–300V DC, in the 12 Hz case —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7–10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bookmarkEnd w:id="9"/>
    <w:bookmarkStart w:id="12" w:name="architecture-specifications"/>
    <w:p>
      <w:pPr>
        <w:pStyle w:val="Heading2"/>
      </w:pPr>
      <w:r>
        <w:t xml:space="preserve">2. ARCHITECTURE SPECIFICATIONS</w:t>
      </w:r>
    </w:p>
    <w:bookmarkStart w:id="10" w:name="the-12-hz-ac-architecture"/>
    <w:p>
      <w:pPr>
        <w:pStyle w:val="Heading3"/>
      </w:pPr>
      <w:r>
        <w:t xml:space="preserve">2.1 The 12 Hz AC Architecture</w:t>
      </w:r>
    </w:p>
    <w:p>
      <w:pPr>
        <w:pStyle w:val="FirstParagraph"/>
      </w:pPr>
      <w:r>
        <w:t xml:space="preserve">The 12 Hz AC architecture is defined by three voltage tiers with passive transformer voltage conversion at each transition, delivered at 12 Hz throughout the system from generator to wall outlet:</w:t>
      </w:r>
    </w:p>
    <w:p>
      <w:pPr>
        <w:pStyle w:val="BodyText"/>
      </w:pPr>
      <w:r>
        <w:rPr>
          <w:b/>
          <w:bCs/>
        </w:rPr>
        <w:t xml:space="preserve">Tier 1 — EHV/HV Transmission (345–765 kV, 12 Hz):</w:t>
      </w:r>
      <w:r>
        <w:t xml:space="preserve"> </w:t>
      </w:r>
      <w:r>
        <w:t xml:space="preserve">Backbone long-distance transmission. Transformers at this tier use mild steel cores (enabled by the 12 Hz frequency, which cuts core losses at a given flux density — hysteresis losses roughly in proportion to frequency, eddy-current losses with its square — making commodity mild steel usable in place of GOES at the cost of a larger core). These transformers are field-buildable from locally available materials — the core innovation of the architecture.</w:t>
      </w:r>
    </w:p>
    <w:p>
      <w:pPr>
        <w:pStyle w:val="BodyText"/>
      </w:pPr>
      <w:r>
        <w:rPr>
          <w:b/>
          <w:bCs/>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
          <w:bCs/>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 “120V” actually delivers 114–126V; European “230V” 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of the line-to-neutral supply (306–335V depending on position on the distribution line) through a bridge rectifier and iron-cored choke-input filter produces approximately 275–300V DC — inside the ETSI EN 300 132-3-1 acceptance window of 260–400V DC for 380V-rated equipment, with no voltage-regulation electronics at the building entrance. Section 11 develops this compatibility argument in full.</w:t>
      </w:r>
    </w:p>
    <w:bookmarkEnd w:id="10"/>
    <w:bookmarkStart w:id="11" w:name="the-all-dc-architecture"/>
    <w:p>
      <w:pPr>
        <w:pStyle w:val="Heading3"/>
      </w:pPr>
      <w:r>
        <w:t xml:space="preserve">2.2 The All-DC Architecture</w:t>
      </w:r>
    </w:p>
    <w:p>
      <w:pPr>
        <w:pStyle w:val="FirstParagraph"/>
      </w:pPr>
      <w:r>
        <w:t xml:space="preserve">The all-DC architecture specifies comparable voltage tiers with active semiconductor conversion at each transition:</w:t>
      </w:r>
    </w:p>
    <w:p>
      <w:pPr>
        <w:pStyle w:val="BodyText"/>
      </w:pPr>
      <w:r>
        <w:rPr>
          <w:b/>
          <w:bCs/>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
          <w:bCs/>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 “safety cliff” where arcing becomes difficult to manage with affordable breakers.</w:t>
      </w:r>
    </w:p>
    <w:p>
      <w:pPr>
        <w:pStyle w:val="BodyText"/>
      </w:pPr>
      <w:r>
        <w:rPr>
          <w:b/>
          <w:bCs/>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bookmarkEnd w:id="11"/>
    <w:bookmarkEnd w:id="12"/>
    <w:bookmarkStart w:id="17" w:name="anatomy-of-a-power-transformer"/>
    <w:p>
      <w:pPr>
        <w:pStyle w:val="Heading2"/>
      </w:pPr>
      <w:r>
        <w:t xml:space="preserve">3. ANATOMY OF A POWER TRANSFORMER</w:t>
      </w:r>
    </w:p>
    <w:p>
      <w:pPr>
        <w:pStyle w:val="FirstParagraph"/>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bookmarkStart w:id="13" w:name="X0693f09db38dea6acabab7a33f89427860be944"/>
    <w:p>
      <w:pPr>
        <w:pStyle w:val="Heading3"/>
      </w:pPr>
      <w:r>
        <w:t xml:space="preserve">3.1 The Core: Grain-Oriented Electrical Steel (GOES)</w:t>
      </w:r>
    </w:p>
    <w:p>
      <w:pPr>
        <w:pStyle w:val="FirstParagraph"/>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bookmarkEnd w:id="13"/>
    <w:bookmarkStart w:id="14" w:name="the-windings-copper-or-aluminum"/>
    <w:p>
      <w:pPr>
        <w:pStyle w:val="Heading3"/>
      </w:pPr>
      <w:r>
        <w:t xml:space="preserve">3.2 The Windings: Copper (or Aluminum)</w:t>
      </w:r>
    </w:p>
    <w:p>
      <w:pPr>
        <w:pStyle w:val="FirstParagraph"/>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bookmarkEnd w:id="14"/>
    <w:bookmarkStart w:id="15" w:name="the-12-hz-advantage"/>
    <w:p>
      <w:pPr>
        <w:pStyle w:val="Heading3"/>
      </w:pPr>
      <w:r>
        <w:t xml:space="preserve">3.3 The 12 Hz Advantage</w:t>
      </w:r>
    </w:p>
    <w:p>
      <w:pPr>
        <w:pStyle w:val="FirstParagraph"/>
      </w:pPr>
      <w:r>
        <w:t xml:space="preserve">At 12 Hz, core losses at a given flux density fall sharply relative to 50 Hz: hysteresis losses roughly in proportion to frequency (about 4x lower) and eddy-current losses with the square of frequency (about 17x lower, permitting thicker laminations that are faster to cut and stack). This makes commodity mild steel — the same material used in construction rebar and structural sections — a workable core material despite its higher specific losses and lower permeability than specialty GOES. The trade-off is more core material: volts-per-turn scale with frequency, so a 12 Hz design needs roughly 4.2x the flux-turns product of a 50 Hz equivalent, which is the origin of the 3–5x weight penalty noted in Section 17.2.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Reactive power management is also simplified: series inductive reactance at 12 Hz is roughly a quarter of its 50 Hz value, reducing voltage drop along lines, and capacitive line-charging current falls in the same proportion, extending feasible AC cable runs.</w:t>
      </w:r>
    </w:p>
    <w:bookmarkEnd w:id="15"/>
    <w:bookmarkStart w:id="16" w:name="X44e4bd77edc6f60eab09e1370e1c03ce28c8e1d"/>
    <w:p>
      <w:pPr>
        <w:pStyle w:val="Heading3"/>
      </w:pPr>
      <w:r>
        <w:t xml:space="preserve">3.4 Modular Construction: Segmented Cores vs. Series-Stacked Units</w:t>
      </w:r>
    </w:p>
    <w:p>
      <w:pPr>
        <w:pStyle w:val="FirstParagraph"/>
      </w:pPr>
      <w:r>
        <w:t xml:space="preserve">Both the supply-chain bottleneck (Section 3.1) and the transport-and-replacement problem invite the same proposal: rather than manufacture large custom units, assemble any required rating from a small stockpile of standardized small transformers — units in parallel to reach the required current, in series to reach the required voltage. This architecture shares the goal of building from standardized parts. What differs is which part of the transformer is made modular, and that choice determines whether the insulation cost of high voltage is incurred or avoided.</w:t>
      </w:r>
    </w:p>
    <w:p>
      <w:pPr>
        <w:pStyle w:val="BodyText"/>
      </w:pPr>
      <w:r>
        <w:t xml:space="preserve">In every transformer the core and the steel tank are bonded to earth ground for safety. Insulation divides into two classes with very different costs. Turn-to-turn insulation separates adjacent conductors that differ by a few volts and is inexpensive. Major insulation separates the live winding from the grounded core and tank and must withstand the full winding-to-ground voltage; it is the dominant insulation cost and a principal reason high-voltage transformers are large and expensive. This cost does not scale linearly with voltage. Creepage distance, air clearance, and basic insulation level all rise faster than proportionally, so a unit rated at three times the voltage costs considerably more than three times as much to insulate.</w:t>
      </w:r>
    </w:p>
    <w:p>
      <w:pPr>
        <w:pStyle w:val="BodyText"/>
      </w:pPr>
      <w:r>
        <w:t xml:space="preserve">Series stacking relocates this cost rather than removing it. Consider three standard 10 kV units stacked to produce 30 kV. Unit A’s secondary spans 0 to 10 kV relative to ground, unit B spans 10 to 20 kV, and unit C spans 20 to 30 kV. Within each unit the winding sees only its own 10 kV, so turn insulation is unchanged, which is what makes the proposal appear economical. The difficulty is the potential of each unit relative to earth. If unit C’s tank is grounded in the normal way, its winding sits 30 kV above a tank whose major insulation was designed for 10 kV, and it flashes over. If unit C’s tank is floated up with its winding, the winding-to-tank insulation is satisfied, but the tank, a large metal enclosure, now sits 20 kV above earth and above every grounded object near it. It must be mounted on standoff insulators rated for 20 kV, with matching air clearances, and every lead entering or leaving must be insulated to the cumulative voltage. This standoff insulation is the high-voltage insulation the stockpile of low-voltage units was meant to avoid. It has moved from inside the units to the surrounding structure, and it grows with stack height. Cascade transformer sets in high-voltage test laboratories are built in exactly this manner, each stage supported on insulator columns rated for the running total; those columns are the relocated insulation cost in physical form.</w:t>
      </w:r>
    </w:p>
    <w:p>
      <w:pPr>
        <w:pStyle w:val="BodyText"/>
      </w:pPr>
      <w:r>
        <w:t xml:space="preserve">Series stacking is therefore inexpensive at low voltage and grows expensive as the stack approaches high voltage. Stacking 240 V blocks to 480 or 720 V carries a trivial standoff penalty; stacking toward transmission voltage does not. Because the supply bottleneck is concentrated in large high-voltage units (Section 3.1), unit-stacking provides the least relief where the shortage is most severe.</w:t>
      </w:r>
    </w:p>
    <w:p>
      <w:pPr>
        <w:pStyle w:val="BodyText"/>
      </w:pPr>
      <w:r>
        <w:t xml:space="preserve">Segmented-core construction avoids the cost by placing the modularity in the magnetic circuit rather than the electrical connection. A single transformer, with one winding set and one ground reference, is built around a core assembled on site from segments that ship flat and bolt together. A bolted core joint is a magnetic joint: steel carries flux, not potential. No part of the assembled unit floats at a cumulative voltage above earth, so the winding-to-ground insulation is sized once, at the rated voltage, exactly as in a conventional transformer. The unit is an ordinary transformer delivered as a flat-packed kit, and it carries an ordinary transformer’s insulation cost. The stockpile is held as commodity mild steel and copper rather than as finished units, and the field rewinding practice described in Section 3.2 restores a damaged unit from those same materials. This delivers the transport and standardization benefits the stacking proposal seeks, without the winding-to-ground insulation penalty that stacking relocates but does not remove.</w:t>
      </w:r>
    </w:p>
    <w:bookmarkEnd w:id="16"/>
    <w:bookmarkEnd w:id="17"/>
    <w:bookmarkStart w:id="21" w:name="the-conversion-device-comparison"/>
    <w:p>
      <w:pPr>
        <w:pStyle w:val="Heading2"/>
      </w:pPr>
      <w:r>
        <w:t xml:space="preserve">4. THE CONVERSION DEVICE COMPARISON</w:t>
      </w:r>
    </w:p>
    <w:bookmarkStart w:id="18" w:name="ac-ac-the-passive-transformer"/>
    <w:p>
      <w:pPr>
        <w:pStyle w:val="Heading3"/>
      </w:pPr>
      <w:r>
        <w:t xml:space="preserve">4.1 AC-AC: The Passive Transformer</w:t>
      </w:r>
    </w:p>
    <w:p>
      <w:pPr>
        <w:pStyle w:val="FirstParagraph"/>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bookmarkEnd w:id="18"/>
    <w:bookmarkStart w:id="19" w:name="dc-dc-the-solid-state-transformer-sst"/>
    <w:p>
      <w:pPr>
        <w:pStyle w:val="Heading3"/>
      </w:pPr>
      <w:r>
        <w:t xml:space="preserve">4.2 DC-DC: The Solid-State Transformer (SST)</w:t>
      </w:r>
    </w:p>
    <w:p>
      <w:pPr>
        <w:pStyle w:val="FirstParagraph"/>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bookmarkEnd w:id="19"/>
    <w:bookmarkStart w:id="20" w:name="the-missing-comparison-ac-ac-vs.-dc-dc"/>
    <w:p>
      <w:pPr>
        <w:pStyle w:val="Heading3"/>
      </w:pPr>
      <w:r>
        <w:t xml:space="preserve">4.3 The Missing Comparison: AC-AC vs. DC-DC</w:t>
      </w:r>
    </w:p>
    <w:p>
      <w:pPr>
        <w:pStyle w:val="FirstParagraph"/>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bookmarkEnd w:id="20"/>
    <w:bookmarkEnd w:id="21"/>
    <w:bookmarkStart w:id="22" w:name="end-to-end-efficiency-comparison"/>
    <w:p>
      <w:pPr>
        <w:pStyle w:val="Heading2"/>
      </w:pPr>
      <w:r>
        <w:t xml:space="preserve">5. END-TO-END EFFICIENCY COMPARISON</w:t>
      </w:r>
    </w:p>
    <w:p>
      <w:pPr>
        <w:pStyle w:val="FirstParagraph"/>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tblLayout w:type="fixed"/>
        <w:tblLook w:firstRow="1" w:lastRow="0" w:firstColumn="0" w:lastColumn="0" w:noHBand="0" w:noVBand="0" w:val="0020"/>
      </w:tblPr>
      <w:tblGrid>
        <w:gridCol w:w="2430"/>
        <w:gridCol w:w="1890"/>
        <w:gridCol w:w="1620"/>
        <w:gridCol w:w="1980"/>
      </w:tblGrid>
      <w:tr>
        <w:trPr>
          <w:tblHeader w:val="on"/>
        </w:trPr>
        <w:tc>
          <w:tcPr/>
          <w:p>
            <w:pPr>
              <w:pStyle w:val="Compact"/>
              <w:jc w:val="left"/>
            </w:pPr>
            <w:r>
              <w:t xml:space="preserve">Stage</w:t>
            </w:r>
          </w:p>
        </w:tc>
        <w:tc>
          <w:tcPr/>
          <w:p>
            <w:pPr>
              <w:pStyle w:val="Compact"/>
              <w:jc w:val="left"/>
            </w:pPr>
            <w:r>
              <w:t xml:space="preserve">12 Hz AC Grid</w:t>
            </w:r>
          </w:p>
        </w:tc>
        <w:tc>
          <w:tcPr/>
          <w:p>
            <w:pPr>
              <w:pStyle w:val="Compact"/>
              <w:jc w:val="left"/>
            </w:pPr>
            <w:r>
              <w:t xml:space="preserve">All-DC Grid</w:t>
            </w:r>
          </w:p>
        </w:tc>
        <w:tc>
          <w:tcPr/>
          <w:p>
            <w:pPr>
              <w:pStyle w:val="Compact"/>
              <w:jc w:val="left"/>
            </w:pPr>
            <w: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bookmarkEnd w:id="22"/>
    <w:bookmarkStart w:id="27" w:name="semiconductor-dependency-analysis"/>
    <w:p>
      <w:pPr>
        <w:pStyle w:val="Heading2"/>
      </w:pPr>
      <w:r>
        <w:t xml:space="preserve">6. SEMICONDUCTOR DEPENDENCY ANALYSIS</w:t>
      </w:r>
    </w:p>
    <w:bookmarkStart w:id="23" w:name="semiconductor-content-by-architecture"/>
    <w:p>
      <w:pPr>
        <w:pStyle w:val="Heading3"/>
      </w:pPr>
      <w:r>
        <w:t xml:space="preserve">6.1 Semiconductor Content by Architecture</w:t>
      </w:r>
    </w:p>
    <w:tbl>
      <w:tblPr>
        <w:tblStyle w:val="Table"/>
        <w:tblW w:type="pct" w:w="5000"/>
        <w:tblLayout w:type="fixed"/>
        <w:tblLook w:firstRow="1" w:lastRow="0" w:firstColumn="0" w:lastColumn="0" w:noHBand="0" w:noVBand="0" w:val="0020"/>
      </w:tblPr>
      <w:tblGrid>
        <w:gridCol w:w="1669"/>
        <w:gridCol w:w="3148"/>
        <w:gridCol w:w="3101"/>
      </w:tblGrid>
      <w:tr>
        <w:trPr>
          <w:tblHeader w:val="on"/>
        </w:trPr>
        <w:tc>
          <w:tcPr/>
          <w:p>
            <w:pPr>
              <w:pStyle w:val="Compact"/>
              <w:jc w:val="left"/>
            </w:pPr>
            <w:r>
              <w:t xml:space="preserve">Grid Function</w:t>
            </w:r>
          </w:p>
        </w:tc>
        <w:tc>
          <w:tcPr/>
          <w:p>
            <w:pPr>
              <w:pStyle w:val="Compact"/>
              <w:jc w:val="left"/>
            </w:pPr>
            <w:r>
              <w:t xml:space="preserve">12 Hz AC Architecture</w:t>
            </w:r>
          </w:p>
        </w:tc>
        <w:tc>
          <w:tcPr/>
          <w:p>
            <w:pPr>
              <w:pStyle w:val="Compact"/>
              <w:jc w:val="left"/>
            </w:pPr>
            <w: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bookmarkEnd w:id="23"/>
    <w:bookmarkStart w:id="24" w:name="supply-chain-failure-modes"/>
    <w:p>
      <w:pPr>
        <w:pStyle w:val="Heading3"/>
      </w:pPr>
      <w:r>
        <w:t xml:space="preserve">6.2 Supply Chain Failure Modes</w:t>
      </w:r>
    </w:p>
    <w:p>
      <w:pPr>
        <w:pStyle w:val="FirstParagraph"/>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biomass, wind turbines with directly connected generators)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and capacitor wear-out on a 10–20 year cycle. In a supply chain disruption, the solar panels keep generating for decades while the DC backbone converters fail years earlier — leaving generation capacity stranded behind failed voltage conversion equipment.</w:t>
      </w:r>
    </w:p>
    <w:bookmarkEnd w:id="24"/>
    <w:bookmarkStart w:id="25" w:name="the-quartz-supply-chain"/>
    <w:p>
      <w:pPr>
        <w:pStyle w:val="Heading3"/>
      </w:pPr>
      <w:r>
        <w:t xml:space="preserve">6.3 The Quartz Supply Chain</w:t>
      </w:r>
    </w:p>
    <w:p>
      <w:pPr>
        <w:pStyle w:val="FirstParagraph"/>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bookmarkEnd w:id="25"/>
    <w:bookmarkStart w:id="26" w:name="the-brushless-motor-paradox"/>
    <w:p>
      <w:pPr>
        <w:pStyle w:val="Heading3"/>
      </w:pPr>
      <w:r>
        <w:t xml:space="preserve">6.4 The Brushless Motor Paradox</w:t>
      </w:r>
    </w:p>
    <w:p>
      <w:pPr>
        <w:pStyle w:val="FirstParagraph"/>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bookmarkEnd w:id="26"/>
    <w:bookmarkEnd w:id="27"/>
    <w:bookmarkStart w:id="30" w:name="the-dc-circuit-breaking-problem"/>
    <w:p>
      <w:pPr>
        <w:pStyle w:val="Heading2"/>
      </w:pPr>
      <w:r>
        <w:t xml:space="preserve">7. THE DC CIRCUIT BREAKING PROBLEM</w:t>
      </w:r>
    </w:p>
    <w:bookmarkStart w:id="28" w:name="ac-physics-cooperates"/>
    <w:p>
      <w:pPr>
        <w:pStyle w:val="Heading3"/>
      </w:pPr>
      <w:r>
        <w:t xml:space="preserve">7.1 AC: Physics Cooperates</w:t>
      </w:r>
    </w:p>
    <w:p>
      <w:pPr>
        <w:pStyle w:val="FirstParagraph"/>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 oil breakers proven since the early twentieth century, SF6 since mid-century.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bookmarkEnd w:id="28"/>
    <w:bookmarkStart w:id="29" w:name="dc-physics-resists"/>
    <w:p>
      <w:pPr>
        <w:pStyle w:val="Heading3"/>
      </w:pPr>
      <w:r>
        <w:t xml:space="preserve">7.2 DC: Physics Resists</w:t>
      </w:r>
    </w:p>
    <w:p>
      <w:pPr>
        <w:pStyle w:val="FirstParagraph"/>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at distribution voltage is a solved but expensive problem: hybrid and solid-state DC breakers use substantially more power electronics and cooling than AC breakers of the same rating — $2,000–$10,000 each for distribution-class, vs. $200–$1,000 for an equivalent AC breaker. In the all-DC grid, the most safety-critical function — fault interruption — depends on the component with the shortest lifespan and the most constrained supply chain.</w:t>
      </w:r>
    </w:p>
    <w:bookmarkEnd w:id="29"/>
    <w:bookmarkEnd w:id="30"/>
    <w:bookmarkStart w:id="33" w:name="component-lifespan-and-field-reliability"/>
    <w:p>
      <w:pPr>
        <w:pStyle w:val="Heading2"/>
      </w:pPr>
      <w:r>
        <w:t xml:space="preserve">8. COMPONENT LIFESPAN AND FIELD RELIABILITY</w:t>
      </w:r>
    </w:p>
    <w:bookmarkStart w:id="31" w:name="passive-transformer"/>
    <w:p>
      <w:pPr>
        <w:pStyle w:val="Heading3"/>
      </w:pPr>
      <w:r>
        <w:t xml:space="preserve">8.1 Passive Transformer</w:t>
      </w:r>
    </w:p>
    <w:p>
      <w:pPr>
        <w:pStyle w:val="FirstParagraph"/>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bookmarkEnd w:id="31"/>
    <w:bookmarkStart w:id="32" w:name="semiconductor-devices"/>
    <w:p>
      <w:pPr>
        <w:pStyle w:val="Heading3"/>
      </w:pPr>
      <w:r>
        <w:t xml:space="preserve">8.2 Semiconductor Devices</w:t>
      </w:r>
    </w:p>
    <w:p>
      <w:pPr>
        <w:pStyle w:val="FirstParagraph"/>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 “30–40 year” 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bookmarkEnd w:id="32"/>
    <w:bookmarkEnd w:id="33"/>
    <w:bookmarkStart w:id="37" w:name="Xb89f138afeb0b393bb4b7ae3cf391f7dda90771"/>
    <w:p>
      <w:pPr>
        <w:pStyle w:val="Heading2"/>
      </w:pPr>
      <w:r>
        <w:t xml:space="preserve">9. DEPLOYMENT LOGISTICS AND CONSTRUCTION TIMELINE</w:t>
      </w:r>
    </w:p>
    <w:bookmarkStart w:id="34" w:name="lead-time-comparison"/>
    <w:p>
      <w:pPr>
        <w:pStyle w:val="Heading3"/>
      </w:pPr>
      <w:r>
        <w:t xml:space="preserve">9.1 Lead Time Comparison</w:t>
      </w:r>
    </w:p>
    <w:tbl>
      <w:tblPr>
        <w:tblStyle w:val="Table"/>
        <w:tblW w:type="pct" w:w="5000"/>
        <w:tblLayout w:type="fixed"/>
        <w:tblLook w:firstRow="1" w:lastRow="0" w:firstColumn="0" w:lastColumn="0" w:noHBand="0" w:noVBand="0" w:val="0020"/>
      </w:tblPr>
      <w:tblGrid>
        <w:gridCol w:w="1037"/>
        <w:gridCol w:w="3252"/>
        <w:gridCol w:w="3630"/>
      </w:tblGrid>
      <w:tr>
        <w:trPr>
          <w:tblHeader w:val="on"/>
        </w:trPr>
        <w:tc>
          <w:tcPr/>
          <w:p>
            <w:pPr>
              <w:pStyle w:val="Compact"/>
              <w:jc w:val="left"/>
            </w:pPr>
            <w:r>
              <w:t xml:space="preserve">Metric</w:t>
            </w:r>
          </w:p>
        </w:tc>
        <w:tc>
          <w:tcPr/>
          <w:p>
            <w:pPr>
              <w:pStyle w:val="Compact"/>
              <w:jc w:val="left"/>
            </w:pPr>
            <w:r>
              <w:t xml:space="preserve">12 Hz AC Transformer</w:t>
            </w:r>
          </w:p>
        </w:tc>
        <w:tc>
          <w:tcPr/>
          <w:p>
            <w:pPr>
              <w:pStyle w:val="Compact"/>
              <w:jc w:val="left"/>
            </w:pPr>
            <w: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bookmarkEnd w:id="34"/>
    <w:bookmarkStart w:id="35" w:name="construction-time"/>
    <w:p>
      <w:pPr>
        <w:pStyle w:val="Heading3"/>
      </w:pPr>
      <w:r>
        <w:t xml:space="preserve">9.2 Construction Time</w:t>
      </w:r>
    </w:p>
    <w:p>
      <w:pPr>
        <w:pStyle w:val="FirstParagraph"/>
      </w:pPr>
      <w:r>
        <w:rPr>
          <w:b/>
          <w:bCs/>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
          <w:bCs/>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bookmarkEnd w:id="35"/>
    <w:bookmarkStart w:id="36" w:name="national-deployment-math"/>
    <w:p>
      <w:pPr>
        <w:pStyle w:val="Heading3"/>
      </w:pPr>
      <w:r>
        <w:t xml:space="preserve">9.3 National Deployment Math</w:t>
      </w:r>
    </w:p>
    <w:p>
      <w:pPr>
        <w:pStyle w:val="FirstParagraph"/>
      </w:pPr>
      <w:r>
        <w:t xml:space="preserve">For a national grid with 10,000 voltage transition points:</w:t>
      </w:r>
    </w:p>
    <w:p>
      <w:pPr>
        <w:pStyle w:val="BodyText"/>
      </w:pPr>
      <w:r>
        <w:rPr>
          <w:b/>
          <w:bCs/>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
          <w:bCs/>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bookmarkEnd w:id="36"/>
    <w:bookmarkEnd w:id="37"/>
    <w:bookmarkStart w:id="41" w:name="workforce-requirements"/>
    <w:p>
      <w:pPr>
        <w:pStyle w:val="Heading2"/>
      </w:pPr>
      <w:r>
        <w:t xml:space="preserve">10. WORKFORCE REQUIREMENTS</w:t>
      </w:r>
    </w:p>
    <w:bookmarkStart w:id="38" w:name="skill-level-comparison"/>
    <w:p>
      <w:pPr>
        <w:pStyle w:val="Heading3"/>
      </w:pPr>
      <w:r>
        <w:t xml:space="preserve">10.1 Skill Level Comparison</w:t>
      </w:r>
    </w:p>
    <w:p>
      <w:pPr>
        <w:pStyle w:val="FirstParagraph"/>
      </w:pPr>
      <w:r>
        <w:rPr>
          <w:b/>
          <w:bCs/>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
          <w:bCs/>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bookmarkEnd w:id="38"/>
    <w:bookmarkStart w:id="39" w:name="maintenance-comparison"/>
    <w:p>
      <w:pPr>
        <w:pStyle w:val="Heading3"/>
      </w:pPr>
      <w:r>
        <w:t xml:space="preserve">10.2 Maintenance Comparison</w:t>
      </w:r>
    </w:p>
    <w:p>
      <w:pPr>
        <w:pStyle w:val="FirstParagraph"/>
      </w:pPr>
      <w:r>
        <w:rPr>
          <w:b/>
          <w:bCs/>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
          <w:bCs/>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bookmarkEnd w:id="39"/>
    <w:bookmarkStart w:id="40" w:name="the-labor-availability-reality"/>
    <w:p>
      <w:pPr>
        <w:pStyle w:val="Heading3"/>
      </w:pPr>
      <w:r>
        <w:t xml:space="preserve">10.3 The Labor Availability Reality</w:t>
      </w:r>
    </w:p>
    <w:p>
      <w:pPr>
        <w:pStyle w:val="FirstParagraph"/>
      </w:pPr>
      <w:r>
        <w:t xml:space="preserve">The pool of people in sub-Saharan Africa who can be trained to wind transformers, install them, and perform oil-and-visual maintenance is large — millions with the mechanical aptitude and practical experience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bookmarkEnd w:id="40"/>
    <w:bookmarkEnd w:id="41"/>
    <w:bookmarkStart w:id="47" w:name="commodity-hardware-comparison"/>
    <w:p>
      <w:pPr>
        <w:pStyle w:val="Heading2"/>
      </w:pPr>
      <w:r>
        <w:t xml:space="preserve">11. COMMODITY HARDWARE COMPARISON</w:t>
      </w:r>
    </w:p>
    <w:p>
      <w:pPr>
        <w:pStyle w:val="FirstParagraph"/>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bookmarkStart w:id="42" w:name="the-380v-component-ecosystem"/>
    <w:p>
      <w:pPr>
        <w:pStyle w:val="Heading3"/>
      </w:pPr>
      <w:r>
        <w:t xml:space="preserve">11.1 The 380V Component Ecosystem</w:t>
      </w:r>
    </w:p>
    <w:p>
      <w:pPr>
        <w:pStyle w:val="FirstParagraph"/>
      </w:pPr>
      <w:r>
        <w:t xml:space="preserve">The 380V DC standard emerged from the data center industry, backed by EPRI, the EMerge Alliance, and standards including ETSI EN 300 132-3-1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bookmarkEnd w:id="42"/>
    <w:bookmarkStart w:id="43" w:name="Xfa179e43ae043582964c7a8dd0a30b2a7592d33"/>
    <w:p>
      <w:pPr>
        <w:pStyle w:val="Heading3"/>
      </w:pPr>
      <w:r>
        <w:t xml:space="preserve">11.2 The 12 Hz Line-to-Neutral Voltage: Electrical Compatibility with 380V DC Equipment</w:t>
      </w:r>
    </w:p>
    <w:p>
      <w:pPr>
        <w:pStyle w:val="FirstParagraph"/>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directly electrically compatible across the full regulation range. ETSI EN 300 132-3-1, the standard defining the 380V DC data center bus, specifies an input acceptance range of 260–400V DC — a deliberately wide band, chosen because data center engineers knew the equipment would be fed from varying AC sources worldwide. Rectifying the 12 Hz line-to-neutral supply through a bridge rectifier ($5–20) and an iron-cored choke-input filter yields a DC output near the rectified average of 0.9 × RMS: approximately 300V for the near consumer (335V line-to-neutral) and 275V for the far consumer (306V). The choke-input stage matters: a capacitor-input rectifier at light load charges toward the AC peak (433–474V at these line voltages), overshooting the standard’s 400V ceiling, whereas the choke holds the output at the rectified average across the load range. Both filter components are passive iron-and-copper commodity items, consistent with the architecture’s material philosophy. The choke is a real component — several kilograms of laminations and copper at residential service scale — but three factors keep its cost near the bottom of its range (roughly $30–60 in materials at local fabrication, $100–150 as a commercial product): it is wound from the same mild-steel laminations, by the same workshops, as the 12 Hz transformers themselves; a swinging-choke design (a gapped core whose inductance rises as load current falls — standard 1940s rectifier practice) meets the critical-inductance requirement at light load with a fraction of the iron a linear choke needs; and a small guaranteed minimum load (an always-on LED fixture serving as bleeder) further relaxes the light-load requirement. Critically, the entrance stage exists only for the optional DC building bus. A consumer taking direct 12 Hz AC service — the default for household loads, whose appliances rectify internally with input stages rated for the service — needs no choke at all, and in village or compound deployment one entrance stage serves a shared DC bus rather than each dwelling individually, amortizing the cost across the households it serves. Every point on the distribution line therefore lands inside the acceptance window — no boost converter, no adapters, no voltage-regulation electronics at the building entrance. The AC grid’s natural regulation band is absorbed by the DC equipment’s designed input tolerance.</w:t>
      </w:r>
    </w:p>
    <w:p>
      <w:pPr>
        <w:pStyle w:val="BodyText"/>
      </w:pPr>
      <w:r>
        <w:t xml:space="preserve">The choke can be avoided where the neighborhood transformer provides a dedicated low-voltage three-phase secondary. A six-pulse bridge (six diodes) fed from three-phase power bounds its output by topology rather than by filtering: the instantaneous output never falls below 1.225 × V_LL nor rises above 1.414 × V_LL, and the ripple sits at six times line frequency (72 Hz at 12 Hz) at only a few percent amplitude — small filter components, if any at all. A secondary winding of approximately 280V line-to-line yields roughly 310–395V DC across the full load range and line position, landing nearer the 380V nominal than the single-phase path does. The trade-off is architectural: the dedicated winding reintroduces a transformer stage for DC-bus service, which the transformerless 600V-class consumer tier deliberately avoids. The single-phase rectifier-and-choke entrance suits the transformerless baseline; the dual-secondary six-pulse option suits locations with concentrated DC demand — data centers, battery depots, EV charging clusters.</w:t>
      </w:r>
    </w:p>
    <w:p>
      <w:pPr>
        <w:pStyle w:val="BodyText"/>
      </w:pPr>
      <w:r>
        <w:t xml:space="preserve">Where DC demand justifies the dedicated secondary at all, the recommended configuration is the twelve-pulse extension of the same idea. Winding the neighborhood transformer with two low-voltage secondaries — one wye, one delta — places their outputs 30 electrical degrees apart, and connecting a six-pulse bridge to each with the two DC outputs in series interleaves the ripple: output ripple drops to roughly 1% at twelve times line frequency (144 Hz at 12 Hz), the output band tightens to approximately 1.35–1.41 × the summed winding voltage, and the fifth and seventh harmonic currents cancel on the AC side, so the DC load presents a nearly clean profile to the distribution feeder. The series connection matters: paralleling the two bridges would require an interphase reactor — iron creeping back into the design — while the series form (the standard configuration in HVDC terminals and smelter rectifiers worldwide) needs no interphase reactor, no choke, and no mandatory filter capacitor. With each secondary at approximately 140V line-to-line, the stack delivers roughly 350–395V DC across the load range and line position. The cost accounting is favorable because the marginal iron is winding on a core already in the design: the dual secondary adds roughly 10–20% to a locally wound neighborhood transformer ($300–1,000 on a $2,000–8,000 unit), and the twelve diodes are commodity stud or press-fit rectifiers ($30–120, frequency-indifferent, socketed for spares-in-a-drawer replacement) plus heatsink, fusing, and enclosure ($100–200). For a twenty-household compound, the entrance stage amortizes to $20–70 per household — below the per-building cost of the single-phase choke path, with better power quality. The resulting ~380V bus is a compound-local bus (tens to low hundreds of meters); distribution distance remains on the 530–580V AC tier.</w:t>
      </w:r>
    </w:p>
    <w:p>
      <w:pPr>
        <w:pStyle w:val="BodyText"/>
      </w:pPr>
      <w:r>
        <w:t xml:space="preserve">Where DC demand justifies it, the six-pulse option extends to twelve-pulse: give the transformer two low-voltage secondaries, one wye and one delta. The 30° phase shift between them interleaves the two bridges, cutting ripple to roughly 1% at twelve times line frequency (144 Hz at 12 Hz) and tightening the output to approximately 1.35 × ΣV_LL with only ±1.5% ripple band before line regulation — and the 5th and 7th harmonic currents cancel on the AC side by winding geometry, so the DC load presents a nearly clean current to the distribution feeder with no filtering equipment. This is the standard configuration of every HVDC terminal and smelter rectifier in service; here it is twelve diodes and one additional winding set on a transformer the local workshop is winding anyway. Costs, itemized for a 10–50 kW compound bus where the distribution transformer exists regardless: the second secondary adds $300–1,500 to a field-built unit (two half-voltage secondaries with series-stacked bridges avoid the interphase reactor that parallel operation requires); twelve diodes with heatsinks and bus bars run $100–250, socketed and spare-in-a-drawer; DC fusing, disconnect, surge protection, and enclosure add $150–400 — a total increment of roughly $550–2,250, or $30–115 per household across a twenty-household compound. A dedicated dual-secondary unit for an isolated site raises the total to $2,200–7,500. The bridges’ quasi-square current draw normally forces a 5–10% transformer derating, but at 12 Hz the harmonic eddy heating that drives this derating at 50/60 Hz is largely negligible; and a bolted DC fault reflects through the transformer’s leakage reactance to the AC side, where zero-crossing protection clears it conventionally. The single-phase choke entrance remains correct for an individual building; twelve-pulse is the recommended configuration for concentrated DC loads — clinics, data rooms, battery depots, compound-scale buses.</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 “safety cliff” 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bookmarkEnd w:id="43"/>
    <w:bookmarkStart w:id="44" w:name="adoptable-ideas-from-the-dc-architecture"/>
    <w:p>
      <w:pPr>
        <w:pStyle w:val="Heading3"/>
      </w:pPr>
      <w:r>
        <w:t xml:space="preserve">11.3 Adoptable Ideas from the DC Architecture</w:t>
      </w:r>
    </w:p>
    <w:p>
      <w:pPr>
        <w:pStyle w:val="FirstParagraph"/>
      </w:pPr>
      <w:r>
        <w:t xml:space="preserve">Several design choices from the all-DC proposal should be adopted into the 12 Hz architecture to leverage commodity hardware and reduce costs:</w:t>
      </w:r>
    </w:p>
    <w:p>
      <w:pPr>
        <w:pStyle w:val="BodyText"/>
      </w:pPr>
      <w:r>
        <w:rPr>
          <w:b/>
          <w:bCs/>
        </w:rPr>
        <w:t xml:space="preserve">380V DC building bus option:</w:t>
      </w:r>
      <w:r>
        <w:t xml:space="preserve"> </w:t>
      </w:r>
      <w:r>
        <w:t xml:space="preserve">For new construction, the rectifier-and-choke entrance stage described in Section 11.2 delivers approximately 275–300V DC and opens the entire 380V DC component ecosystem — data center PDUs, DC breakers, DC-rated outlets, direct battery connection. This is an optional consumer-side upgrade, not a grid requirement. If the entrance stage fails, the building reverts to direct AC operation, and every modern appliance with a switch-mode power supply continues functioning through its own internal rectifier.</w:t>
      </w:r>
    </w:p>
    <w:p>
      <w:pPr>
        <w:pStyle w:val="BodyText"/>
      </w:pPr>
      <w:r>
        <w:rPr>
          <w:b/>
          <w:bCs/>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
          <w:bCs/>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bookmarkEnd w:id="44"/>
    <w:bookmarkStart w:id="45" w:name="component-cost-and-lead-time-comparison"/>
    <w:p>
      <w:pPr>
        <w:pStyle w:val="Heading3"/>
      </w:pPr>
      <w:r>
        <w:t xml:space="preserve">11.4 Component Cost and Lead Time Comparison</w:t>
      </w:r>
    </w:p>
    <w:tbl>
      <w:tblPr>
        <w:tblStyle w:val="Table"/>
        <w:tblW w:type="pct" w:w="5000"/>
        <w:tblLayout w:type="fixed"/>
        <w:tblLook w:firstRow="1" w:lastRow="0" w:firstColumn="0" w:lastColumn="0" w:noHBand="0" w:noVBand="0" w:val="0020"/>
      </w:tblPr>
      <w:tblGrid>
        <w:gridCol w:w="1382"/>
        <w:gridCol w:w="2304"/>
        <w:gridCol w:w="2598"/>
        <w:gridCol w:w="1634"/>
      </w:tblGrid>
      <w:tr>
        <w:trPr>
          <w:tblHeader w:val="on"/>
        </w:trPr>
        <w:tc>
          <w:tcPr/>
          <w:p>
            <w:pPr>
              <w:pStyle w:val="Compact"/>
              <w:jc w:val="left"/>
            </w:pPr>
            <w:r>
              <w:t xml:space="preserve">Component</w:t>
            </w:r>
          </w:p>
        </w:tc>
        <w:tc>
          <w:tcPr/>
          <w:p>
            <w:pPr>
              <w:pStyle w:val="Compact"/>
              <w:jc w:val="left"/>
            </w:pPr>
            <w:r>
              <w:t xml:space="preserve">12 Hz AC (306–335V / 600V-class)</w:t>
            </w:r>
          </w:p>
        </w:tc>
        <w:tc>
          <w:tcPr/>
          <w:p>
            <w:pPr>
              <w:pStyle w:val="Compact"/>
              <w:jc w:val="left"/>
            </w:pPr>
            <w:r>
              <w:t xml:space="preserve">All-DC (380V building)</w:t>
            </w:r>
          </w:p>
        </w:tc>
        <w:tc>
          <w:tcPr/>
          <w:p>
            <w:pPr>
              <w:pStyle w:val="Compact"/>
              <w:jc w:val="left"/>
            </w:pPr>
            <w: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DC bus entrance stage (optional)</w:t>
            </w:r>
          </w:p>
        </w:tc>
        <w:tc>
          <w:tcPr/>
          <w:p>
            <w:pPr>
              <w:pStyle w:val="Compact"/>
              <w:jc w:val="left"/>
            </w:pPr>
            <w:r>
              <w:t xml:space="preserve">Per building: bridge + iron choke, $35–$170; per compound: twelve-pulse dual-secondary stage, ~$450–$1,300 ($20–70/household) — locally fabricable, needed only where a DC bus is wanted</w:t>
            </w:r>
          </w:p>
        </w:tc>
        <w:tc>
          <w:tcPr/>
          <w:p>
            <w:pPr>
              <w:pStyle w:val="Compact"/>
              <w:jc w:val="left"/>
            </w:pPr>
            <w:r>
              <w:t xml:space="preserve">None — native DC</w:t>
            </w:r>
          </w:p>
        </w:tc>
        <w:tc>
          <w:tcPr/>
          <w:p>
            <w:pPr>
              <w:pStyle w:val="Compact"/>
              <w:jc w:val="left"/>
            </w:pPr>
            <w:r>
              <w:t xml:space="preserve">DC — but stage is optional and per-compound sharable</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bookmarkEnd w:id="45"/>
    <w:bookmarkStart w:id="46" w:name="adopting-the-380v-dc-commodity-insight"/>
    <w:p>
      <w:pPr>
        <w:pStyle w:val="Heading3"/>
      </w:pPr>
      <w:r>
        <w:t xml:space="preserve">11.5 Adopting the 380V DC Commodity Insight</w:t>
      </w:r>
    </w:p>
    <w:p>
      <w:pPr>
        <w:pStyle w:val="FirstParagraph"/>
      </w:pPr>
      <w:r>
        <w:t xml:space="preserve">The most valuable contribution of the all-DC analysis is the identification of 380V DC as a commodity voltage standard with a growing global ecosystem. The 12 Hz architecture formally adopts this insight: 380V-class DC is the recommended building-internal bus wherever DC distribution is wanted, delivered through the passive entrance stage of Section 11.2 rather than through a DC backbone. This captures the endpoint efficiency advantage of DC distribution and the 380V commodity component ecosystem while keeping the backbone semiconductor-free. The entrance stage is replaceable by any electrician, and its failure mode is benign: the building reverts to direct AC operation with no loss of function for modern loads that rectify internally.</w:t>
      </w:r>
    </w:p>
    <w:bookmarkEnd w:id="46"/>
    <w:bookmarkEnd w:id="47"/>
    <w:bookmarkStart w:id="50" w:name="X07de2525d09cfa5797a74acda8dbafc0cd82e0c"/>
    <w:p>
      <w:pPr>
        <w:pStyle w:val="Heading2"/>
      </w:pPr>
      <w:r>
        <w:t xml:space="preserve">12. MATERIAL SOVEREIGNTY AND CIRCULAR ECONOMY</w:t>
      </w:r>
    </w:p>
    <w:bookmarkStart w:id="48" w:name="material-recovery"/>
    <w:p>
      <w:pPr>
        <w:pStyle w:val="Heading3"/>
      </w:pPr>
      <w:r>
        <w:t xml:space="preserve">12.1 Material Recovery</w:t>
      </w:r>
    </w:p>
    <w:p>
      <w:pPr>
        <w:pStyle w:val="FirstParagraph"/>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scrapped ICE vehicles can serve as supporting materials in DC converter stations but cannot become the critical functional components (semiconductor devices), which must always come new from a fab.</w:t>
      </w:r>
    </w:p>
    <w:bookmarkEnd w:id="48"/>
    <w:bookmarkStart w:id="49" w:name="the-dependency-structure"/>
    <w:p>
      <w:pPr>
        <w:pStyle w:val="Heading3"/>
      </w:pPr>
      <w:r>
        <w:t xml:space="preserve">12.2 The Dependency Structure</w:t>
      </w:r>
    </w:p>
    <w:p>
      <w:pPr>
        <w:pStyle w:val="FirstParagraph"/>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 “benefit” of faster electrification through imported semiconductor-dependent infrastructure is real but temporary if it creates permanent dependency. Fast electrification that entrenches structural dependency is not development.</w:t>
      </w:r>
    </w:p>
    <w:bookmarkEnd w:id="49"/>
    <w:bookmarkEnd w:id="50"/>
    <w:bookmarkStart w:id="53" w:name="sodium-ion-battery-integration"/>
    <w:p>
      <w:pPr>
        <w:pStyle w:val="Heading2"/>
      </w:pPr>
      <w:r>
        <w:t xml:space="preserve">13. SODIUM-ION BATTERY INTEGRATION</w:t>
      </w:r>
    </w:p>
    <w:p>
      <w:pPr>
        <w:pStyle w:val="FirstParagraph"/>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$8,000–$12,000 for cells, plus $2,000–$5,000 for battery management system, enclosure, and wiring. Battery integration is not a differentiator between architectures.</w:t>
      </w:r>
    </w:p>
    <w:bookmarkStart w:id="51" w:name="Xe0c59283f74ad9c54c1eb95694aee955bf8f551"/>
    <w:p>
      <w:pPr>
        <w:pStyle w:val="Heading3"/>
      </w:pPr>
      <w:r>
        <w:t xml:space="preserve">13.1 Design Philosophy: Batteries as Buffer, Not Baseload</w:t>
      </w:r>
    </w:p>
    <w:p>
      <w:pPr>
        <w:pStyle w:val="FirstParagraph"/>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bookmarkEnd w:id="51"/>
    <w:bookmarkStart w:id="52" w:name="battery-interface-differences"/>
    <w:p>
      <w:pPr>
        <w:pStyle w:val="Heading3"/>
      </w:pPr>
      <w:r>
        <w:t xml:space="preserve">13.2 Battery Interface Differences</w:t>
      </w:r>
    </w:p>
    <w:p>
      <w:pPr>
        <w:pStyle w:val="FirstParagraph"/>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bookmarkEnd w:id="52"/>
    <w:bookmarkEnd w:id="53"/>
    <w:bookmarkStart w:id="58" w:name="Xece5f892af1bae32b72f3fd9e5b1543473c705e"/>
    <w:p>
      <w:pPr>
        <w:pStyle w:val="Heading2"/>
      </w:pPr>
      <w:r>
        <w:t xml:space="preserve">14. CASE STUDIES: REAL-WORLD CRISIS PERFORMANCE</w:t>
      </w:r>
    </w:p>
    <w:bookmarkStart w:id="54" w:name="case-study-kariba-dam-drought-20232026"/>
    <w:p>
      <w:pPr>
        <w:pStyle w:val="Heading3"/>
      </w:pPr>
      <w:r>
        <w:t xml:space="preserve">14.1 Case Study: Kariba Dam Drought (2023–2026)</w:t>
      </w:r>
    </w:p>
    <w:p>
      <w:pPr>
        <w:pStyle w:val="FirstParagraph"/>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
          <w:bCs/>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with directly connected generators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
          <w:bCs/>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bookmarkEnd w:id="54"/>
    <w:bookmarkStart w:id="55" w:name="case-study-uganda-ground-conditions"/>
    <w:p>
      <w:pPr>
        <w:pStyle w:val="Heading3"/>
      </w:pPr>
      <w:r>
        <w:t xml:space="preserve">14.2 Case Study: Uganda — Ground Conditions</w:t>
      </w:r>
    </w:p>
    <w:p>
      <w:pPr>
        <w:pStyle w:val="FirstParagraph"/>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 “power thieves.” The former distribution concessionaire UMEME was widely criticized over service quality and tariffs during its 20-year concession, which ended in March 2025 when distribution reverted to the state-owned UEDCL.</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bookmarkEnd w:id="55"/>
    <w:bookmarkStart w:id="56" w:name="X409b0982a7b87125af1c6542182192a78803843"/>
    <w:p>
      <w:pPr>
        <w:pStyle w:val="Heading3"/>
      </w:pPr>
      <w:r>
        <w:t xml:space="preserve">14.3 Uganda: The Exploding Transformer Under Both Architectures</w:t>
      </w:r>
    </w:p>
    <w:p>
      <w:pPr>
        <w:pStyle w:val="FirstParagraph"/>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
          <w:bCs/>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
          <w:bCs/>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bookmarkEnd w:id="56"/>
    <w:bookmarkStart w:id="57" w:name="X7c4d5557f3ecbcaa3fa0b407678964b8f97d9cc"/>
    <w:p>
      <w:pPr>
        <w:pStyle w:val="Heading3"/>
      </w:pPr>
      <w:r>
        <w:t xml:space="preserve">14.4 Case Study: Pakistan — The People-Led Solar Revolution</w:t>
      </w:r>
    </w:p>
    <w:p>
      <w:pPr>
        <w:pStyle w:val="FirstParagraph"/>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 “people-led solar revolution.”</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 the Kampala expatriate compound where, as field contacts in Uganda describe it, Ericsson’s foreign engineers were billeted while maintaining national telecom infrastructure that no local was trained to touch.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 national infrastructure that runs only as long as the foreign specialists remain in residence — that Pakistan’s solar revolution bypassed.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bookmarkEnd w:id="57"/>
    <w:bookmarkEnd w:id="58"/>
    <w:bookmarkStart w:id="60" w:name="the-complementary-architecture"/>
    <w:p>
      <w:pPr>
        <w:pStyle w:val="Heading2"/>
      </w:pPr>
      <w:r>
        <w:t xml:space="preserve">15. THE COMPLEMENTARY ARCHITECTURE</w:t>
      </w:r>
    </w:p>
    <w:p>
      <w:pPr>
        <w:pStyle w:val="FirstParagraph"/>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
          <w:bCs/>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
          <w:bCs/>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
          <w:bCs/>
        </w:rPr>
        <w:t xml:space="preserve">Layer 3 — Building Distribution (approximately 275–300V DC from rectified AC, or direct 306–335V AC):</w:t>
      </w:r>
      <w:r>
        <w:t xml:space="preserve"> </w:t>
      </w:r>
      <w:r>
        <w:t xml:space="preserve">At the building entrance, an optional bridge rectifier and choke-input filter — passive commodity components (Section 11.2) — convert the line-to-neutral 12 Hz supply to approximately 275–300V DC, inside the ETSI 260–400V acceptance range for 380V DC-rated equipment. The entire 380V DC component ecosystem (data center PDUs, DC breakers, battery packs, DC appliances) operates on this bus natively. If the entrance stage fails, the building runs directly on AC; every modern switch-mode appliance handles either input through its internal rectifier.</w:t>
      </w:r>
    </w:p>
    <w:p>
      <w:pPr>
        <w:pStyle w:val="BodyText"/>
      </w:pPr>
      <w:r>
        <w:rPr>
          <w:b/>
          <w:bCs/>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bookmarkStart w:id="59" w:name="X1f4b196b6f2308df157d1058bc36835dc25dc01"/>
    <w:p>
      <w:pPr>
        <w:pStyle w:val="Heading3"/>
      </w:pPr>
      <w:r>
        <w:t xml:space="preserve">15.1 Integration with Existing PAYG Solar Deployments</w:t>
      </w:r>
    </w:p>
    <w:p>
      <w:pPr>
        <w:pStyle w:val="FirstParagraph"/>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bookmarkEnd w:id="59"/>
    <w:bookmarkEnd w:id="60"/>
    <w:bookmarkStart w:id="64" w:name="transition-cost-and-complexity"/>
    <w:p>
      <w:pPr>
        <w:pStyle w:val="Heading2"/>
      </w:pPr>
      <w:r>
        <w:t xml:space="preserve">16. TRANSITION COST AND COMPLEXITY</w:t>
      </w:r>
    </w:p>
    <w:p>
      <w:pPr>
        <w:pStyle w:val="FirstParagraph"/>
      </w:pPr>
      <w:r>
        <w:t xml:space="preserve">Most developing nations targeted for grid expansion have some existing 50 Hz infrastructure, even if limited. The transition path from existing 50 Hz systems to each new architecture differs substantially in cost, complexity, and disruption.</w:t>
      </w:r>
    </w:p>
    <w:bookmarkStart w:id="61" w:name="transition-to-12-hz-ac"/>
    <w:p>
      <w:pPr>
        <w:pStyle w:val="Heading3"/>
      </w:pPr>
      <w:r>
        <w:t xml:space="preserve">16.1 Transition to 12 Hz AC</w:t>
      </w:r>
    </w:p>
    <w:p>
      <w:pPr>
        <w:pStyle w:val="FirstParagraph"/>
      </w:pPr>
      <w:r>
        <w:t xml:space="preserve">A 12 Hz grid cannot directly interconnect with existing 50 Hz infrastructure — the frequencies are incompatible. Transition options:</w:t>
      </w:r>
    </w:p>
    <w:p>
      <w:pPr>
        <w:pStyle w:val="BodyText"/>
      </w:pPr>
      <w:r>
        <w:rPr>
          <w:b/>
          <w:bCs/>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
          <w:bCs/>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
          <w:bCs/>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bookmarkEnd w:id="61"/>
    <w:bookmarkStart w:id="62" w:name="transition-to-all-dc"/>
    <w:p>
      <w:pPr>
        <w:pStyle w:val="Heading3"/>
      </w:pPr>
      <w:r>
        <w:t xml:space="preserve">16.2 Transition to All-DC</w:t>
      </w:r>
    </w:p>
    <w:p>
      <w:pPr>
        <w:pStyle w:val="FirstParagraph"/>
      </w:pPr>
      <w:r>
        <w:t xml:space="preserve">A DC grid also cannot directly interconnect with existing 50 Hz infrastructure without semiconductor conversion at every interface point.</w:t>
      </w:r>
    </w:p>
    <w:p>
      <w:pPr>
        <w:pStyle w:val="BodyText"/>
      </w:pPr>
      <w:r>
        <w:rPr>
          <w:b/>
          <w:bCs/>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
          <w:bCs/>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
          <w:bCs/>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bookmarkEnd w:id="62"/>
    <w:bookmarkStart w:id="63" w:name="transition-cost-comparison"/>
    <w:p>
      <w:pPr>
        <w:pStyle w:val="Heading3"/>
      </w:pPr>
      <w:r>
        <w:t xml:space="preserve">16.3 Transition Cost Comparison</w:t>
      </w:r>
    </w:p>
    <w:tbl>
      <w:tblPr>
        <w:tblStyle w:val="Table"/>
        <w:tblW w:type="pct" w:w="5000"/>
        <w:tblLayout w:type="fixed"/>
        <w:tblLook w:firstRow="1" w:lastRow="0" w:firstColumn="0" w:lastColumn="0" w:noHBand="0" w:noVBand="0" w:val="0020"/>
      </w:tblPr>
      <w:tblGrid>
        <w:gridCol w:w="1020"/>
        <w:gridCol w:w="3600"/>
        <w:gridCol w:w="3300"/>
      </w:tblGrid>
      <w:tr>
        <w:trPr>
          <w:tblHeader w:val="on"/>
        </w:trPr>
        <w:tc>
          <w:tcPr/>
          <w:p>
            <w:pPr>
              <w:pStyle w:val="Compact"/>
              <w:jc w:val="left"/>
            </w:pPr>
            <w:r>
              <w:t xml:space="preserve">Scenario</w:t>
            </w:r>
          </w:p>
        </w:tc>
        <w:tc>
          <w:tcPr/>
          <w:p>
            <w:pPr>
              <w:pStyle w:val="Compact"/>
              <w:jc w:val="left"/>
            </w:pPr>
            <w:r>
              <w:t xml:space="preserve">12 Hz AC</w:t>
            </w:r>
          </w:p>
        </w:tc>
        <w:tc>
          <w:tcPr/>
          <w:p>
            <w:pPr>
              <w:pStyle w:val="Compact"/>
              <w:jc w:val="left"/>
            </w:pPr>
            <w: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bookmarkEnd w:id="63"/>
    <w:bookmarkEnd w:id="64"/>
    <w:bookmarkStart w:id="68" w:name="showstopper-analysis"/>
    <w:p>
      <w:pPr>
        <w:pStyle w:val="Heading2"/>
      </w:pPr>
      <w:r>
        <w:t xml:space="preserve">17. SHOWSTOPPER ANALYSIS</w:t>
      </w:r>
    </w:p>
    <w:p>
      <w:pPr>
        <w:pStyle w:val="FirstParagraph"/>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bookmarkStart w:id="65" w:name="the-16.7-hz-precedent"/>
    <w:p>
      <w:pPr>
        <w:pStyle w:val="Heading3"/>
      </w:pPr>
      <w:r>
        <w:t xml:space="preserve">17.1 The 16.7 Hz Precedent</w:t>
      </w:r>
    </w:p>
    <w:p>
      <w:pPr>
        <w:pStyle w:val="FirstParagraph"/>
      </w:pPr>
      <w:r>
        <w:t xml:space="preserve">The European 16.7 Hz (originally 16⅔ Hz) single-phase rail traction network has been operating continuously since 1912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bookmarkEnd w:id="65"/>
    <w:bookmarkStart w:id="66" w:name="showstopper-comparison"/>
    <w:p>
      <w:pPr>
        <w:pStyle w:val="Heading3"/>
      </w:pPr>
      <w:r>
        <w:t xml:space="preserve">17.2 Showstopper Comparison</w:t>
      </w:r>
    </w:p>
    <w:tbl>
      <w:tblPr>
        <w:tblStyle w:val="Table"/>
        <w:tblW w:type="pct" w:w="5000"/>
        <w:tblLayout w:type="fixed"/>
        <w:tblLook w:firstRow="1" w:lastRow="0" w:firstColumn="0" w:lastColumn="0" w:noHBand="0" w:noVBand="0" w:val="0020"/>
      </w:tblPr>
      <w:tblGrid>
        <w:gridCol w:w="286"/>
        <w:gridCol w:w="2565"/>
        <w:gridCol w:w="5067"/>
      </w:tblGrid>
      <w:tr>
        <w:trPr>
          <w:tblHeader w:val="on"/>
        </w:trPr>
        <w:tc>
          <w:tcPr/>
          <w:p>
            <w:pPr>
              <w:pStyle w:val="Compact"/>
            </w:pPr>
            <w:r>
              <w:rPr>
                <w:b/>
                <w:bCs/>
              </w:rPr>
              <w:t xml:space="preserve">Category</w:t>
            </w:r>
          </w:p>
        </w:tc>
        <w:tc>
          <w:tcPr/>
          <w:p>
            <w:pPr>
              <w:pStyle w:val="Compact"/>
            </w:pPr>
            <w:r>
              <w:rPr>
                <w:b/>
                <w:bCs/>
              </w:rPr>
              <w:t xml:space="preserve">12 Hz AC</w:t>
            </w:r>
          </w:p>
        </w:tc>
        <w:tc>
          <w:tcPr/>
          <w:p>
            <w:pPr>
              <w:pStyle w:val="Compact"/>
            </w:pPr>
            <w:r>
              <w:rPr>
                <w:b/>
                <w:bCs/>
              </w:rPr>
              <w:t xml:space="preserve">All-DC</w:t>
            </w:r>
          </w:p>
        </w:tc>
      </w:tr>
      <w:tr>
        <w:tc>
          <w:tcPr/>
          <w:p>
            <w:pPr>
              <w:pStyle w:val="Compact"/>
            </w:pPr>
            <w:r>
              <w:t xml:space="preserve">Technology Maturity</w:t>
            </w:r>
          </w:p>
        </w:tc>
        <w:tc>
          <w:tcPr/>
          <w:p>
            <w:pPr>
              <w:pStyle w:val="Compact"/>
            </w:pPr>
            <w:r>
              <w:t xml:space="preserve">Manageable: No 12 Hz grid exists, but the closely related 16.7 Hz European rail network has operated since 1912.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pPr>
            <w:r>
              <w:t xml:space="preserve">Partially proven: HVDC point-to-point links are mature. Multi-terminal DC grids and meshed DC networks remain largely experimental. No multi-terminal DC grid at national scale has been built.</w:t>
            </w:r>
          </w:p>
        </w:tc>
      </w:tr>
      <w:tr>
        <w:tc>
          <w:tcPr/>
          <w:p>
            <w:pPr>
              <w:pStyle w:val="Compact"/>
            </w:pPr>
            <w:r>
              <w:t xml:space="preserve">Equipment Availability</w:t>
            </w:r>
          </w:p>
        </w:tc>
        <w:tc>
          <w:tcPr/>
          <w:p>
            <w:pPr>
              <w:pStyle w:val="Compac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pPr>
            <w:r>
              <w:t xml:space="preserve">Limited: SSTs at grid scale (100+ MW) are not commercially available. SSCBs at transmission voltage (115–765 kV) are prototype-stage. 380V DC building components exist but are niche.</w:t>
            </w:r>
          </w:p>
        </w:tc>
      </w:tr>
      <w:tr>
        <w:tc>
          <w:tcPr/>
          <w:p>
            <w:pPr>
              <w:pStyle w:val="Compact"/>
            </w:pPr>
            <w:r>
              <w:t xml:space="preserve">DC Fault Protection</w:t>
            </w:r>
          </w:p>
        </w:tc>
        <w:tc>
          <w:tcPr/>
          <w:p>
            <w:pPr>
              <w:pStyle w:val="Compact"/>
            </w:pPr>
            <w:r>
              <w:t xml:space="preserve">Not applicable: AC zero-crossing provides natural arc extinction every 41.7 ms at 12 Hz. Proven electromechanical breaker technology.</w:t>
            </w:r>
          </w:p>
        </w:tc>
        <w:tc>
          <w:tcPr/>
          <w:p>
            <w:pPr>
              <w:pStyle w:val="Compac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pPr>
            <w:r>
              <w:t xml:space="preserve">Thermomechanical Fatigue (PHYSICS)</w:t>
            </w:r>
          </w:p>
        </w:tc>
        <w:tc>
          <w:tcPr/>
          <w:p>
            <w:pPr>
              <w:pStyle w:val="Compact"/>
            </w:pPr>
            <w:r>
              <w:t xml:space="preserve">Not applicable: Transformers have no semiconductor packaging. Primary aging mechanism (cellulose insulation degradation) is slow and monitorable over 40–60 year lifespans.</w:t>
            </w:r>
          </w:p>
        </w:tc>
        <w:tc>
          <w:tcPr/>
          <w:p>
            <w:pPr>
              <w:pStyle w:val="Compac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pPr>
            <w:r>
              <w:t xml:space="preserve">Thermal Management (PHYSICS)</w:t>
            </w:r>
          </w:p>
        </w:tc>
        <w:tc>
          <w:tcPr/>
          <w:p>
            <w:pPr>
              <w:pStyle w:val="Compact"/>
            </w:pPr>
            <w:r>
              <w:t xml:space="preserve">Not a concern: Oil-cooled transformers reject waste heat passively. No active cooling components.</w:t>
            </w:r>
          </w:p>
        </w:tc>
        <w:tc>
          <w:tcPr/>
          <w:p>
            <w:pPr>
              <w:pStyle w:val="Compac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pPr>
            <w:r>
              <w:t xml:space="preserve">Semiconductor Supply Chain (STRUCTURAL)</w:t>
            </w:r>
          </w:p>
        </w:tc>
        <w:tc>
          <w:tcPr/>
          <w:p>
            <w:pPr>
              <w:pStyle w:val="Compact"/>
            </w:pPr>
            <w:r>
              <w:t xml:space="preserve">Not a showstopper: Semiconductors at the edges only. Supply chain disruption degrades endpoints; backbone continues.</w:t>
            </w:r>
          </w:p>
        </w:tc>
        <w:tc>
          <w:tcPr/>
          <w:p>
            <w:pPr>
              <w:pStyle w:val="Compac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pPr>
            <w:r>
              <w:t xml:space="preserve">Workforce (STRUCTURAL)</w:t>
            </w:r>
          </w:p>
        </w:tc>
        <w:tc>
          <w:tcPr/>
          <w:p>
            <w:pPr>
              <w:pStyle w:val="Compact"/>
            </w:pPr>
            <w:r>
              <w:t xml:space="preserve">Manageable: Trade-skilled labor pool. Transformer winding: 3–6 months training. Installation: 2 weeks. Electrician-to-engineer ratio: ~500:1.</w:t>
            </w:r>
          </w:p>
        </w:tc>
        <w:tc>
          <w:tcPr/>
          <w:p>
            <w:pPr>
              <w:pStyle w:val="Compac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pPr>
            <w:r>
              <w:t xml:space="preserve">Deployment Speed (STRUCTURAL)</w:t>
            </w:r>
          </w:p>
        </w:tc>
        <w:tc>
          <w:tcPr/>
          <w:p>
            <w:pPr>
              <w:pStyle w:val="Compact"/>
            </w:pPr>
            <w:r>
              <w:t xml:space="preserve">Moderate risk: First-article design adds 6–12 months. Then 200 crews install 10,000 points in 6 months. Scales linearly with crews.</w:t>
            </w:r>
          </w:p>
        </w:tc>
        <w:tc>
          <w:tcPr/>
          <w:p>
            <w:pPr>
              <w:pStyle w:val="Compac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pPr>
            <w:r>
              <w:t xml:space="preserve">Transformer Weight</w:t>
            </w:r>
          </w:p>
        </w:tc>
        <w:tc>
          <w:tcPr/>
          <w:p>
            <w:pPr>
              <w:pStyle w:val="Compac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pPr>
            <w:r>
              <w:t xml:space="preserve">SSTs are compact at low power. At grid scale, comparable footprint to transformer substations plus climate-controlled enclosures.</w:t>
            </w:r>
          </w:p>
        </w:tc>
      </w:tr>
      <w:tr>
        <w:tc>
          <w:tcPr/>
          <w:p>
            <w:pPr>
              <w:pStyle w:val="Compact"/>
            </w:pPr>
            <w:r>
              <w:t xml:space="preserve">Legacy Motor Compatibility</w:t>
            </w:r>
          </w:p>
        </w:tc>
        <w:tc>
          <w:tcPr/>
          <w:p>
            <w:pPr>
              <w:pStyle w:val="Compact"/>
            </w:pPr>
            <w:r>
              <w:t xml:space="preserve">Showstopper for retrofit only: 50/60 Hz induction motors are unusable at 12 Hz without VFDs. Irrelevant for new-build in unelectrified regions.</w:t>
            </w:r>
          </w:p>
        </w:tc>
        <w:tc>
          <w:tcPr/>
          <w:p>
            <w:pPr>
              <w:pStyle w:val="Compact"/>
            </w:pPr>
            <w:r>
              <w:t xml:space="preserve">Moderate: Existing AC appliances require rectifiers or replacement. Typically proposed for new-build only.</w:t>
            </w:r>
          </w:p>
        </w:tc>
      </w:tr>
    </w:tbl>
    <w:bookmarkEnd w:id="66"/>
    <w:bookmarkStart w:id="67" w:name="assessment-summary"/>
    <w:p>
      <w:pPr>
        <w:pStyle w:val="Heading3"/>
      </w:pPr>
      <w:r>
        <w:t xml:space="preserve">17.3 Assessment Summary</w:t>
      </w:r>
    </w:p>
    <w:p>
      <w:pPr>
        <w:pStyle w:val="FirstParagraph"/>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bookmarkEnd w:id="67"/>
    <w:bookmarkEnd w:id="68"/>
    <w:bookmarkStart w:id="69" w:name="the-sovereignty-question"/>
    <w:p>
      <w:pPr>
        <w:pStyle w:val="Heading2"/>
      </w:pPr>
      <w:r>
        <w:t xml:space="preserve">18. THE SOVEREIGNTY QUESTION</w:t>
      </w:r>
    </w:p>
    <w:p>
      <w:pPr>
        <w:pStyle w:val="FirstParagraph"/>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 “the semiconductor supply chain will never go offline” 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
          <w:bCs/>
        </w:rPr>
        <w:t xml:space="preserve">END OF TECHNICAL ANNEX</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2026-07-03T07:06:36Z</dcterms:created>
  <dcterms:modified xsi:type="dcterms:W3CDTF">2026-07-03T07:06:36Z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