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8cc8e5ec670c7ac5bf305a5efaf465016007789"/>
    <w:p>
      <w:pPr>
        <w:pStyle w:val="Heading1"/>
      </w:pPr>
      <w:r>
        <w:t xml:space="preserve">Transitioning to a 12 Hz / 12.5 Hz Grid Architecture</w:t>
      </w:r>
    </w:p>
    <w:bookmarkStart w:id="9" w:name="X11da7820f7167a8e4fc43f7169ed2b03c10f766"/>
    <w:p>
      <w:pPr>
        <w:pStyle w:val="Heading2"/>
      </w:pPr>
      <w:r>
        <w:t xml:space="preserve">Military deployment, civilian deployment, and the synergies between them</w:t>
      </w:r>
    </w:p>
    <w:p>
      <w:pPr>
        <w:pStyle w:val="FirstParagraph"/>
      </w:pPr>
      <w:r>
        <w:rPr>
          <w:i/>
          <w:iCs/>
        </w:rPr>
        <w:t xml:space="preserve">Companion paper to the 12 Hz AC Backbone Grid Architecture, the AC vs. DC Distribution Comparative Analysis, and the Resilient Transformer Architecture for a 12 Hz AC Backbone Grid. This paper addresses the transition from existing 50/60 Hz infrastructure to the 12 Hz / 12.5 Hz architecture in functioning advanced economies — the inverse of the parent grid proposal’s focus on greenfield deployment in reconstruction contexts. This paper assumes the reader is familiar with the architectural specifications developed in the companion documents.</w:t>
      </w:r>
    </w:p>
    <w:p>
      <w:pPr>
        <w:pStyle w:val="BodyText"/>
      </w:pPr>
      <w:r>
        <w:rPr>
          <w:b/>
          <w:bCs/>
        </w:rPr>
        <w:t xml:space="preserve">Prepared for:</w:t>
      </w:r>
      <w:r>
        <w:t xml:space="preserve"> </w:t>
      </w:r>
      <w:r>
        <w:t xml:space="preserve">General Jennie Carignan, CMM, MSC, MSM, CD — Chief of the Defence Staff, Canadian Armed Forces</w:t>
      </w:r>
    </w:p>
    <w:p>
      <w:pPr>
        <w:pStyle w:val="BodyText"/>
      </w:pPr>
      <w:r>
        <w:rPr>
          <w:b/>
          <w:bCs/>
        </w:rPr>
        <w:t xml:space="preserve">Routed through:</w:t>
      </w:r>
      <w:r>
        <w:t xml:space="preserve"> </w:t>
      </w:r>
      <w:r>
        <w:t xml:space="preserve">Assistant Deputy Minister (Infrastructure and Environment), National Defence Headquarters, Ottawa — for review and forwarding</w:t>
      </w:r>
    </w:p>
    <w:p>
      <w:pPr>
        <w:pStyle w:val="BodyText"/>
      </w:pPr>
      <w:r>
        <w:rPr>
          <w:b/>
          <w:bCs/>
        </w:rPr>
        <w:t xml:space="preserve">Author:</w:t>
      </w:r>
      <w:r>
        <w:t xml:space="preserve"> </w:t>
      </w:r>
      <w:r>
        <w:t xml:space="preserve">David Walther — tederific@gmail.com</w:t>
      </w:r>
    </w:p>
    <w:p>
      <w:r>
        <w:pict>
          <v:rect style="width:0;height:1.5pt" o:hralign="center" o:hrstd="t" o:hr="t"/>
        </w:pict>
      </w:r>
    </w:p>
    <w:bookmarkEnd w:id="9"/>
    <w:bookmarkStart w:id="10" w:name="abstract"/>
    <w:p>
      <w:pPr>
        <w:pStyle w:val="Heading2"/>
      </w:pPr>
      <w:r>
        <w:t xml:space="preserve">Abstract</w:t>
      </w:r>
    </w:p>
    <w:p>
      <w:pPr>
        <w:pStyle w:val="FirstParagraph"/>
      </w:pPr>
      <w:r>
        <w:t xml:space="preserve">The architectural case for a 12 Hz / 12.5 Hz grid was developed in three parent documents addressing the technology stack, the AC-vs-DC distribution decision, and the transformer specification. Those papers answer the question</w:t>
      </w:r>
      <w:r>
        <w:t xml:space="preserve"> </w:t>
      </w:r>
      <w:r>
        <w:t xml:space="preserve">“what should be built.”</w:t>
      </w:r>
      <w:r>
        <w:t xml:space="preserve"> </w:t>
      </w:r>
      <w:r>
        <w:t xml:space="preserve">This paper answers the harder question:</w:t>
      </w:r>
      <w:r>
        <w:t xml:space="preserve"> </w:t>
      </w:r>
      <w:r>
        <w:t xml:space="preserve">“in a functioning advanced economy with hundreds of billions of dollars of installed 50/60 Hz infrastructure, hundreds of millions of end-use devices on customer premises, regulatory bodies and rate-setting processes that operate on multi-decade timescales, and political coalitions that turn over every few years — how do you actually get there?”</w:t>
      </w:r>
    </w:p>
    <w:p>
      <w:pPr>
        <w:pStyle w:val="BodyText"/>
      </w:pPr>
      <w:r>
        <w:t xml:space="preserve">The argument this paper makes is that the question splits cleanly into two paths that should be pursued in parallel: a</w:t>
      </w:r>
      <w:r>
        <w:t xml:space="preserve"> </w:t>
      </w:r>
      <w:r>
        <w:rPr>
          <w:i/>
          <w:iCs/>
        </w:rPr>
        <w:t xml:space="preserve">military deployment path</w:t>
      </w:r>
      <w:r>
        <w:t xml:space="preserve">, where a small number of strategically-important defense installations transition to the new architecture under defense procurement authority, immune to the regulatory and political-continuity problems that kill long civilian infrastructure programs; and a</w:t>
      </w:r>
      <w:r>
        <w:t xml:space="preserve"> </w:t>
      </w:r>
      <w:r>
        <w:rPr>
          <w:i/>
          <w:iCs/>
        </w:rPr>
        <w:t xml:space="preserve">civilian deployment path</w:t>
      </w:r>
      <w:r>
        <w:t xml:space="preserve">, where electrically-isolated jurisdictions with strong utility institutions (Quebec, Iceland, Tasmania, the Iberian peninsula, possibly Hawaii, possibly Texas through ERCOT) make first-mover commitments that subsequently cascade through the standards-setting and equipment-supply ecosystem.</w:t>
      </w:r>
    </w:p>
    <w:p>
      <w:pPr>
        <w:pStyle w:val="BodyText"/>
      </w:pPr>
      <w:r>
        <w:t xml:space="preserve">These paths are not redundant. They cover different operating envelopes (military: hardened/expeditionary; civilian: large-volume utility), serve different procurement constituencies (defense appropriations vs utility rate-setting), face different timelines (military: 10–20 years; civilian: 30–40 years), and produce different artifacts (military: validated equipment specifications and operating data; civilian: regulatory precedent and manufacturing volume). But they reinforce each other on every dimension that matters: military procurement provides the manufacturing base and the political-continuity wrapper; civilian transition provides the volume and the regulatory legitimacy that makes 12 Hz a genuine standard rather than a defense-only specification. Each path supports the other, and the overall transition succeeds because they run in parallel rather than sequentially.</w:t>
      </w:r>
    </w:p>
    <w:p>
      <w:pPr>
        <w:pStyle w:val="BodyText"/>
      </w:pPr>
      <w:r>
        <w:t xml:space="preserve">The argument also makes use of two important non-obvious facts. First,</w:t>
      </w:r>
      <w:r>
        <w:t xml:space="preserve"> </w:t>
      </w:r>
      <w:r>
        <w:rPr>
          <w:b/>
          <w:bCs/>
        </w:rPr>
        <w:t xml:space="preserve">12 Hz for 60 Hz markets and 12.5 Hz for 50 Hz markets is a single architectural family</w:t>
      </w:r>
      <w:r>
        <w:t xml:space="preserve"> </w:t>
      </w:r>
      <w:r>
        <w:t xml:space="preserve">with manufacturing equipment, operating procedures, and standards specifications that overlap almost completely. The integer-ratio property (60/5 = 12, 50/4 = 12.5) is what makes both work, and a single global manufacturing base serves both markets without bifurcation. Second,</w:t>
      </w:r>
      <w:r>
        <w:t xml:space="preserve"> </w:t>
      </w:r>
      <w:r>
        <w:rPr>
          <w:b/>
          <w:bCs/>
        </w:rPr>
        <w:t xml:space="preserve">partial transitions are stable</w:t>
      </w:r>
      <w:r>
        <w:t xml:space="preserve">. Munich’s 2017 reversion of its LiMux open-source migration was not the end of European public-sector open-source adoption; Barcelona’s 2017–2019 program achieved lasting partial success, and the broader EU sovereignty initiatives have continued under their own drivers (Section 6 examines this record; it yields cautionary lessons rather than a tidy maturation curve). The lesson for grid transition is that transitions can fail or stall in their first iteration without prejudicing later attempts; institutional structures designed to survive political turnover and partial completion matter more than perfect-completion timelines.</w:t>
      </w:r>
    </w:p>
    <w:p>
      <w:pPr>
        <w:pStyle w:val="BodyText"/>
      </w:pPr>
      <w:r>
        <w:t xml:space="preserve">The paper proceeds in four parts: military deployment (Sections 1–3), civilian deployment (Sections 4–6), synergies between the two (Section 7), and conclusion (Section 8).</w:t>
      </w:r>
    </w:p>
    <w:p>
      <w:r>
        <w:pict>
          <v:rect style="width:0;height:1.5pt" o:hralign="center" o:hrstd="t" o:hr="t"/>
        </w:pict>
      </w:r>
    </w:p>
    <w:bookmarkEnd w:id="10"/>
    <w:bookmarkEnd w:id="11"/>
    <w:bookmarkStart w:id="29" w:name="part-i-military-deployment"/>
    <w:p>
      <w:pPr>
        <w:pStyle w:val="Heading1"/>
      </w:pPr>
      <w:r>
        <w:t xml:space="preserve">PART I — MILITARY DEPLOYMENT</w:t>
      </w:r>
    </w:p>
    <w:bookmarkStart w:id="16" w:name="section-1-why-military-first"/>
    <w:p>
      <w:pPr>
        <w:pStyle w:val="Heading2"/>
      </w:pPr>
      <w:r>
        <w:t xml:space="preserve">Section 1 — Why military first</w:t>
      </w:r>
    </w:p>
    <w:p>
      <w:pPr>
        <w:pStyle w:val="FirstParagraph"/>
      </w:pPr>
      <w:r>
        <w:t xml:space="preserve">The military deployment path is the right</w:t>
      </w:r>
      <w:r>
        <w:t xml:space="preserve"> </w:t>
      </w:r>
      <w:r>
        <w:rPr>
          <w:i/>
          <w:iCs/>
        </w:rPr>
        <w:t xml:space="preserve">first</w:t>
      </w:r>
      <w:r>
        <w:t xml:space="preserve"> </w:t>
      </w:r>
      <w:r>
        <w:t xml:space="preserve">deployment path for the 12 Hz / 12.5 Hz architecture, for reasons that have less to do with strategic-resilience arguments specific to defense and more to do with the</w:t>
      </w:r>
      <w:r>
        <w:t xml:space="preserve"> </w:t>
      </w:r>
      <w:r>
        <w:rPr>
          <w:i/>
          <w:iCs/>
        </w:rPr>
        <w:t xml:space="preserve">institutional structure</w:t>
      </w:r>
      <w:r>
        <w:t xml:space="preserve"> </w:t>
      </w:r>
      <w:r>
        <w:t xml:space="preserve">that defense procurement provides. The strategic-resilience case is real and substantial; it is developed in Section 2. But the deeper argument for military-first deployment is that defense procurement routes around the institutional failure modes that have killed every previous attempt at long-horizon civilian infrastructure transitions in advanced economies.</w:t>
      </w:r>
    </w:p>
    <w:bookmarkStart w:id="12" w:name="the-political-continuity-problem"/>
    <w:p>
      <w:pPr>
        <w:pStyle w:val="Heading3"/>
      </w:pPr>
      <w:r>
        <w:t xml:space="preserve">The political-continuity problem</w:t>
      </w:r>
    </w:p>
    <w:p>
      <w:pPr>
        <w:pStyle w:val="FirstParagraph"/>
      </w:pPr>
      <w:r>
        <w:t xml:space="preserve">Civilian electrical infrastructure transitions in functioning advanced economies operate on regulatory timelines that no political coalition reliably outlives. A civilian utility that commits to a frequency-conversion program needs:</w:t>
      </w:r>
    </w:p>
    <w:p>
      <w:pPr>
        <w:pStyle w:val="Compact"/>
        <w:numPr>
          <w:ilvl w:val="0"/>
          <w:numId w:val="1001"/>
        </w:numPr>
      </w:pPr>
      <w:r>
        <w:rPr>
          <w:i/>
          <w:iCs/>
        </w:rPr>
        <w:t xml:space="preserve">Provincial or state public utility commission approval</w:t>
      </w:r>
      <w:r>
        <w:t xml:space="preserve"> </w:t>
      </w:r>
      <w:r>
        <w:t xml:space="preserve">of the rate-base treatment for the conversion equipment.</w:t>
      </w:r>
    </w:p>
    <w:p>
      <w:pPr>
        <w:pStyle w:val="Compact"/>
        <w:numPr>
          <w:ilvl w:val="0"/>
          <w:numId w:val="1001"/>
        </w:numPr>
      </w:pPr>
      <w:r>
        <w:rPr>
          <w:i/>
          <w:iCs/>
        </w:rPr>
        <w:t xml:space="preserve">Federal regulatory body approval</w:t>
      </w:r>
      <w:r>
        <w:t xml:space="preserve"> </w:t>
      </w:r>
      <w:r>
        <w:t xml:space="preserve">(FERC in the US, NERC for reliability standards, CRTC-equivalent for cross-border operations) of the technical specifications and grid-stability implications.</w:t>
      </w:r>
    </w:p>
    <w:p>
      <w:pPr>
        <w:pStyle w:val="Compact"/>
        <w:numPr>
          <w:ilvl w:val="0"/>
          <w:numId w:val="1001"/>
        </w:numPr>
      </w:pPr>
      <w:r>
        <w:rPr>
          <w:i/>
          <w:iCs/>
        </w:rPr>
        <w:t xml:space="preserve">Multiple election cycles of political support</w:t>
      </w:r>
      <w:r>
        <w:t xml:space="preserve"> </w:t>
      </w:r>
      <w:r>
        <w:t xml:space="preserve">from the legislative and executive branches that govern the regulatory bodies.</w:t>
      </w:r>
    </w:p>
    <w:p>
      <w:pPr>
        <w:pStyle w:val="Compact"/>
        <w:numPr>
          <w:ilvl w:val="0"/>
          <w:numId w:val="1001"/>
        </w:numPr>
      </w:pPr>
      <w:r>
        <w:rPr>
          <w:i/>
          <w:iCs/>
        </w:rPr>
        <w:t xml:space="preserve">Manufacturer commitment</w:t>
      </w:r>
      <w:r>
        <w:t xml:space="preserve"> </w:t>
      </w:r>
      <w:r>
        <w:t xml:space="preserve">to develop, qualify, and produce equipment for a transition that will occupy 20–40 years of production schedule.</w:t>
      </w:r>
    </w:p>
    <w:p>
      <w:pPr>
        <w:pStyle w:val="Compact"/>
        <w:numPr>
          <w:ilvl w:val="0"/>
          <w:numId w:val="1001"/>
        </w:numPr>
      </w:pPr>
      <w:r>
        <w:rPr>
          <w:i/>
          <w:iCs/>
        </w:rPr>
        <w:t xml:space="preserve">Customer acceptance</w:t>
      </w:r>
      <w:r>
        <w:t xml:space="preserve"> </w:t>
      </w:r>
      <w:r>
        <w:t xml:space="preserve">of the disruption profile during the transition period.</w:t>
      </w:r>
    </w:p>
    <w:p>
      <w:pPr>
        <w:pStyle w:val="Compact"/>
        <w:numPr>
          <w:ilvl w:val="0"/>
          <w:numId w:val="1001"/>
        </w:numPr>
      </w:pPr>
      <w:r>
        <w:rPr>
          <w:i/>
          <w:iCs/>
        </w:rPr>
        <w:t xml:space="preserve">Insurance industry support</w:t>
      </w:r>
      <w:r>
        <w:t xml:space="preserve"> </w:t>
      </w:r>
      <w:r>
        <w:t xml:space="preserve">for the risk profile of the new equipment and the transition operations.</w:t>
      </w:r>
    </w:p>
    <w:p>
      <w:pPr>
        <w:pStyle w:val="FirstParagraph"/>
      </w:pPr>
      <w:r>
        <w:t xml:space="preserve">Each of these actors has veto authority. Any one of them, withdrawing support at any time during the transition, produces a Munich-class reversal: technically successful early phases, political coalition fragmenting at year 10–15, partial reversion, and the worst of both worlds — a partially-converted system with all the complexity of dual-frequency operation and none of the architectural benefits of full conversion.</w:t>
      </w:r>
    </w:p>
    <w:p>
      <w:pPr>
        <w:pStyle w:val="BodyText"/>
      </w:pPr>
      <w:r>
        <w:t xml:space="preserve">Munich’s LiMux program is the canonical case study of this failure mode in a different infrastructure domain. The City of Munich began migrating its 15,000+ municipal workstations from Microsoft Windows to a Kubuntu-based LiMux distribution and from Microsoft Office to OpenOffice/LibreOffice in 2003. The migration proceeded successfully for over a decade, with documented cost savings and technical adequacy. Then in 2017, after a change in city administration and the establishment of a Microsoft regional headquarters in Munich, the city council voted to migrate back to Windows 10 at a cost of approximately €49 million and a multi-year reversion timeline. The reversal was politically charged and the technical merits remain disputed; what is not disputed is that 14 years of municipal investment in an alternative infrastructure stack was reversed once the political coalition that initiated the program no longer held municipal authority. (Section 6 examines the fuller story, including the real technical issues that interacted with the political turnover.)</w:t>
      </w:r>
    </w:p>
    <w:p>
      <w:pPr>
        <w:pStyle w:val="BodyText"/>
      </w:pPr>
      <w:r>
        <w:t xml:space="preserve">A 12 Hz civilian grid transition with a 30-year horizon would face the same dynamics scaled up by several orders of magnitude in capital investment and political visibility. The transition would inevitably traverse multiple changes of party control at provincial/state and federal levels, multiple regulatory commission compositions, multiple utility executive teams. Any of these turnovers could produce a reversal. The probability that a coalition supporting the transition holds continuous authority for 30 years in any advanced democracy is approximately zero.</w:t>
      </w:r>
    </w:p>
    <w:bookmarkEnd w:id="12"/>
    <w:bookmarkStart w:id="13" w:name="X5686ca58ede0fba9ecfe1c903f918f057309a1f"/>
    <w:p>
      <w:pPr>
        <w:pStyle w:val="Heading3"/>
      </w:pPr>
      <w:r>
        <w:t xml:space="preserve">How military procurement partially bypasses this — and where it doesn’t</w:t>
      </w:r>
    </w:p>
    <w:p>
      <w:pPr>
        <w:pStyle w:val="FirstParagraph"/>
      </w:pPr>
      <w:r>
        <w:t xml:space="preserve">Defense procurement does not depend on the same coalitions or the same regulatory timelines as civilian rate-setting, and is</w:t>
      </w:r>
      <w:r>
        <w:t xml:space="preserve"> </w:t>
      </w:r>
      <w:r>
        <w:rPr>
          <w:i/>
          <w:iCs/>
        </w:rPr>
        <w:t xml:space="preserve">partially</w:t>
      </w:r>
      <w:r>
        <w:t xml:space="preserve"> </w:t>
      </w:r>
      <w:r>
        <w:t xml:space="preserve">but not</w:t>
      </w:r>
      <w:r>
        <w:t xml:space="preserve"> </w:t>
      </w:r>
      <w:r>
        <w:rPr>
          <w:i/>
          <w:iCs/>
        </w:rPr>
        <w:t xml:space="preserve">fully</w:t>
      </w:r>
      <w:r>
        <w:t xml:space="preserve"> </w:t>
      </w:r>
      <w:r>
        <w:t xml:space="preserve">resistant to the failure modes that killed Munich. The structural advantages are real, and so are the failure modes that defense procurement has its own version of.</w:t>
      </w:r>
    </w:p>
    <w:p>
      <w:pPr>
        <w:pStyle w:val="BodyText"/>
      </w:pPr>
      <w:r>
        <w:t xml:space="preserve">A defense ministry making infrastructure decisions for installations under its operational control — Department of National Defence sites in Canada, Department of Defense sites in the US, Bundeswehr sites in Germany, similar in other allied countries — operates under different authority and on different timescales than civilian utilities:</w:t>
      </w:r>
    </w:p>
    <w:p>
      <w:pPr>
        <w:pStyle w:val="Compact"/>
        <w:numPr>
          <w:ilvl w:val="0"/>
          <w:numId w:val="1002"/>
        </w:numPr>
      </w:pPr>
      <w:r>
        <w:rPr>
          <w:i/>
          <w:iCs/>
        </w:rPr>
        <w:t xml:space="preserve">Procurement decisions</w:t>
      </w:r>
      <w:r>
        <w:t xml:space="preserve"> </w:t>
      </w:r>
      <w:r>
        <w:t xml:space="preserve">are made by service procurement authorities (the Canadian Forces Materiel Group, US DoD acquisition channels, equivalents) under defense appropriations that span multiple political cycles.</w:t>
      </w:r>
    </w:p>
    <w:p>
      <w:pPr>
        <w:pStyle w:val="Compact"/>
        <w:numPr>
          <w:ilvl w:val="0"/>
          <w:numId w:val="1002"/>
        </w:numPr>
      </w:pPr>
      <w:r>
        <w:rPr>
          <w:i/>
          <w:iCs/>
        </w:rPr>
        <w:t xml:space="preserve">Technical specifications</w:t>
      </w:r>
      <w:r>
        <w:t xml:space="preserve"> </w:t>
      </w:r>
      <w:r>
        <w:t xml:space="preserve">are set by defense engineering organizations (DRDC in Canada, US Army Corps of Engineers ERDC and DARPA, Fraunhofer-class research institutes for European militaries) that are insulated from rate-setting and customer-acceptance processes.</w:t>
      </w:r>
    </w:p>
    <w:p>
      <w:pPr>
        <w:pStyle w:val="Compact"/>
        <w:numPr>
          <w:ilvl w:val="0"/>
          <w:numId w:val="1002"/>
        </w:numPr>
      </w:pPr>
      <w:r>
        <w:rPr>
          <w:i/>
          <w:iCs/>
        </w:rPr>
        <w:t xml:space="preserve">Grid stability</w:t>
      </w:r>
      <w:r>
        <w:t xml:space="preserve"> </w:t>
      </w:r>
      <w:r>
        <w:t xml:space="preserve">on a defense installation is internal to the installation; if the base operates a 12 Hz internal grid with conversion to civilian 60 Hz at a metering boundary, the civilian grid is unaffected and no FERC/NERC approval is required.</w:t>
      </w:r>
    </w:p>
    <w:p>
      <w:pPr>
        <w:pStyle w:val="Compact"/>
        <w:numPr>
          <w:ilvl w:val="0"/>
          <w:numId w:val="1002"/>
        </w:numPr>
      </w:pPr>
      <w:r>
        <w:rPr>
          <w:i/>
          <w:iCs/>
        </w:rPr>
        <w:t xml:space="preserve">Customer acceptance</w:t>
      </w:r>
      <w:r>
        <w:t xml:space="preserve"> </w:t>
      </w:r>
      <w:r>
        <w:t xml:space="preserve">is operational acceptance by base personnel, with much narrower stakeholder representation than civilian rate-setting. Buy-in is required from base commanders and facilities engineering staff, not from millions of utility customers.</w:t>
      </w:r>
    </w:p>
    <w:p>
      <w:pPr>
        <w:pStyle w:val="Compact"/>
        <w:numPr>
          <w:ilvl w:val="0"/>
          <w:numId w:val="1002"/>
        </w:numPr>
      </w:pPr>
      <w:r>
        <w:rPr>
          <w:i/>
          <w:iCs/>
        </w:rPr>
        <w:t xml:space="preserve">Political continuity</w:t>
      </w:r>
      <w:r>
        <w:t xml:space="preserve"> </w:t>
      </w:r>
      <w:r>
        <w:t xml:space="preserve">operates on defense-policy timescales (10–30 years for major procurement programs) rather than electricity-rate-setting timescales (2–5 years for typical rate cases).</w:t>
      </w:r>
    </w:p>
    <w:p>
      <w:pPr>
        <w:pStyle w:val="FirstParagraph"/>
      </w:pPr>
      <w:r>
        <w:t xml:space="preserve">These advantages are real but bounded. Defense major-capital programs in advanced economies fail with depressing regularity, often over much shorter timescales than the 30-year horizons the architectural transition would require. Recent cases worth acknowledging:</w:t>
      </w:r>
    </w:p>
    <w:p>
      <w:pPr>
        <w:pStyle w:val="Compact"/>
        <w:numPr>
          <w:ilvl w:val="0"/>
          <w:numId w:val="1003"/>
        </w:numPr>
      </w:pPr>
      <w:r>
        <w:rPr>
          <w:i/>
          <w:iCs/>
        </w:rPr>
        <w:t xml:space="preserve">F-35 program</w:t>
      </w:r>
      <w:r>
        <w:t xml:space="preserve">: persistent cost overruns, schedule slips, and contractor disputes; allied-partner withdrawals and re-entries; technical specifications shifted multiple times over the program lifecycle. The program has survived but at much higher cost and with much narrower technical envelope than initially proposed.</w:t>
      </w:r>
    </w:p>
    <w:p>
      <w:pPr>
        <w:pStyle w:val="Compact"/>
        <w:numPr>
          <w:ilvl w:val="0"/>
          <w:numId w:val="1003"/>
        </w:numPr>
      </w:pPr>
      <w:r>
        <w:rPr>
          <w:i/>
          <w:iCs/>
        </w:rPr>
        <w:t xml:space="preserve">Canadian shipbuilding</w:t>
      </w:r>
      <w:r>
        <w:t xml:space="preserve"> </w:t>
      </w:r>
      <w:r>
        <w:t xml:space="preserve">(Joint Support Ship, Canadian Surface Combatant): repeatedly delayed, repeatedly rescoped, repeatedly contested between political coalitions. The CSC program has political opposition that openly favors cancellation.</w:t>
      </w:r>
    </w:p>
    <w:p>
      <w:pPr>
        <w:pStyle w:val="Compact"/>
        <w:numPr>
          <w:ilvl w:val="0"/>
          <w:numId w:val="1003"/>
        </w:numPr>
      </w:pPr>
      <w:r>
        <w:rPr>
          <w:i/>
          <w:iCs/>
        </w:rPr>
        <w:t xml:space="preserve">FCAS / SCAF (Future Combat Air System, France/Germany/Spain)</w:t>
      </w:r>
      <w:r>
        <w:t xml:space="preserve">: ongoing political and industrial disputes between partners; program survival is contested.</w:t>
      </w:r>
    </w:p>
    <w:p>
      <w:pPr>
        <w:pStyle w:val="Compact"/>
        <w:numPr>
          <w:ilvl w:val="0"/>
          <w:numId w:val="1003"/>
        </w:numPr>
      </w:pPr>
      <w:r>
        <w:rPr>
          <w:i/>
          <w:iCs/>
        </w:rPr>
        <w:t xml:space="preserve">US Sentinel ICBM</w:t>
      </w:r>
      <w:r>
        <w:t xml:space="preserve">: cost overruns triggering Nunn-McCurdy breach; serious congressional pressure for cancellation or restructure.</w:t>
      </w:r>
    </w:p>
    <w:p>
      <w:pPr>
        <w:pStyle w:val="Compact"/>
        <w:numPr>
          <w:ilvl w:val="0"/>
          <w:numId w:val="1003"/>
        </w:numPr>
      </w:pPr>
      <w:r>
        <w:rPr>
          <w:i/>
          <w:iCs/>
        </w:rPr>
        <w:t xml:space="preserve">Recapitalization of legacy fleet equipment</w:t>
      </w:r>
      <w:r>
        <w:t xml:space="preserve">: frequently delayed or canceled when political priorities shift; the M1 Abrams sustainment vs. replacement debate illustrates the pattern.</w:t>
      </w:r>
    </w:p>
    <w:p>
      <w:pPr>
        <w:pStyle w:val="FirstParagraph"/>
      </w:pPr>
      <w:r>
        <w:t xml:space="preserve">Defense procurement is</w:t>
      </w:r>
      <w:r>
        <w:t xml:space="preserve"> </w:t>
      </w:r>
      <w:r>
        <w:rPr>
          <w:i/>
          <w:iCs/>
        </w:rPr>
        <w:t xml:space="preserve">more resistant</w:t>
      </w:r>
      <w:r>
        <w:t xml:space="preserve"> </w:t>
      </w:r>
      <w:r>
        <w:t xml:space="preserve">to coalition turnover than civilian rate-setting, particularly for small-scale programs aligned with established service priorities (continental defense, expeditionary capability, Arctic operations are established Canadian priorities; same for analog US/UK/EU programs). It is not</w:t>
      </w:r>
      <w:r>
        <w:t xml:space="preserve"> </w:t>
      </w:r>
      <w:r>
        <w:rPr>
          <w:i/>
          <w:iCs/>
        </w:rPr>
        <w:t xml:space="preserve">immune</w:t>
      </w:r>
      <w:r>
        <w:t xml:space="preserve"> </w:t>
      </w:r>
      <w:r>
        <w:t xml:space="preserve">to coalition turnover, particularly at larger scale where program cost becomes politically visible. The Phase 1 pilot at $40M–$140M (Section 3) is small enough to fly under most cancellation thresholds; Phase 2 at $50M–$200M/year sustained is well within range of programs that have been canceled in recent decades.</w:t>
      </w:r>
    </w:p>
    <w:p>
      <w:pPr>
        <w:pStyle w:val="BodyText"/>
      </w:pPr>
      <w:r>
        <w:t xml:space="preserve">The accurate framing:</w:t>
      </w:r>
      <w:r>
        <w:t xml:space="preserve"> </w:t>
      </w:r>
      <w:r>
        <w:rPr>
          <w:i/>
          <w:iCs/>
        </w:rPr>
        <w:t xml:space="preserve">military deployment provides political-continuity redundancy, not political-continuity immunity</w:t>
      </w:r>
      <w:r>
        <w:t xml:space="preserve">. Defense procurement faces its own failure modes (Nunn-McCurdy breaches, sustainment-vs-replacement debates, allied-partner withdrawal); civilian regulation faces its failure modes (the Munich pattern); the two sets of failure modes are largely uncorrelated, which is what makes the dual-path strategy structurally robust. It is harder for</w:t>
      </w:r>
      <w:r>
        <w:t xml:space="preserve"> </w:t>
      </w:r>
      <w:r>
        <w:rPr>
          <w:i/>
          <w:iCs/>
        </w:rPr>
        <w:t xml:space="preserve">both</w:t>
      </w:r>
      <w:r>
        <w:t xml:space="preserve"> </w:t>
      </w:r>
      <w:r>
        <w:t xml:space="preserve">paths to fail in the same political cycle than for either path to fail alone. This is the deeper institutional argument, and it is sound. The argument that military procurement is itself immune to political failure is overstated; the redundancy argument is what actually does the work.</w:t>
      </w:r>
    </w:p>
    <w:p>
      <w:pPr>
        <w:pStyle w:val="BodyText"/>
      </w:pPr>
      <w:r>
        <w:t xml:space="preserve">The Munich-class reversal pattern is harder to execute against a defense program at small scale aligned with established priorities, but it is not impossible. Once a transformer architecture is qualified for use at, say, CFB Trenton and CFB Halifax, and the supporting manufacturing base has been established at Hitachi Energy Brockville or equivalent, a reversal requires either: (a) defense engineering organizations declaring the qualified architecture deficient (hard if it works), (b) defense appropriations being withdrawn from infrastructure modernization (politically costly because it visibly degrades national security), or (c) manufacturing capacity being decommissioned (politically costly because it visibly destroys industrial-policy investment). None of these is impossible, but all are substantially harder than the political-coalition-turnover that killed LiMux. The relative difficulty is the source of the redundancy benefit.</w:t>
      </w:r>
    </w:p>
    <w:bookmarkEnd w:id="13"/>
    <w:bookmarkStart w:id="14" w:name="the-dual-use-precedent"/>
    <w:p>
      <w:pPr>
        <w:pStyle w:val="Heading3"/>
      </w:pPr>
      <w:r>
        <w:t xml:space="preserve">The dual-use precedent</w:t>
      </w:r>
    </w:p>
    <w:p>
      <w:pPr>
        <w:pStyle w:val="FirstParagraph"/>
      </w:pPr>
      <w:r>
        <w:t xml:space="preserve">The history of transformative civilian infrastructure technology in advanced economies is overwhelmingly a history of defense-developed and defense-matured technology becoming commercially dominant after a decade or more of military use:</w:t>
      </w:r>
    </w:p>
    <w:p>
      <w:pPr>
        <w:pStyle w:val="Compact"/>
        <w:numPr>
          <w:ilvl w:val="0"/>
          <w:numId w:val="1004"/>
        </w:numPr>
      </w:pPr>
      <w:r>
        <w:rPr>
          <w:i/>
          <w:iCs/>
        </w:rPr>
        <w:t xml:space="preserve">GPS</w:t>
      </w:r>
      <w:r>
        <w:t xml:space="preserve">: a US Air Force program from 1973 (initial concept) through 1995 (full operational capability), released for civilian use in 1983 after KAL 007 and made fully available in 2000. Civilian GPS receivers became dominant in commercial and consumer markets through the 2000s and 2010s, with the US military bearing the early development cost.</w:t>
      </w:r>
    </w:p>
    <w:p>
      <w:pPr>
        <w:pStyle w:val="Compact"/>
        <w:numPr>
          <w:ilvl w:val="0"/>
          <w:numId w:val="1004"/>
        </w:numPr>
      </w:pPr>
      <w:r>
        <w:rPr>
          <w:i/>
          <w:iCs/>
        </w:rPr>
        <w:t xml:space="preserve">The internet</w:t>
      </w:r>
      <w:r>
        <w:t xml:space="preserve">: ARPANET from 1969 through approximately 1990 was a US Department of Defense program; commercial deployment as the internet began in earnest in the 1990s. The fundamental TCP/IP architecture, DNS infrastructure, and routing protocols all matured under defense use before commercial adoption.</w:t>
      </w:r>
    </w:p>
    <w:p>
      <w:pPr>
        <w:pStyle w:val="Compact"/>
        <w:numPr>
          <w:ilvl w:val="0"/>
          <w:numId w:val="1004"/>
        </w:numPr>
      </w:pPr>
      <w:r>
        <w:rPr>
          <w:i/>
          <w:iCs/>
        </w:rPr>
        <w:t xml:space="preserve">Jet engines</w:t>
      </w:r>
      <w:r>
        <w:t xml:space="preserve">: military jet engine development (Whittle in UK, Heinkel in Germany, US Navy and USAF programs) preceded commercial jet aviation by approximately 15 years and provided the engine technology that the civilian market scaled up.</w:t>
      </w:r>
    </w:p>
    <w:p>
      <w:pPr>
        <w:pStyle w:val="Compact"/>
        <w:numPr>
          <w:ilvl w:val="0"/>
          <w:numId w:val="1004"/>
        </w:numPr>
      </w:pPr>
      <w:r>
        <w:rPr>
          <w:i/>
          <w:iCs/>
        </w:rPr>
        <w:t xml:space="preserve">Semiconductor manufacturing</w:t>
      </w:r>
      <w:r>
        <w:t xml:space="preserve">: integrated circuits in the 1960s were initially military and aerospace applications (Minuteman, Apollo) before commercial markets developed. Modern semiconductor lithography techniques came out of DARPA-funded research at universities and national laboratories.</w:t>
      </w:r>
    </w:p>
    <w:p>
      <w:pPr>
        <w:pStyle w:val="Compact"/>
        <w:numPr>
          <w:ilvl w:val="0"/>
          <w:numId w:val="1004"/>
        </w:numPr>
      </w:pPr>
      <w:r>
        <w:rPr>
          <w:i/>
          <w:iCs/>
        </w:rPr>
        <w:t xml:space="preserve">Composite materials</w:t>
      </w:r>
      <w:r>
        <w:t xml:space="preserve">: carbon fiber and advanced composites developed for military and aerospace applications became commercial materials through aircraft, automotive, and consumer goods after 20+ years of military use.</w:t>
      </w:r>
    </w:p>
    <w:p>
      <w:pPr>
        <w:pStyle w:val="FirstParagraph"/>
      </w:pPr>
      <w:r>
        <w:t xml:space="preserve">The 12 Hz architecture would follow the same pattern. Defense funds the early manufacturing capacity, qualifies the equipment, accumulates operating data, refines the standards, and trains the technical workforce. Civilian markets adopt the technology after it has been derisked, with much lower technical and political risk than would be required to start the same transition from a civilian base.</w:t>
      </w:r>
    </w:p>
    <w:p>
      <w:pPr>
        <w:pStyle w:val="BodyText"/>
      </w:pPr>
      <w:r>
        <w:t xml:space="preserve">This is the</w:t>
      </w:r>
      <w:r>
        <w:t xml:space="preserve"> </w:t>
      </w:r>
      <w:r>
        <w:rPr>
          <w:i/>
          <w:iCs/>
        </w:rPr>
        <w:t xml:space="preserve">dual-use</w:t>
      </w:r>
      <w:r>
        <w:t xml:space="preserve"> </w:t>
      </w:r>
      <w:r>
        <w:t xml:space="preserve">deployment pattern. It is the canonical pattern through which advanced economies introduce major new infrastructure technologies, and the 12 Hz architecture fits the pattern naturally.</w:t>
      </w:r>
    </w:p>
    <w:bookmarkEnd w:id="14"/>
    <w:bookmarkStart w:id="15" w:name="the-institutional-continuity-argument"/>
    <w:p>
      <w:pPr>
        <w:pStyle w:val="Heading3"/>
      </w:pPr>
      <w:r>
        <w:t xml:space="preserve">The institutional-continuity argument</w:t>
      </w:r>
    </w:p>
    <w:p>
      <w:pPr>
        <w:pStyle w:val="FirstParagraph"/>
      </w:pPr>
      <w:r>
        <w:t xml:space="preserve">The deepest argument for military-first deployment is that the institutional continuity required to sustain a 30-year transition program is much more reliably available through defense organizations than through civilian utility regulatory bodies.</w:t>
      </w:r>
    </w:p>
    <w:p>
      <w:pPr>
        <w:pStyle w:val="BodyText"/>
      </w:pPr>
      <w:r>
        <w:t xml:space="preserve">Defense organizations have institutional cultures, training programs, doctrine documents, and organizational structures that operate on decade-to-multi-decade timescales. The US Army Corps of Engineers has continuously operated since 1802. The Royal Canadian Engineers traces continuous lineage to before Confederation. NORAD has operated continuously since 1957. These institutions have absorbed previous large infrastructure transitions (segregated to integrated logistics, analog to digital communications, tube to solid-state to integrated avionics, mineral to synthetic lubricants, bagged to bulk materials handling) and the institutional memory of how to manage long transitions is part of their organizational DNA.</w:t>
      </w:r>
    </w:p>
    <w:p>
      <w:pPr>
        <w:pStyle w:val="BodyText"/>
      </w:pPr>
      <w:r>
        <w:t xml:space="preserve">Civilian utility regulators have shorter institutional memories and operate under more direct political accountability. A US public utility commission appointment is typically a 5–6 year term; commissioners turn over with administrations; the institutional staff has continuity but operates under changing commissioner direction. A multi-decade infrastructure transition requires institutional culture that values continuity over commissioner-by-commissioner agenda-setting, which is exactly the culture that defense organizations have and most civilian regulators do not.</w:t>
      </w:r>
    </w:p>
    <w:p>
      <w:pPr>
        <w:pStyle w:val="BodyText"/>
      </w:pPr>
      <w:r>
        <w:t xml:space="preserve">The military deployment path provides the architectural transition with an institutional carrier that can sustain it across the political and regulatory turnover that would otherwise abort it. This is the deepest reason for military-first deployment, and it is the one that should drive the structural recommendation regardless of the strategic-resilience arguments specific to defense.</w:t>
      </w:r>
    </w:p>
    <w:p>
      <w:r>
        <w:pict>
          <v:rect style="width:0;height:1.5pt" o:hralign="center" o:hrstd="t" o:hr="t"/>
        </w:pict>
      </w:r>
    </w:p>
    <w:bookmarkEnd w:id="15"/>
    <w:bookmarkEnd w:id="16"/>
    <w:bookmarkStart w:id="22" w:name="Xe0684d08ab17af591204ce93c3237f8f436b889"/>
    <w:p>
      <w:pPr>
        <w:pStyle w:val="Heading2"/>
      </w:pPr>
      <w:r>
        <w:t xml:space="preserve">Section 2 — The strategic case for hardened defense electrical infrastructure</w:t>
      </w:r>
    </w:p>
    <w:p>
      <w:pPr>
        <w:pStyle w:val="FirstParagraph"/>
      </w:pPr>
      <w:r>
        <w:t xml:space="preserve">The institutional-continuity argument in Section 1 is the deepest reason for military-first deployment, but it is not the</w:t>
      </w:r>
      <w:r>
        <w:t xml:space="preserve"> </w:t>
      </w:r>
      <w:r>
        <w:rPr>
          <w:i/>
          <w:iCs/>
        </w:rPr>
        <w:t xml:space="preserve">visible</w:t>
      </w:r>
      <w:r>
        <w:t xml:space="preserve"> </w:t>
      </w:r>
      <w:r>
        <w:t xml:space="preserve">reason in defense procurement reviews. The visible reason has to be the strategic case: why does the defense organization actually benefit from converting some of its installations to a 12 Hz / 12.5 Hz architecture? This section makes that case.</w:t>
      </w:r>
    </w:p>
    <w:p>
      <w:pPr>
        <w:pStyle w:val="BodyText"/>
      </w:pPr>
      <w:r>
        <w:t xml:space="preserve">The companion documents have already developed most of the strategic-resilience argument. The 12 Hz Grid Architecture proposal addresses supply-chain sovereignty, mild-steel core construction, and elimination of semiconductor dependencies in the power path. The Resilient Transformer Architecture paper addresses hostile-action survivability with documented recovery-time compression from 6–18 months (mineral oil + fire propagation) to 1–2 weeks (ester + per-radiator alarm + field rewinding) even in limited-logistics deployment. This section consolidates the resulting case for defense application.</w:t>
      </w:r>
    </w:p>
    <w:bookmarkStart w:id="17" w:name="X849421badf5693e3c52fbcca65800e56296dc27"/>
    <w:p>
      <w:pPr>
        <w:pStyle w:val="Heading3"/>
      </w:pPr>
      <w:r>
        <w:t xml:space="preserve">Hostile-action survivability for defense installations</w:t>
      </w:r>
    </w:p>
    <w:p>
      <w:pPr>
        <w:pStyle w:val="FirstParagraph"/>
      </w:pPr>
      <w:r>
        <w:t xml:space="preserve">Substations on military installations are high-value targets. A continental defense command site, a strategic naval base, a forward operating base, or a hardened command-and-control facility all depend on electrical infrastructure that is itself a target for the adversaries the installation exists to deter. Conventional civilian electrical infrastructure on defense installations has historically been the same mineral-oil-transformer + 50/60 Hz grid as the surrounding civilian infrastructure, with whatever incremental hardening is provided by the installation’s perimeter security.</w:t>
      </w:r>
    </w:p>
    <w:p>
      <w:pPr>
        <w:pStyle w:val="BodyText"/>
      </w:pPr>
      <w:r>
        <w:t xml:space="preserve">The 2013 Metcalf substation attack in California and the 2022 Moore County, North Carolina attacks demonstrated that even civilian substations are vulnerable to lone-gunman rifle-fire attacks that destroy multiple transformers and produce months-long recovery timelines. A defense installation faces the same threat with an attacker who is more likely to be coordinated, more likely to be persistent, and more likely to have access to higher-class threats (.50 BMG and explosive devices in addition to .308 rifle fire).</w:t>
      </w:r>
    </w:p>
    <w:p>
      <w:pPr>
        <w:pStyle w:val="BodyText"/>
      </w:pPr>
      <w:r>
        <w:t xml:space="preserve">The 12 Hz architecture’s recovery-time compression directly addresses this. A defense installation transformer attacked with rifle fire and equipped per the architecture (rapeseed natural ester dielectric, per-radiator alarm with damage-driven trip authority, ONAN cooling, layered protection scheme) recovers in 1–3 days for the dominant attack outcome and 1–4 weeks for the larger-damage cases — versus 6–18 months for current mineral-oil practice.</w:t>
      </w:r>
      <w:r>
        <w:t xml:space="preserve"> </w:t>
      </w:r>
      <w:r>
        <w:rPr>
          <w:b/>
          <w:bCs/>
        </w:rPr>
        <w:t xml:space="preserve">The asymmetric warfare math that makes substations attractive targets is broken</w:t>
      </w:r>
      <w:r>
        <w:t xml:space="preserve">: an adversary expending a rifle round to interdict a defense installation’s power for 6 months is operating asymmetric warfare; an adversary expending the same round to interdict the same installation for 2 days is operating tactical harassment. The strategic value of attacking the substation drops below the threshold of strategic impact.</w:t>
      </w:r>
    </w:p>
    <w:p>
      <w:pPr>
        <w:pStyle w:val="BodyText"/>
      </w:pPr>
      <w:r>
        <w:t xml:space="preserve">This argument applies with additional force at expeditionary sites in active conflict, where the adversary is presumed to have both intent and capability to attack infrastructure. A forward operating base that loses power for 2 days and then recovers is operationally functional with workarounds. A FOB that loses power for 6 months is mission-killed.</w:t>
      </w:r>
    </w:p>
    <w:bookmarkEnd w:id="17"/>
    <w:bookmarkStart w:id="18" w:name="X3677ad97acc7c19d1a73dabe09f57fbe470179d"/>
    <w:p>
      <w:pPr>
        <w:pStyle w:val="Heading3"/>
      </w:pPr>
      <w:r>
        <w:t xml:space="preserve">Supply-chain sovereignty for defense electrical infrastructure</w:t>
      </w:r>
    </w:p>
    <w:p>
      <w:pPr>
        <w:pStyle w:val="FirstParagraph"/>
      </w:pPr>
      <w:r>
        <w:t xml:space="preserve">Defense installations in advanced economies have historically depended on civilian supply chains for transformer dielectric (mineral oil), transformer core steel (grain-oriented electrical steel), high-voltage switchgear (SF6-insulated equipment), and protection electronics (semiconductor-based relays). Each of these has supply-chain concentrations that constrain defense-installation infrastructure availability:</w:t>
      </w:r>
    </w:p>
    <w:p>
      <w:pPr>
        <w:pStyle w:val="Compact"/>
        <w:numPr>
          <w:ilvl w:val="0"/>
          <w:numId w:val="1005"/>
        </w:numPr>
      </w:pPr>
      <w:r>
        <w:rPr>
          <w:i/>
          <w:iCs/>
        </w:rPr>
        <w:t xml:space="preserve">Mineral oil</w:t>
      </w:r>
      <w:r>
        <w:t xml:space="preserve">: petroleum supply, geopolitically distributed extraction with concentrated refining. Sanctions regimes affect access; conflict in producing regions constrains specific feedstocks.</w:t>
      </w:r>
    </w:p>
    <w:p>
      <w:pPr>
        <w:pStyle w:val="Compact"/>
        <w:numPr>
          <w:ilvl w:val="0"/>
          <w:numId w:val="1005"/>
        </w:numPr>
      </w:pPr>
      <w:r>
        <w:rPr>
          <w:i/>
          <w:iCs/>
        </w:rPr>
        <w:t xml:space="preserve">Grain-oriented electrical steel</w:t>
      </w:r>
      <w:r>
        <w:t xml:space="preserve">: globally produced but with significant Russian, Chinese, and Japanese capacity; Western capacity is limited and concentrated in a small number of mills.</w:t>
      </w:r>
    </w:p>
    <w:p>
      <w:pPr>
        <w:pStyle w:val="Compact"/>
        <w:numPr>
          <w:ilvl w:val="0"/>
          <w:numId w:val="1005"/>
        </w:numPr>
      </w:pPr>
      <w:r>
        <w:rPr>
          <w:i/>
          <w:iCs/>
        </w:rPr>
        <w:t xml:space="preserve">SF6</w:t>
      </w:r>
      <w:r>
        <w:t xml:space="preserve">: most fragile of all, with fluorspar mining concentrated in China and the entire fluorine-chemistry chain depending on Chinese feedstock for global supply.</w:t>
      </w:r>
    </w:p>
    <w:p>
      <w:pPr>
        <w:pStyle w:val="Compact"/>
        <w:numPr>
          <w:ilvl w:val="0"/>
          <w:numId w:val="1005"/>
        </w:numPr>
      </w:pPr>
      <w:r>
        <w:rPr>
          <w:i/>
          <w:iCs/>
        </w:rPr>
        <w:t xml:space="preserve">Modern semiconductor-based protection relays</w:t>
      </w:r>
      <w:r>
        <w:t xml:space="preserve">: depend on commodity semiconductor manufacturing, which is concentrated in Taiwan, South Korea, China, and the US, with the most advanced lithography in TSMC alone.</w:t>
      </w:r>
    </w:p>
    <w:p>
      <w:pPr>
        <w:pStyle w:val="FirstParagraph"/>
      </w:pPr>
      <w:r>
        <w:t xml:space="preserve">A defense installation constructed on the 12 Hz architecture has dramatically improved supply-chain sovereignty:</w:t>
      </w:r>
    </w:p>
    <w:p>
      <w:pPr>
        <w:pStyle w:val="Compact"/>
        <w:numPr>
          <w:ilvl w:val="0"/>
          <w:numId w:val="1006"/>
        </w:numPr>
      </w:pPr>
      <w:r>
        <w:rPr>
          <w:i/>
          <w:iCs/>
        </w:rPr>
        <w:t xml:space="preserve">Mild-steel transformer cores</w:t>
      </w:r>
      <w:r>
        <w:t xml:space="preserve"> </w:t>
      </w:r>
      <w:r>
        <w:t xml:space="preserve">replace grain-oriented electrical steel. Mild steel is produced in essentially every country with any steel industry, including all five Five Eyes partners and most NATO members.</w:t>
      </w:r>
    </w:p>
    <w:p>
      <w:pPr>
        <w:pStyle w:val="Compact"/>
        <w:numPr>
          <w:ilvl w:val="0"/>
          <w:numId w:val="1006"/>
        </w:numPr>
      </w:pPr>
      <w:r>
        <w:rPr>
          <w:i/>
          <w:iCs/>
        </w:rPr>
        <w:t xml:space="preserve">Rapeseed-based natural ester dielectric</w:t>
      </w:r>
      <w:r>
        <w:t xml:space="preserve"> </w:t>
      </w:r>
      <w:r>
        <w:t xml:space="preserve">replaces mineral oil. Domestic agricultural feedstock with refining infrastructure that is an incremental extension of edible-oil processing already present in any agricultural economy.</w:t>
      </w:r>
    </w:p>
    <w:p>
      <w:pPr>
        <w:pStyle w:val="Compact"/>
        <w:numPr>
          <w:ilvl w:val="0"/>
          <w:numId w:val="1006"/>
        </w:numPr>
      </w:pPr>
      <w:r>
        <w:rPr>
          <w:i/>
          <w:iCs/>
        </w:rPr>
        <w:t xml:space="preserve">Vacuum interrupter switchgear</w:t>
      </w:r>
      <w:r>
        <w:t xml:space="preserve"> </w:t>
      </w:r>
      <w:r>
        <w:t xml:space="preserve">replaces SF6. Vacuum technology is mature and SF6-free; vacuum interrupter capacity exists at multiple manufacturers in allied jurisdictions.</w:t>
      </w:r>
    </w:p>
    <w:p>
      <w:pPr>
        <w:pStyle w:val="Compact"/>
        <w:numPr>
          <w:ilvl w:val="0"/>
          <w:numId w:val="1006"/>
        </w:numPr>
      </w:pPr>
      <w:r>
        <w:rPr>
          <w:i/>
          <w:iCs/>
        </w:rPr>
        <w:t xml:space="preserve">Software-reconfigurable protection relays</w:t>
      </w:r>
      <w:r>
        <w:t xml:space="preserve"> </w:t>
      </w:r>
      <w:r>
        <w:t xml:space="preserve">are unchanged in supply-chain terms (still depend on semiconductor manufacturing) but the architecture’s vacuum-interrupter and ester-dielectric choices reduce the protection-stack burden, allowing simpler relay platforms with lower semiconductor sophistication where appropriate.</w:t>
      </w:r>
    </w:p>
    <w:p>
      <w:pPr>
        <w:pStyle w:val="FirstParagraph"/>
      </w:pPr>
      <w:r>
        <w:t xml:space="preserve">The supply-chain improvement is most decisive at expeditionary sites where the local supply chain is not the home-jurisdiction supply chain. A FOB in a region with active conflict can sustain transformer service through the architectural specification with much less reliance on long-distance supply lines than would be possible with mineral-oil practice.</w:t>
      </w:r>
    </w:p>
    <w:bookmarkEnd w:id="18"/>
    <w:bookmarkStart w:id="19" w:name="reduced-acoustic-signature"/>
    <w:p>
      <w:pPr>
        <w:pStyle w:val="Heading3"/>
      </w:pPr>
      <w:r>
        <w:t xml:space="preserve">Reduced acoustic signature</w:t>
      </w:r>
    </w:p>
    <w:p>
      <w:pPr>
        <w:pStyle w:val="FirstParagraph"/>
      </w:pPr>
      <w:r>
        <w:t xml:space="preserve">The 12 Hz architecture’s acoustic emission is theoretically projected at 15–25 dB(A) below conventional 50/60 Hz transformers of equivalent rating, with empirical validation pending Phase 0 pilot testing per the parent grid proposal. For defense installations where acoustic detectability is a security consideration — sensitive command-and-control sites, certain naval bases, hardened bunker complexes — the reduced signature is a meaningful security improvement. Substations that hum less are harder to locate by acoustic survey from a perimeter standoff position.</w:t>
      </w:r>
    </w:p>
    <w:p>
      <w:pPr>
        <w:pStyle w:val="BodyText"/>
      </w:pPr>
      <w:r>
        <w:t xml:space="preserve">This argument is contingent on the empirical validation result. If Phase 0 testing demonstrates the projected reduction, the security improvement is meaningful; if testing shows a smaller reduction, the argument is weaker but other strategic arguments still hold.</w:t>
      </w:r>
    </w:p>
    <w:bookmarkEnd w:id="19"/>
    <w:bookmarkStart w:id="20" w:name="mobile-and-expeditionary-deployment"/>
    <w:p>
      <w:pPr>
        <w:pStyle w:val="Heading3"/>
      </w:pPr>
      <w:r>
        <w:t xml:space="preserve">Mobile and expeditionary deployment</w:t>
      </w:r>
    </w:p>
    <w:p>
      <w:pPr>
        <w:pStyle w:val="FirstParagraph"/>
      </w:pPr>
      <w:r>
        <w:t xml:space="preserve">The architecture’s adaptation for mobile and expeditionary deployment is developed in Section 13 of the Resilient Transformer Architecture paper. Mobile transformers in trailer-mounted or skid-mounted form factors follow the standard architectural specification with adaptations for transport-compatible cabinet construction and field-deployable propane heating. The military application includes:</w:t>
      </w:r>
    </w:p>
    <w:p>
      <w:pPr>
        <w:pStyle w:val="Compact"/>
        <w:numPr>
          <w:ilvl w:val="0"/>
          <w:numId w:val="1007"/>
        </w:numPr>
      </w:pPr>
      <w:r>
        <w:rPr>
          <w:i/>
          <w:iCs/>
        </w:rPr>
        <w:t xml:space="preserve">Forward operating base power</w:t>
      </w:r>
      <w:r>
        <w:t xml:space="preserve">: transformers in the 1–5 MVA range serving a base’s internal distribution from a tactical generator. Architecture applies as Scenario A cold-start with controllable LV-side energization through the host genset.</w:t>
      </w:r>
    </w:p>
    <w:p>
      <w:pPr>
        <w:pStyle w:val="Compact"/>
        <w:numPr>
          <w:ilvl w:val="0"/>
          <w:numId w:val="1007"/>
        </w:numPr>
      </w:pPr>
      <w:r>
        <w:rPr>
          <w:i/>
          <w:iCs/>
        </w:rPr>
        <w:t xml:space="preserve">Trailer-mounted mobile transformers</w:t>
      </w:r>
      <w:r>
        <w:t xml:space="preserve"> </w:t>
      </w:r>
      <w:r>
        <w:t xml:space="preserve">in the 10–25 MVA range for emergency restoration of damaged fixed substations, both at military installations and in support of civilian emergency response under defense aid to civil power authorities.</w:t>
      </w:r>
    </w:p>
    <w:p>
      <w:pPr>
        <w:pStyle w:val="Compact"/>
        <w:numPr>
          <w:ilvl w:val="0"/>
          <w:numId w:val="1007"/>
        </w:numPr>
      </w:pPr>
      <w:r>
        <w:rPr>
          <w:i/>
          <w:iCs/>
        </w:rPr>
        <w:t xml:space="preserve">Containerized power solutions</w:t>
      </w:r>
      <w:r>
        <w:t xml:space="preserve"> </w:t>
      </w:r>
      <w:r>
        <w:t xml:space="preserve">for rapid deployment in disaster relief, humanitarian operations, and expeditionary combat operations.</w:t>
      </w:r>
    </w:p>
    <w:p>
      <w:pPr>
        <w:pStyle w:val="FirstParagraph"/>
      </w:pPr>
      <w:r>
        <w:t xml:space="preserve">The single architectural specification across fixed defense installations, mobile/expeditionary deployment, and emergency-response equipment provides operational standardization that current mineral-oil practice does not — a defense maintenance crew trained on a fixed-site transformer can service a mobile unit using the same procedures and equipment, and field-deployed mobile units can replace damaged fixed units with no fluid-compatibility concerns.</w:t>
      </w:r>
    </w:p>
    <w:bookmarkEnd w:id="20"/>
    <w:bookmarkStart w:id="21" w:name="the-integrated-defense-case"/>
    <w:p>
      <w:pPr>
        <w:pStyle w:val="Heading3"/>
      </w:pPr>
      <w:r>
        <w:t xml:space="preserve">The integrated defense case</w:t>
      </w:r>
    </w:p>
    <w:p>
      <w:pPr>
        <w:pStyle w:val="FirstParagraph"/>
      </w:pPr>
      <w:r>
        <w:t xml:space="preserve">Across hostile-action survivability, supply-chain sovereignty, acoustic signature, and expeditionary deployment, the 12 Hz / 12.5 Hz architecture provides a coherent strategic improvement over the current mineral-oil-and-50/60-Hz baseline. The improvement is not in any single dimension — for any one of these arguments, alternatives could be developed (better hardening, alternate dielectrics, alternate supply sources). The improvement is in the</w:t>
      </w:r>
      <w:r>
        <w:t xml:space="preserve"> </w:t>
      </w:r>
      <w:r>
        <w:rPr>
          <w:i/>
          <w:iCs/>
        </w:rPr>
        <w:t xml:space="preserve">combination</w:t>
      </w:r>
      <w:r>
        <w:t xml:space="preserve"> </w:t>
      </w:r>
      <w:r>
        <w:t xml:space="preserve">and in the</w:t>
      </w:r>
      <w:r>
        <w:t xml:space="preserve"> </w:t>
      </w:r>
      <w:r>
        <w:rPr>
          <w:i/>
          <w:iCs/>
        </w:rPr>
        <w:t xml:space="preserve">single-architecture coherence</w:t>
      </w:r>
      <w:r>
        <w:t xml:space="preserve">: the same architectural choices that solve hostile-action survivability also solve supply-chain sovereignty, also solve acoustic signature, also solve expeditionary deployment. Each strategic argument reinforces the others, and no single improvement is sufficient to justify the architectural commitment by itself, but the integrated case is decisive.</w:t>
      </w:r>
    </w:p>
    <w:p>
      <w:pPr>
        <w:pStyle w:val="BodyText"/>
      </w:pPr>
      <w:r>
        <w:t xml:space="preserve">This is the visible argument that defense procurement processes will respond to. The institutional-continuity argument in Section 1 is the deeper reason military-first deployment is the right structural choice; the strategic case in this section is the reason individual defense procurement decisions will support it.</w:t>
      </w:r>
    </w:p>
    <w:p>
      <w:r>
        <w:pict>
          <v:rect style="width:0;height:1.5pt" o:hralign="center" o:hrstd="t" o:hr="t"/>
        </w:pict>
      </w:r>
    </w:p>
    <w:bookmarkEnd w:id="21"/>
    <w:bookmarkEnd w:id="22"/>
    <w:bookmarkStart w:id="28" w:name="section-3-phase-1-pilot-specification"/>
    <w:p>
      <w:pPr>
        <w:pStyle w:val="Heading2"/>
      </w:pPr>
      <w:r>
        <w:t xml:space="preserve">Section 3 — Phase 1 pilot specification</w:t>
      </w:r>
    </w:p>
    <w:p>
      <w:pPr>
        <w:pStyle w:val="FirstParagraph"/>
      </w:pPr>
      <w:r>
        <w:t xml:space="preserve">The Phase 1 deployment is a small-scale pilot at a strategically-selected installation, intended to: (a) develop the manufacturing base for 12 Hz / 12.5 Hz equipment; (b) accumulate operating data on the architecture’s performance under defense conditions; (c) validate the strategic-resilience claims; (d) train the initial cadre of engineers, technicians, and operations personnel. The pilot is sized to be tractable — small enough to fit within a single defense procurement program, large enough to develop genuine deployment data.</w:t>
      </w:r>
    </w:p>
    <w:bookmarkStart w:id="23" w:name="site-selection-criteria"/>
    <w:p>
      <w:pPr>
        <w:pStyle w:val="Heading3"/>
      </w:pPr>
      <w:r>
        <w:t xml:space="preserve">Site selection criteria</w:t>
      </w:r>
    </w:p>
    <w:p>
      <w:pPr>
        <w:pStyle w:val="FirstParagraph"/>
      </w:pPr>
      <w:r>
        <w:t xml:space="preserve">A Phase 1 pilot site should satisfy several criteria simultaneously:</w:t>
      </w:r>
    </w:p>
    <w:p>
      <w:pPr>
        <w:pStyle w:val="Compact"/>
        <w:numPr>
          <w:ilvl w:val="0"/>
          <w:numId w:val="1008"/>
        </w:numPr>
      </w:pPr>
      <w:r>
        <w:rPr>
          <w:i/>
          <w:iCs/>
        </w:rPr>
        <w:t xml:space="preserve">Strategic importance</w:t>
      </w:r>
      <w:r>
        <w:t xml:space="preserve">: the installation should matter enough that the defense organization is willing to invest in hardened infrastructure for it.</w:t>
      </w:r>
    </w:p>
    <w:p>
      <w:pPr>
        <w:pStyle w:val="Compact"/>
        <w:numPr>
          <w:ilvl w:val="0"/>
          <w:numId w:val="1008"/>
        </w:numPr>
      </w:pPr>
      <w:r>
        <w:rPr>
          <w:i/>
          <w:iCs/>
        </w:rPr>
        <w:t xml:space="preserve">Electrical isolation or ability to be isolated</w:t>
      </w:r>
      <w:r>
        <w:t xml:space="preserve">: the pilot installation’s grid should be electrically separable from the surrounding civilian grid, so that 12 Hz / 12.5 Hz operation does not require coordination with civilian utilities or regulatory bodies during the pilot phase.</w:t>
      </w:r>
    </w:p>
    <w:p>
      <w:pPr>
        <w:pStyle w:val="Compact"/>
        <w:numPr>
          <w:ilvl w:val="0"/>
          <w:numId w:val="1008"/>
        </w:numPr>
      </w:pPr>
      <w:r>
        <w:rPr>
          <w:i/>
          <w:iCs/>
        </w:rPr>
        <w:t xml:space="preserve">Climate diversity</w:t>
      </w:r>
      <w:r>
        <w:t xml:space="preserve">: the architecture’s claims include cold-climate operation; a pilot site that genuinely tests the cold-climate stack is preferable to one that doesn’t exercise that capability.</w:t>
      </w:r>
    </w:p>
    <w:p>
      <w:pPr>
        <w:pStyle w:val="Compact"/>
        <w:numPr>
          <w:ilvl w:val="0"/>
          <w:numId w:val="1008"/>
        </w:numPr>
      </w:pPr>
      <w:r>
        <w:rPr>
          <w:i/>
          <w:iCs/>
        </w:rPr>
        <w:t xml:space="preserve">Operational tempo compatibility</w:t>
      </w:r>
      <w:r>
        <w:t xml:space="preserve">: the installation should be able to absorb commissioning downtime, equipment swaps, and operational changes without unacceptable mission impact during the pilot.</w:t>
      </w:r>
    </w:p>
    <w:p>
      <w:pPr>
        <w:pStyle w:val="Compact"/>
        <w:numPr>
          <w:ilvl w:val="0"/>
          <w:numId w:val="1008"/>
        </w:numPr>
      </w:pPr>
      <w:r>
        <w:rPr>
          <w:i/>
          <w:iCs/>
        </w:rPr>
        <w:t xml:space="preserve">Engineering culture</w:t>
      </w:r>
      <w:r>
        <w:t xml:space="preserve">: the installation’s facilities engineering staff should have the technical depth to participate in pilot operations and contribute to operating-data collection.</w:t>
      </w:r>
    </w:p>
    <w:bookmarkEnd w:id="23"/>
    <w:bookmarkStart w:id="24" w:name="candidate-sites"/>
    <w:p>
      <w:pPr>
        <w:pStyle w:val="Heading3"/>
      </w:pPr>
      <w:r>
        <w:t xml:space="preserve">Candidate sites</w:t>
      </w:r>
    </w:p>
    <w:p>
      <w:pPr>
        <w:pStyle w:val="FirstParagraph"/>
      </w:pPr>
      <w:r>
        <w:t xml:space="preserve">For a Canadian DND deployment, several candidate sites fit the criteria:</w:t>
      </w:r>
    </w:p>
    <w:p>
      <w:pPr>
        <w:pStyle w:val="Compact"/>
        <w:numPr>
          <w:ilvl w:val="0"/>
          <w:numId w:val="1009"/>
        </w:numPr>
      </w:pPr>
      <w:r>
        <w:rPr>
          <w:i/>
          <w:iCs/>
        </w:rPr>
        <w:t xml:space="preserve">CFB Trenton (Ontario)</w:t>
      </w:r>
      <w:r>
        <w:t xml:space="preserve">: continental defense and air mobility hub. Strategic importance high; electrically connected to provincial grid but with significant independent generation and switching capability; climate is continental temperate (winter design conditions to –35°C / –31°F); operational tempo high but absorbable; engineering culture excellent. A strong candidate for the first installation, particularly for fixed-infrastructure pilot.</w:t>
      </w:r>
    </w:p>
    <w:p>
      <w:pPr>
        <w:pStyle w:val="Compact"/>
        <w:numPr>
          <w:ilvl w:val="0"/>
          <w:numId w:val="1009"/>
        </w:numPr>
      </w:pPr>
      <w:r>
        <w:rPr>
          <w:i/>
          <w:iCs/>
        </w:rPr>
        <w:t xml:space="preserve">CFB Halifax (Nova Scotia)</w:t>
      </w:r>
      <w:r>
        <w:t xml:space="preserve">: naval base with strategic importance and complex electrical infrastructure. Maritime climate (less cold-stress than Trenton) but high lightning and salt-air corrosion stress. Good for testing the architecture under marine conditions.</w:t>
      </w:r>
    </w:p>
    <w:p>
      <w:pPr>
        <w:pStyle w:val="Compact"/>
        <w:numPr>
          <w:ilvl w:val="0"/>
          <w:numId w:val="1009"/>
        </w:numPr>
      </w:pPr>
      <w:r>
        <w:rPr>
          <w:i/>
          <w:iCs/>
        </w:rPr>
        <w:t xml:space="preserve">CFB Esquimalt (British Columbia)</w:t>
      </w:r>
      <w:r>
        <w:t xml:space="preserve">: naval base with strategic importance and geographic separation from continental grid. Mild climate; tests less of the cold-climate stack but provides west-coast and Pacific operational geography.</w:t>
      </w:r>
    </w:p>
    <w:p>
      <w:pPr>
        <w:pStyle w:val="Compact"/>
        <w:numPr>
          <w:ilvl w:val="0"/>
          <w:numId w:val="1009"/>
        </w:numPr>
      </w:pPr>
      <w:r>
        <w:rPr>
          <w:i/>
          <w:iCs/>
        </w:rPr>
        <w:t xml:space="preserve">Joint Task Force North operating sites</w:t>
      </w:r>
      <w:r>
        <w:t xml:space="preserve">: Arctic deployments at locations like CFS Alert (Nunavut), CFS Inuvik (NWT), and seasonal expeditionary sites. Genuine cold-climate test conditions (winter ambients to –50°C / –58°F at Alert); small electrical loads (kW to MW scale, not tens of MW); appropriate for testing expeditionary and Arctic deployment of the architecture.</w:t>
      </w:r>
    </w:p>
    <w:p>
      <w:pPr>
        <w:pStyle w:val="Compact"/>
        <w:numPr>
          <w:ilvl w:val="0"/>
          <w:numId w:val="1009"/>
        </w:numPr>
      </w:pPr>
      <w:r>
        <w:rPr>
          <w:i/>
          <w:iCs/>
        </w:rPr>
        <w:t xml:space="preserve">Nanisivik Naval Facility (Nunavut)</w:t>
      </w:r>
      <w:r>
        <w:t xml:space="preserve">: strategic Arctic naval refueling station, currently in operational development. Greenfield electrical infrastructure provides clean opportunity to deploy 12 Hz / 12.5 Hz from initial commissioning.</w:t>
      </w:r>
    </w:p>
    <w:p>
      <w:pPr>
        <w:pStyle w:val="FirstParagraph"/>
      </w:pPr>
      <w:r>
        <w:t xml:space="preserve">For a US DoD deployment, analogous candidate sites include:</w:t>
      </w:r>
    </w:p>
    <w:p>
      <w:pPr>
        <w:pStyle w:val="Compact"/>
        <w:numPr>
          <w:ilvl w:val="0"/>
          <w:numId w:val="1010"/>
        </w:numPr>
      </w:pPr>
      <w:r>
        <w:rPr>
          <w:i/>
          <w:iCs/>
        </w:rPr>
        <w:t xml:space="preserve">Fort Greely (Alaska)</w:t>
      </w:r>
      <w:r>
        <w:t xml:space="preserve">: missile defense and Arctic operations. Cold-climate test conditions match Canadian Arctic.</w:t>
      </w:r>
    </w:p>
    <w:p>
      <w:pPr>
        <w:pStyle w:val="Compact"/>
        <w:numPr>
          <w:ilvl w:val="0"/>
          <w:numId w:val="1010"/>
        </w:numPr>
      </w:pPr>
      <w:r>
        <w:rPr>
          <w:i/>
          <w:iCs/>
        </w:rPr>
        <w:t xml:space="preserve">Naval Submarine Base Bangor (Washington)</w:t>
      </w:r>
      <w:r>
        <w:t xml:space="preserve">: strategic naval base with hardened infrastructure already; pilot would build on existing hardening.</w:t>
      </w:r>
    </w:p>
    <w:p>
      <w:pPr>
        <w:pStyle w:val="Compact"/>
        <w:numPr>
          <w:ilvl w:val="0"/>
          <w:numId w:val="1010"/>
        </w:numPr>
      </w:pPr>
      <w:r>
        <w:rPr>
          <w:i/>
          <w:iCs/>
        </w:rPr>
        <w:t xml:space="preserve">Indian Springs / Creech Air Force Base (Nevada)</w:t>
      </w:r>
      <w:r>
        <w:t xml:space="preserve">: ISR operations with continuous high-availability requirement.</w:t>
      </w:r>
    </w:p>
    <w:p>
      <w:pPr>
        <w:pStyle w:val="Compact"/>
        <w:numPr>
          <w:ilvl w:val="0"/>
          <w:numId w:val="1010"/>
        </w:numPr>
      </w:pPr>
      <w:r>
        <w:rPr>
          <w:i/>
          <w:iCs/>
        </w:rPr>
        <w:t xml:space="preserve">Diego Garcia (British Indian Ocean Territory)</w:t>
      </w:r>
      <w:r>
        <w:t xml:space="preserve">: strategic Indian Ocean base, geographically isolated, tropical climate (tests heat-and-humidity envelope).</w:t>
      </w:r>
    </w:p>
    <w:p>
      <w:pPr>
        <w:pStyle w:val="FirstParagraph"/>
      </w:pPr>
      <w:r>
        <w:t xml:space="preserve">For European defense organizations, candidate sites include UK strategic sites in Scotland (cold-climate, geographically isolated), Norwegian Arctic installations (genuine cold), and German command-and-control facilities (continental temperate).</w:t>
      </w:r>
    </w:p>
    <w:bookmarkEnd w:id="24"/>
    <w:bookmarkStart w:id="25" w:name="phase-1-scope"/>
    <w:p>
      <w:pPr>
        <w:pStyle w:val="Heading3"/>
      </w:pPr>
      <w:r>
        <w:t xml:space="preserve">Phase 1 scope</w:t>
      </w:r>
    </w:p>
    <w:p>
      <w:pPr>
        <w:pStyle w:val="FirstParagraph"/>
      </w:pPr>
      <w:r>
        <w:t xml:space="preserve">A defensible Phase 1 scope is</w:t>
      </w:r>
      <w:r>
        <w:t xml:space="preserve"> </w:t>
      </w:r>
      <w:r>
        <w:rPr>
          <w:i/>
          <w:iCs/>
        </w:rPr>
        <w:t xml:space="preserve">one installation, one substation, two to four transformers in the 25–100 MVA class, full architectural specification including 12 Hz / 12.5 Hz frequency, ester dielectric, mild-steel cores, vacuum interrupters, layered protection, ONAN cooling, and external-spiral propane heating where cold-climate conditions apply</w:t>
      </w:r>
      <w:r>
        <w:t xml:space="preserve">. The substation’s load is served by a frequency-conversion interface to the surrounding civilian grid (rotary converter or static converter, depending on size and operational requirements), allowing the pilot substation to operate at 12 Hz / 12.5 Hz without affecting civilian grid frequency.</w:t>
      </w:r>
    </w:p>
    <w:p>
      <w:pPr>
        <w:pStyle w:val="BodyText"/>
      </w:pPr>
      <w:r>
        <w:t xml:space="preserve">Pilot duration: 3–5 years from commissioning to evaluation. During this period the pilot accumulates operating data, refines the architectural specifications, validates the strategic-resilience claims, and exercises the supporting manufacturing base.</w:t>
      </w:r>
    </w:p>
    <w:p>
      <w:pPr>
        <w:pStyle w:val="BodyText"/>
      </w:pPr>
      <w:r>
        <w:t xml:space="preserve">Pilot deliverables:</w:t>
      </w:r>
    </w:p>
    <w:p>
      <w:pPr>
        <w:pStyle w:val="Compact"/>
        <w:numPr>
          <w:ilvl w:val="0"/>
          <w:numId w:val="1011"/>
        </w:numPr>
      </w:pPr>
      <w:r>
        <w:rPr>
          <w:i/>
          <w:iCs/>
        </w:rPr>
        <w:t xml:space="preserve">Validated equipment specifications</w:t>
      </w:r>
      <w:r>
        <w:t xml:space="preserve"> </w:t>
      </w:r>
      <w:r>
        <w:t xml:space="preserve">for transmission-class transformers, vacuum interrupters, protection relays, and rotary converters at 12 Hz / 12.5 Hz operation. These specifications become the basis for Phase 2 fleet rollout.</w:t>
      </w:r>
    </w:p>
    <w:p>
      <w:pPr>
        <w:pStyle w:val="Compact"/>
        <w:numPr>
          <w:ilvl w:val="0"/>
          <w:numId w:val="1011"/>
        </w:numPr>
      </w:pPr>
      <w:r>
        <w:rPr>
          <w:i/>
          <w:iCs/>
        </w:rPr>
        <w:t xml:space="preserve">Operating data</w:t>
      </w:r>
      <w:r>
        <w:t xml:space="preserve"> </w:t>
      </w:r>
      <w:r>
        <w:t xml:space="preserve">on architectural performance: thermal performance under load, acoustic emission validation (the 15–25 dB(A) projection from the parent transformer paper), reliability statistics, fault rates, maintenance interval requirements, paper insulation aging rates.</w:t>
      </w:r>
    </w:p>
    <w:p>
      <w:pPr>
        <w:pStyle w:val="Compact"/>
        <w:numPr>
          <w:ilvl w:val="0"/>
          <w:numId w:val="1011"/>
        </w:numPr>
      </w:pPr>
      <w:r>
        <w:rPr>
          <w:i/>
          <w:iCs/>
        </w:rPr>
        <w:t xml:space="preserve">Cold-climate stack validation</w:t>
      </w:r>
      <w:r>
        <w:t xml:space="preserve">: the external-spiral propane heating system, graduated cold-start protocol, and dual-tank propane supply tested under genuine continental cold conditions.</w:t>
      </w:r>
    </w:p>
    <w:p>
      <w:pPr>
        <w:pStyle w:val="Compact"/>
        <w:numPr>
          <w:ilvl w:val="0"/>
          <w:numId w:val="1011"/>
        </w:numPr>
      </w:pPr>
      <w:r>
        <w:rPr>
          <w:i/>
          <w:iCs/>
        </w:rPr>
        <w:t xml:space="preserve">Hostile-action survivability validation</w:t>
      </w:r>
      <w:r>
        <w:t xml:space="preserve">: test articles deliberately damaged (under controlled conditions) to validate per-radiator alarm response, damage-driven trip behavior, recovery procedures, field-rewind logistics. This testing is appropriate for defense pilot in ways it is not for civilian pilot.</w:t>
      </w:r>
    </w:p>
    <w:p>
      <w:pPr>
        <w:pStyle w:val="Compact"/>
        <w:numPr>
          <w:ilvl w:val="0"/>
          <w:numId w:val="1011"/>
        </w:numPr>
      </w:pPr>
      <w:r>
        <w:rPr>
          <w:i/>
          <w:iCs/>
        </w:rPr>
        <w:t xml:space="preserve">Manufacturing-base certification</w:t>
      </w:r>
      <w:r>
        <w:t xml:space="preserve">: domestic manufacturers (Canadian: Hitachi Energy Brockville and equivalent; US: SPX Transformer Solutions, Hitachi Energy Greater Memphis facility; European: Siemens Energy and Hitachi Energy plants) qualified to produce architecture-conforming equipment at production volume.</w:t>
      </w:r>
    </w:p>
    <w:p>
      <w:pPr>
        <w:pStyle w:val="Compact"/>
        <w:numPr>
          <w:ilvl w:val="0"/>
          <w:numId w:val="1011"/>
        </w:numPr>
      </w:pPr>
      <w:r>
        <w:rPr>
          <w:i/>
          <w:iCs/>
        </w:rPr>
        <w:t xml:space="preserve">Workforce training program</w:t>
      </w:r>
      <w:r>
        <w:t xml:space="preserve">: defense engineers, civilian utility engineers (admitted to pilot under appropriate liaison arrangements), and manufacturing personnel trained on the architecture.</w:t>
      </w:r>
    </w:p>
    <w:bookmarkEnd w:id="25"/>
    <w:bookmarkStart w:id="26" w:name="phase-1-cost-envelope"/>
    <w:p>
      <w:pPr>
        <w:pStyle w:val="Heading3"/>
      </w:pPr>
      <w:r>
        <w:t xml:space="preserve">Phase 1 cost envelope</w:t>
      </w:r>
    </w:p>
    <w:p>
      <w:pPr>
        <w:pStyle w:val="FirstParagraph"/>
      </w:pPr>
      <w:r>
        <w:t xml:space="preserve">A Phase 1 pilot at a single installation with 2–4 transmission-class transformers has approximate cost envelope:</w:t>
      </w:r>
    </w:p>
    <w:p>
      <w:pPr>
        <w:pStyle w:val="Compact"/>
        <w:numPr>
          <w:ilvl w:val="0"/>
          <w:numId w:val="1012"/>
        </w:numPr>
      </w:pPr>
      <w:r>
        <w:rPr>
          <w:i/>
          <w:iCs/>
        </w:rPr>
        <w:t xml:space="preserve">Equipment</w:t>
      </w:r>
      <w:r>
        <w:t xml:space="preserve">: 2–4 × transmission-class transformers at $2–5M each ($4M–$20M); 2–4 × vacuum interrupter switchgear sets at $0.5–1.5M each ($1M–$6M); rotary converter at frequency interface ($5M–$15M); cold-climate stack (cabinets, propane systems, instrumentation) at $0.5–1M total; protection and control systems at $1–3M.</w:t>
      </w:r>
    </w:p>
    <w:p>
      <w:pPr>
        <w:pStyle w:val="Compact"/>
        <w:numPr>
          <w:ilvl w:val="0"/>
          <w:numId w:val="1012"/>
        </w:numPr>
      </w:pPr>
      <w:r>
        <w:rPr>
          <w:i/>
          <w:iCs/>
        </w:rPr>
        <w:t xml:space="preserve">Civil works</w:t>
      </w:r>
      <w:r>
        <w:t xml:space="preserve">: substation upgrades, foundations, transport and installation: $5M–$15M.</w:t>
      </w:r>
    </w:p>
    <w:p>
      <w:pPr>
        <w:pStyle w:val="Compact"/>
        <w:numPr>
          <w:ilvl w:val="0"/>
          <w:numId w:val="1012"/>
        </w:numPr>
      </w:pPr>
      <w:r>
        <w:rPr>
          <w:i/>
          <w:iCs/>
        </w:rPr>
        <w:t xml:space="preserve">Engineering and testing</w:t>
      </w:r>
      <w:r>
        <w:t xml:space="preserve">: design, qualification testing, commissioning, operating-data collection: $10M–$30M.</w:t>
      </w:r>
    </w:p>
    <w:p>
      <w:pPr>
        <w:pStyle w:val="Compact"/>
        <w:numPr>
          <w:ilvl w:val="0"/>
          <w:numId w:val="1012"/>
        </w:numPr>
      </w:pPr>
      <w:r>
        <w:rPr>
          <w:i/>
          <w:iCs/>
        </w:rPr>
        <w:t xml:space="preserve">Defense engineering qualification</w:t>
      </w:r>
      <w:r>
        <w:t xml:space="preserve">: defense organizations require qualification testing beyond civilian commissioning — electromagnetic compatibility under various threat conditions, hardening qualification, security qualification of digital protection relays, supply-chain audit of components. For transmission-class transformers with novel architectural specifications, defense qualification adds $5M–$20M beyond civilian commissioning.</w:t>
      </w:r>
    </w:p>
    <w:p>
      <w:pPr>
        <w:pStyle w:val="Compact"/>
        <w:numPr>
          <w:ilvl w:val="0"/>
          <w:numId w:val="1012"/>
        </w:numPr>
      </w:pPr>
      <w:r>
        <w:rPr>
          <w:i/>
          <w:iCs/>
        </w:rPr>
        <w:t xml:space="preserve">Integration with existing defense infrastructure</w:t>
      </w:r>
      <w:r>
        <w:t xml:space="preserve">: defense installations have existing electrical infrastructure, communications systems, security systems, and operating procedures. Integrating a 12 Hz pilot substation with an existing 60 Hz installation requires interface engineering, security accreditation, and operating-procedure development. Approximately $5M–$20M per installation.</w:t>
      </w:r>
    </w:p>
    <w:p>
      <w:pPr>
        <w:pStyle w:val="Compact"/>
        <w:numPr>
          <w:ilvl w:val="0"/>
          <w:numId w:val="1012"/>
        </w:numPr>
      </w:pPr>
      <w:r>
        <w:rPr>
          <w:i/>
          <w:iCs/>
        </w:rPr>
        <w:t xml:space="preserve">Total Phase 1</w:t>
      </w:r>
      <w:r>
        <w:t xml:space="preserve">:</w:t>
      </w:r>
      <w:r>
        <w:t xml:space="preserve"> </w:t>
      </w:r>
      <w:r>
        <w:rPr>
          <w:b/>
          <w:bCs/>
        </w:rPr>
        <w:t xml:space="preserve">$40M–$140M</w:t>
      </w:r>
      <w:r>
        <w:t xml:space="preserve"> </w:t>
      </w:r>
      <w:r>
        <w:t xml:space="preserve">depending on installation size, scope, and defense qualification depth.</w:t>
      </w:r>
    </w:p>
    <w:p>
      <w:pPr>
        <w:pStyle w:val="FirstParagraph"/>
      </w:pPr>
      <w:r>
        <w:t xml:space="preserve">This is within range of typical defense infrastructure modernization line items. For comparison: Canadian DND typical major capital projects are in the C$50M–500M range; US DoD MILCON program lines are often in the $50M–500M range; European defense ministries scale similarly. Phase 1 is small enough to fit within standard procurement processes without requiring special legislative authorization; it is large enough to develop meaningful deployment data and manufacturing capacity.</w:t>
      </w:r>
    </w:p>
    <w:bookmarkEnd w:id="26"/>
    <w:bookmarkStart w:id="27" w:name="phase-1-timeline"/>
    <w:p>
      <w:pPr>
        <w:pStyle w:val="Heading3"/>
      </w:pPr>
      <w:r>
        <w:t xml:space="preserve">Phase 1 timeline</w:t>
      </w:r>
    </w:p>
    <w:p>
      <w:pPr>
        <w:pStyle w:val="FirstParagraph"/>
      </w:pPr>
      <w:r>
        <w:t xml:space="preserve">A defensible Phase 1 timeline:</w:t>
      </w:r>
    </w:p>
    <w:p>
      <w:pPr>
        <w:pStyle w:val="Compact"/>
        <w:numPr>
          <w:ilvl w:val="0"/>
          <w:numId w:val="1013"/>
        </w:numPr>
      </w:pPr>
      <w:r>
        <w:rPr>
          <w:i/>
          <w:iCs/>
        </w:rPr>
        <w:t xml:space="preserve">Year 1</w:t>
      </w:r>
      <w:r>
        <w:t xml:space="preserve">: Site selection finalized; engineering specifications developed in collaboration with manufacturers; defense procurement contracts let.</w:t>
      </w:r>
    </w:p>
    <w:p>
      <w:pPr>
        <w:pStyle w:val="Compact"/>
        <w:numPr>
          <w:ilvl w:val="0"/>
          <w:numId w:val="1013"/>
        </w:numPr>
      </w:pPr>
      <w:r>
        <w:rPr>
          <w:i/>
          <w:iCs/>
        </w:rPr>
        <w:t xml:space="preserve">Year 2</w:t>
      </w:r>
      <w:r>
        <w:t xml:space="preserve">: Equipment manufacture; civil works at pilot site; commissioning protocols developed.</w:t>
      </w:r>
    </w:p>
    <w:p>
      <w:pPr>
        <w:pStyle w:val="Compact"/>
        <w:numPr>
          <w:ilvl w:val="0"/>
          <w:numId w:val="1013"/>
        </w:numPr>
      </w:pPr>
      <w:r>
        <w:rPr>
          <w:i/>
          <w:iCs/>
        </w:rPr>
        <w:t xml:space="preserve">Year 3</w:t>
      </w:r>
      <w:r>
        <w:t xml:space="preserve">: Equipment installation and commissioning; cold-start protocol calibration; protection-relay configuration validation.</w:t>
      </w:r>
    </w:p>
    <w:p>
      <w:pPr>
        <w:pStyle w:val="Compact"/>
        <w:numPr>
          <w:ilvl w:val="0"/>
          <w:numId w:val="1013"/>
        </w:numPr>
      </w:pPr>
      <w:r>
        <w:rPr>
          <w:i/>
          <w:iCs/>
        </w:rPr>
        <w:t xml:space="preserve">Year 4–5</w:t>
      </w:r>
      <w:r>
        <w:t xml:space="preserve">: Operations under load; data collection; hostile-action survivability testing on test articles; cold-climate stack validation through winter operations.</w:t>
      </w:r>
    </w:p>
    <w:p>
      <w:pPr>
        <w:pStyle w:val="Compact"/>
        <w:numPr>
          <w:ilvl w:val="0"/>
          <w:numId w:val="1013"/>
        </w:numPr>
      </w:pPr>
      <w:r>
        <w:rPr>
          <w:i/>
          <w:iCs/>
        </w:rPr>
        <w:t xml:space="preserve">Year 6</w:t>
      </w:r>
      <w:r>
        <w:t xml:space="preserve">: Phase 1 evaluation; recommendations for Phase 2; specifications finalized for fleet rollout.</w:t>
      </w:r>
    </w:p>
    <w:p>
      <w:pPr>
        <w:pStyle w:val="FirstParagraph"/>
      </w:pPr>
      <w:r>
        <w:t xml:space="preserve">The 6-year timeline is fast for defense major-capital procurement (10-year is more typical) but appropriate for a pilot of this scope. The architecture’s component technologies (transformers, vacuum interrupters, rotary converters) are mature in their underlying technology; the new work is integration at 12 Hz / 12.5 Hz frequency rather than fundamental technology development.</w:t>
      </w:r>
    </w:p>
    <w:p>
      <w:r>
        <w:pict>
          <v:rect style="width:0;height:1.5pt" o:hralign="center" o:hrstd="t" o:hr="t"/>
        </w:pict>
      </w:r>
    </w:p>
    <w:bookmarkEnd w:id="27"/>
    <w:bookmarkEnd w:id="28"/>
    <w:bookmarkEnd w:id="29"/>
    <w:bookmarkStart w:id="44" w:name="part-ii-civilian-deployment"/>
    <w:p>
      <w:pPr>
        <w:pStyle w:val="Heading1"/>
      </w:pPr>
      <w:r>
        <w:t xml:space="preserve">PART II — CIVILIAN DEPLOYMENT</w:t>
      </w:r>
    </w:p>
    <w:bookmarkStart w:id="34" w:name="X00d2df0b50ccd491e51a63e2168110539c616f3"/>
    <w:p>
      <w:pPr>
        <w:pStyle w:val="Heading2"/>
      </w:pPr>
      <w:r>
        <w:t xml:space="preserve">Section 4 — Why electrically-isolated jurisdictions first</w:t>
      </w:r>
    </w:p>
    <w:p>
      <w:pPr>
        <w:pStyle w:val="FirstParagraph"/>
      </w:pPr>
      <w:r>
        <w:t xml:space="preserve">The civilian deployment path complements the military path but operates on different timescales and through different institutions. Where Phase 1 military deployment can be initiated by defense procurement decisions within existing authority, civilian deployment requires regulatory approvals, rate-setting decisions, customer-acceptance processes, and political coalitions that span multiple election cycles. The civilian path is harder to start, takes longer to execute, and carries higher risk of Munich-class reversal — but produces vastly larger volume than the military path can, and ultimately drives the architectural transition to scale.</w:t>
      </w:r>
    </w:p>
    <w:p>
      <w:pPr>
        <w:pStyle w:val="BodyText"/>
      </w:pPr>
      <w:r>
        <w:t xml:space="preserve">The right strategy for civilian deployment is</w:t>
      </w:r>
      <w:r>
        <w:t xml:space="preserve"> </w:t>
      </w:r>
      <w:r>
        <w:rPr>
          <w:i/>
          <w:iCs/>
        </w:rPr>
        <w:t xml:space="preserve">electrically-isolated jurisdictions first</w:t>
      </w:r>
      <w:r>
        <w:t xml:space="preserve">. A jurisdiction whose grid is already isolated synchronously from neighboring grids, with frequency-control authority residing in a single utility or grid operator, can convert to the new architecture without coordinating frequency conversion with adjacent jurisdictions. The isolation eliminates the most operationally complex aspect of grid-frequency transition: the synchronous-interface problem. It also concentrates regulatory authority (one provincial commission, one federal regulator, one utility) in a small enough footprint that the political coalition required for the transition is much narrower than for a full federal-state transition.</w:t>
      </w:r>
    </w:p>
    <w:bookmarkStart w:id="30" w:name="candidate-jurisdictions"/>
    <w:p>
      <w:pPr>
        <w:pStyle w:val="Heading3"/>
      </w:pPr>
      <w:r>
        <w:t xml:space="preserve">Candidate jurisdictions</w:t>
      </w:r>
    </w:p>
    <w:p>
      <w:pPr>
        <w:pStyle w:val="FirstParagraph"/>
      </w:pPr>
      <w:r>
        <w:t xml:space="preserve">Several jurisdictions in advanced economies satisfy the electrical-isolation criterion:</w:t>
      </w:r>
    </w:p>
    <w:p>
      <w:pPr>
        <w:pStyle w:val="Compact"/>
        <w:numPr>
          <w:ilvl w:val="0"/>
          <w:numId w:val="1014"/>
        </w:numPr>
      </w:pPr>
      <w:r>
        <w:rPr>
          <w:i/>
          <w:iCs/>
        </w:rPr>
        <w:t xml:space="preserve">Quebec (Canada)</w:t>
      </w:r>
      <w:r>
        <w:t xml:space="preserve">: synchronously separate from the rest of North America, with all major interties operating asynchronously; HVDC ties to neighboring grids handle inter-jurisdictional power transfer at DC, with frequency conversion managed at the converter stations. Hydro-Québec is a vertically integrated utility with strong engineering culture and historical willingness to deploy infrastructure at scale (the world-first 735 kV transmission system, the James Bay project, the Quebec–New England multiterminal HVDC link). Provincial government has been a long-term industrial-policy actor, with hydroelectric infrastructure development as a centerpiece of provincial economic strategy. Climate is continental cold, exercising the cold-climate stack.</w:t>
      </w:r>
    </w:p>
    <w:p>
      <w:pPr>
        <w:pStyle w:val="Compact"/>
        <w:numPr>
          <w:ilvl w:val="0"/>
          <w:numId w:val="1014"/>
        </w:numPr>
      </w:pPr>
      <w:r>
        <w:rPr>
          <w:i/>
          <w:iCs/>
        </w:rPr>
        <w:t xml:space="preserve">Iceland</w:t>
      </w:r>
      <w:r>
        <w:t xml:space="preserve">: 100% renewable electrical grid (geothermal and hydro), small population (~370,000), single utility (Landsvirkjun) with national-government mandate. Synchronously isolated (no transmission ties to other jurisdictions). Climate is North Atlantic maritime with cold winters but moderating ocean influence.</w:t>
      </w:r>
    </w:p>
    <w:p>
      <w:pPr>
        <w:pStyle w:val="Compact"/>
        <w:numPr>
          <w:ilvl w:val="0"/>
          <w:numId w:val="1014"/>
        </w:numPr>
      </w:pPr>
      <w:r>
        <w:rPr>
          <w:i/>
          <w:iCs/>
        </w:rPr>
        <w:t xml:space="preserve">Tasmania (Australia)</w:t>
      </w:r>
      <w:r>
        <w:t xml:space="preserve">: synchronously isolated from mainland Australia by Bass Strait, with the Basslink HVDC interconnection providing the interface. Hydro Tasmania is the dominant utility. Climate is temperate maritime.</w:t>
      </w:r>
    </w:p>
    <w:p>
      <w:pPr>
        <w:pStyle w:val="Compact"/>
        <w:numPr>
          <w:ilvl w:val="0"/>
          <w:numId w:val="1014"/>
        </w:numPr>
      </w:pPr>
      <w:r>
        <w:rPr>
          <w:i/>
          <w:iCs/>
        </w:rPr>
        <w:t xml:space="preserve">Texas (ERCOT)</w:t>
      </w:r>
      <w:r>
        <w:t xml:space="preserve">: synchronously isolated from the rest of North America. Single ISO with regulatory authority over grid operations. Climate ranges from continental (Panhandle) to subtropical (Gulf Coast). Politically more complex than Quebec or Iceland because of multiple competing utilities and a less-coherent regulatory structure, but the electrical isolation is clean.</w:t>
      </w:r>
    </w:p>
    <w:p>
      <w:pPr>
        <w:pStyle w:val="Compact"/>
        <w:numPr>
          <w:ilvl w:val="0"/>
          <w:numId w:val="1014"/>
        </w:numPr>
      </w:pPr>
      <w:r>
        <w:rPr>
          <w:i/>
          <w:iCs/>
        </w:rPr>
        <w:t xml:space="preserve">Hawaii</w:t>
      </w:r>
      <w:r>
        <w:t xml:space="preserve">: each island is electrically isolated from every other island and from the continental US. Multiple utilities (Hawaiian Electric, Kauai Island Utility Cooperative, others). Tropical climate. Electrical isolation is geographic and total; conversion of one island can proceed without coordinating with any other jurisdiction.</w:t>
      </w:r>
    </w:p>
    <w:p>
      <w:pPr>
        <w:pStyle w:val="Compact"/>
        <w:numPr>
          <w:ilvl w:val="0"/>
          <w:numId w:val="1014"/>
        </w:numPr>
      </w:pPr>
      <w:r>
        <w:rPr>
          <w:i/>
          <w:iCs/>
        </w:rPr>
        <w:t xml:space="preserve">The Iberian peninsula (Spain + Portugal)</w:t>
      </w:r>
      <w:r>
        <w:t xml:space="preserve">: synchronously isolated from the rest of the European synchronous area, with HVDC and limited AC ties to France through the Pyrenees. Two countries with separate utilities (REE in Spain, REN in Portugal) but synchronous coordination through MIBEL. The April 2025 Iberian blackout illustrated both the isolation and the coordination challenges; conversion would require both countries to commit, which is politically more complex but technically tractable.</w:t>
      </w:r>
    </w:p>
    <w:p>
      <w:pPr>
        <w:pStyle w:val="Compact"/>
        <w:numPr>
          <w:ilvl w:val="0"/>
          <w:numId w:val="1014"/>
        </w:numPr>
      </w:pPr>
      <w:r>
        <w:rPr>
          <w:i/>
          <w:iCs/>
        </w:rPr>
        <w:t xml:space="preserve">South Australia</w:t>
      </w:r>
      <w:r>
        <w:t xml:space="preserve">: previously synchronously connected to the rest of the National Electricity Market through the Heywood interconnector, but has frequently operated as an electrical island during transmission incidents. Less cleanly isolated than Quebec or Iceland but still tractable.</w:t>
      </w:r>
    </w:p>
    <w:bookmarkEnd w:id="30"/>
    <w:bookmarkStart w:id="31" w:name="X016be22ff3deb08e98dd617c90dd701cf05810f"/>
    <w:p>
      <w:pPr>
        <w:pStyle w:val="Heading3"/>
      </w:pPr>
      <w:r>
        <w:t xml:space="preserve">Scope of this paper’s analysis: Western/allied deployment</w:t>
      </w:r>
    </w:p>
    <w:p>
      <w:pPr>
        <w:pStyle w:val="FirstParagraph"/>
      </w:pPr>
      <w:r>
        <w:t xml:space="preserve">The candidate-jurisdiction list above is explicitly scoped to Western/allied deployment. This is a deliberate choice that the paper should acknowledge openly.</w:t>
      </w:r>
    </w:p>
    <w:p>
      <w:pPr>
        <w:pStyle w:val="BodyText"/>
      </w:pPr>
      <w:r>
        <w:t xml:space="preserve">China is the single most consequential potential first-mover for any electrical infrastructure architecture. China has multiple synchronously-isolated regional grids that could pilot frequency conversion, the world’s largest transformer manufacturing capacity (including ester capability at multiple manufacturers), industrial-policy framework supporting major electrical-infrastructure investment, strategic interest in supply-chain sovereignty (the architecture’s mild-steel cores, no-SF6, no-synthetic-ester claims align with broader Chinese strategic interests in reducing Western technology dependence), climate diversity that exercises the architecture’s full envelope, and decision authority concentrated enough to make a multi-decade infrastructure commitment without the political-coalition-turnover risk that constrains Western jurisdictions.</w:t>
      </w:r>
    </w:p>
    <w:p>
      <w:pPr>
        <w:pStyle w:val="BodyText"/>
      </w:pPr>
      <w:r>
        <w:t xml:space="preserve">If China were to deploy the architecture as a national strategic decision, the dynamics change completely. Chinese deployment volume would dwarf any Western first-mover jurisdiction’s capacity, set global manufacturing standards, and produce operating data at scale within years rather than decades. The architecture would become a Chinese-led standard rather than a Western-led standard, with all the strategic, commercial, and political implications that entails.</w:t>
      </w:r>
    </w:p>
    <w:p>
      <w:pPr>
        <w:pStyle w:val="BodyText"/>
      </w:pPr>
      <w:r>
        <w:t xml:space="preserve">This paper is scoped to the Western/allied deployment question because that is the question the paper’s parent documents (the 12 Hz Grid Architecture proposal, the AC vs DC Distribution Comparative Analysis, the Resilient Transformer Architecture paper) were developed to address, and because the audiences likely to engage with this paper (NSC Deputies, IEEE/IEC standards bodies, allied defense organizations, Western utility regulators) are working within Western/allied jurisdictional and strategic frameworks. The paper does not analyze Chinese deployment scenarios, and the strategic implications of potential Chinese first-mover deployment are outside the paper’s scope.</w:t>
      </w:r>
    </w:p>
    <w:p>
      <w:pPr>
        <w:pStyle w:val="BodyText"/>
      </w:pPr>
      <w:r>
        <w:t xml:space="preserve">To be direct about the contingency: if Chinese deployment occurs while Western/allied deployment is in early phases, the strategic context of Western deployment changes substantially. Western jurisdictions may then face the choice of accepting a Chinese-led standard (with the supply-chain and strategic implications that entails) or accelerating their own deployment to establish independent capability. This contingency is not the focus of this paper but is worth flagging for strategic-planning audiences. The paper’s recommendations should be read as appropriate for a baseline scenario in which Chinese deployment is</w:t>
      </w:r>
      <w:r>
        <w:t xml:space="preserve"> </w:t>
      </w:r>
      <w:r>
        <w:rPr>
          <w:i/>
          <w:iCs/>
        </w:rPr>
        <w:t xml:space="preserve">not</w:t>
      </w:r>
      <w:r>
        <w:t xml:space="preserve"> </w:t>
      </w:r>
      <w:r>
        <w:t xml:space="preserve">underway; the strategic calculus shifts if it is.</w:t>
      </w:r>
    </w:p>
    <w:p>
      <w:pPr>
        <w:pStyle w:val="BodyText"/>
      </w:pPr>
      <w:r>
        <w:t xml:space="preserve">For a North American or English-speaking deployment, Quebec is the strongest candidate for a number of reasons:</w:t>
      </w:r>
    </w:p>
    <w:p>
      <w:pPr>
        <w:pStyle w:val="Compact"/>
        <w:numPr>
          <w:ilvl w:val="0"/>
          <w:numId w:val="1015"/>
        </w:numPr>
      </w:pPr>
      <w:r>
        <w:rPr>
          <w:i/>
          <w:iCs/>
        </w:rPr>
        <w:t xml:space="preserve">Existing electrical isolation</w:t>
      </w:r>
      <w:r>
        <w:t xml:space="preserve">. The synchronous separation from the Eastern Interconnection has been in place for decades, with power exchange handled through HVDC and other asynchronous ties; conversion to 12 Hz does not require any new isolation infrastructure.</w:t>
      </w:r>
    </w:p>
    <w:p>
      <w:pPr>
        <w:pStyle w:val="Compact"/>
        <w:numPr>
          <w:ilvl w:val="0"/>
          <w:numId w:val="1015"/>
        </w:numPr>
      </w:pPr>
      <w:r>
        <w:rPr>
          <w:i/>
          <w:iCs/>
        </w:rPr>
        <w:t xml:space="preserve">Hydro-dominant generation</w:t>
      </w:r>
      <w:r>
        <w:t xml:space="preserve">. Hydro-Québec’s generation portfolio is approximately 95% hydroelectric. Hydroelectric generators have frequency-control flexibility that thermal generators do not — the prime mover (water turbine + governor + intake gates) can be retuned for different frequencies with manageable engineering effort, whereas thermal turbines (steam, gas) are more tightly tied to their design frequency. This gives Quebec frequency-conversion flexibility that few other jurisdictions have.</w:t>
      </w:r>
    </w:p>
    <w:p>
      <w:pPr>
        <w:pStyle w:val="Compact"/>
        <w:numPr>
          <w:ilvl w:val="0"/>
          <w:numId w:val="1015"/>
        </w:numPr>
      </w:pPr>
      <w:r>
        <w:rPr>
          <w:i/>
          <w:iCs/>
        </w:rPr>
        <w:t xml:space="preserve">Strong utility institution</w:t>
      </w:r>
      <w:r>
        <w:t xml:space="preserve">. Hydro-Québec has historically been a vehicle for provincial industrial policy. The James Bay hydroelectric development, the cross-border power exports to New England and New York, and the early-1990s controversy over the Great Whale project all demonstrate that the institution has the capacity to commit to and execute multi-decade infrastructure programs at scale.</w:t>
      </w:r>
    </w:p>
    <w:p>
      <w:pPr>
        <w:pStyle w:val="Compact"/>
        <w:numPr>
          <w:ilvl w:val="0"/>
          <w:numId w:val="1015"/>
        </w:numPr>
      </w:pPr>
      <w:r>
        <w:rPr>
          <w:i/>
          <w:iCs/>
        </w:rPr>
        <w:t xml:space="preserve">Provincial government industrial-policy alignment</w:t>
      </w:r>
      <w:r>
        <w:t xml:space="preserve">. Successive Quebec governments across party lines have used Hydro-Québec as an industrial-policy instrument. Provincial industrial development boards (Investissement Québec, equivalent) routinely partner with Hydro-Québec on energy-intensive industrial projects (aluminum smelters, data centers, hydrogen production). The 12 Hz transition fits naturally as an industrial-policy commitment, particularly given the manufacturing-capacity rebuild argument developed in the Resilient Transformer Architecture paper.</w:t>
      </w:r>
    </w:p>
    <w:p>
      <w:pPr>
        <w:pStyle w:val="Compact"/>
        <w:numPr>
          <w:ilvl w:val="0"/>
          <w:numId w:val="1015"/>
        </w:numPr>
      </w:pPr>
      <w:r>
        <w:rPr>
          <w:i/>
          <w:iCs/>
        </w:rPr>
        <w:t xml:space="preserve">Climate stress</w:t>
      </w:r>
      <w:r>
        <w:t xml:space="preserve">. Quebec’s continental cold conditions (winter design temperatures to –40°C in northern regions, –30°C across the populated south) exercise the cold-climate stack. Successful deployment in Quebec is meaningful evidence for cold-climate deployment globally.</w:t>
      </w:r>
    </w:p>
    <w:p>
      <w:pPr>
        <w:pStyle w:val="Compact"/>
        <w:numPr>
          <w:ilvl w:val="0"/>
          <w:numId w:val="1015"/>
        </w:numPr>
      </w:pPr>
      <w:r>
        <w:rPr>
          <w:i/>
          <w:iCs/>
        </w:rPr>
        <w:t xml:space="preserve">Engineering depth</w:t>
      </w:r>
      <w:r>
        <w:t xml:space="preserve">. Quebec has substantial engineering depth in electrical infrastructure (Hydro-Québec, IREQ research institute, École Polytechnique de Montréal, Université Laval), in cold-climate engineering (Université Laval’s cold-region research, INRS), and in heavy industry (the aluminum sector at Alcan / Rio Tinto Alcan, the steel sector at ArcelorMittal Long Products Canada).</w:t>
      </w:r>
    </w:p>
    <w:p>
      <w:pPr>
        <w:pStyle w:val="Compact"/>
        <w:numPr>
          <w:ilvl w:val="0"/>
          <w:numId w:val="1015"/>
        </w:numPr>
      </w:pPr>
      <w:r>
        <w:rPr>
          <w:i/>
          <w:iCs/>
        </w:rPr>
        <w:t xml:space="preserve">Manufacturing-policy alignment</w:t>
      </w:r>
      <w:r>
        <w:t xml:space="preserve">. Quebec has actively pursued domestic manufacturing capacity for energy infrastructure (the recent investment in battery-cell manufacturing, the long-standing aluminum-and-magnesium investments). A 12 Hz transition that requires building domestic vacuum-equipment, transformer-rewind, and ester-refining capacity aligns with existing provincial industrial-policy direction.</w:t>
      </w:r>
    </w:p>
    <w:bookmarkEnd w:id="31"/>
    <w:bookmarkStart w:id="32" w:name="quebec-specific-political-risks"/>
    <w:p>
      <w:pPr>
        <w:pStyle w:val="Heading3"/>
      </w:pPr>
      <w:r>
        <w:t xml:space="preserve">Quebec-specific political risks</w:t>
      </w:r>
    </w:p>
    <w:p>
      <w:pPr>
        <w:pStyle w:val="FirstParagraph"/>
      </w:pPr>
      <w:r>
        <w:t xml:space="preserve">The case for Quebec as a strong first-mover candidate is real but Quebec also has political risks specific to its context that the architectural strategy has to acknowledge. Insider observation from Hydro-Québec government relations identifies four:</w:t>
      </w:r>
    </w:p>
    <w:p>
      <w:pPr>
        <w:numPr>
          <w:ilvl w:val="0"/>
          <w:numId w:val="1016"/>
        </w:numPr>
      </w:pPr>
      <w:r>
        <w:rPr>
          <w:i/>
          <w:iCs/>
        </w:rPr>
        <w:t xml:space="preserve">Sovereignty politics</w:t>
      </w:r>
      <w:r>
        <w:t xml:space="preserve">. Quebec sovereignty politics are not dormant. A 12 Hz transition program that can be framed as</w:t>
      </w:r>
      <w:r>
        <w:t xml:space="preserve"> </w:t>
      </w:r>
      <w:r>
        <w:t xml:space="preserve">“Quebec showing North America how to do critical infrastructure”</w:t>
      </w:r>
      <w:r>
        <w:t xml:space="preserve"> </w:t>
      </w:r>
      <w:r>
        <w:t xml:space="preserve">supports Coalition Avenir Québec / Parti Québécois narratives about Quebec exceptionalism, but this framing is also vulnerable to federal-provincial backlash, particularly during periods of heightened federal-provincial tension. Hydro-Québec has historically been used as a vehicle for both economic-nationalist and sovereignty-adjacent provincial positioning. Federal cooperation on a Quebec-first 12 Hz deployment is not guaranteed and depends on which federal coalition is in office. The architectural strategy needs to either secure cross-party federal support (politically demanding) or be structured so that federal cooperation is not required at any phase (technically demanding because some elements — STANAG questions for the military side, NERC reliability standards for cross-border power flow, federal industrial-policy funding — naturally cross federal jurisdiction).</w:t>
      </w:r>
    </w:p>
    <w:p>
      <w:pPr>
        <w:numPr>
          <w:ilvl w:val="0"/>
          <w:numId w:val="1016"/>
        </w:numPr>
      </w:pPr>
      <w:r>
        <w:rPr>
          <w:i/>
          <w:iCs/>
        </w:rPr>
        <w:t xml:space="preserve">Quebec rate stability</w:t>
      </w:r>
      <w:r>
        <w:t xml:space="preserve">. Hydro-Québec rates have been politically managed for decades to be among the lowest in North America. This is a political commitment that successive Quebec governments have honored despite economic pressures. A 12 Hz transition program that adds even invisible-to-consumers rate increases (per the parent transformer paper, 0.010–0.036¢/kWh) faces political scrutiny in a way that similar programs in higher-rate jurisdictions would not. The political coalition supporting low Quebec rates is broad and durable; any framing of the transition that suggests rate increases will be amplified. The architectural strategy should emphasize that the rate impact is genuinely invisible at the consumer level (a $0.07–$0.27 monthly bill change against routine consumption variation) and should resist any framing that positions the transition as worth a meaningful rate increase.</w:t>
      </w:r>
    </w:p>
    <w:p>
      <w:pPr>
        <w:numPr>
          <w:ilvl w:val="0"/>
          <w:numId w:val="1016"/>
        </w:numPr>
      </w:pPr>
      <w:r>
        <w:rPr>
          <w:i/>
          <w:iCs/>
        </w:rPr>
        <w:t xml:space="preserve">Quebec engineering culture conservatism</w:t>
      </w:r>
      <w:r>
        <w:t xml:space="preserve">. Hydro-Québec’s engineering culture is genuinely strong but also genuinely conservative. The institution has resisted technology adoptions that came easily elsewhere (HVDC was deployed early but other technologies have been late), and major program decisions move slowly. The 24–36 month engineering-commitment timeline implied by the strategy is aggressive for Hydro-Québec’s institutional pace; a 5–7 year timeline from initial engagement to engineering commitment is more realistic. The strategy should adjust expected timelines accordingly.</w:t>
      </w:r>
    </w:p>
    <w:p>
      <w:pPr>
        <w:numPr>
          <w:ilvl w:val="0"/>
          <w:numId w:val="1016"/>
        </w:numPr>
      </w:pPr>
      <w:r>
        <w:rPr>
          <w:i/>
          <w:iCs/>
        </w:rPr>
        <w:t xml:space="preserve">James Bay political residue</w:t>
      </w:r>
      <w:r>
        <w:t xml:space="preserve">. The James Bay hydroelectric program produced lasting political controversy with First Nations communities (the Cree and Inuit) that Hydro-Québec is still managing, including through formal agreements like the Paix des Braves and ongoing consultation requirements under section 35 of the Constitution Act, 1982 and Quebec-specific treaty arrangements. A 12 Hz transition program that involves new transmission infrastructure or generation siting would face the same consultation requirements and the same political environment. The architectural transition is mostly substation-level rather than transmission-corridor-level, which mitigates this somewhat, but the Quebec political environment for major Hydro-Québec capital programs is more constrained than the engineering-depth framing alone would suggest.</w:t>
      </w:r>
    </w:p>
    <w:p>
      <w:pPr>
        <w:pStyle w:val="FirstParagraph"/>
      </w:pPr>
      <w:r>
        <w:t xml:space="preserve">These risks are real but manageable. They do not disqualify Quebec as a first-mover candidate; they shape how the engagement strategy with Quebec stakeholders should be structured. The architectural strategy should engage with Hydro-Québec engineering staff and provincial government simultaneously, with explicit acknowledgment of the rate-stability commitment, with realistic timelines reflecting institutional pace, and with First Nations consultation built into the engagement framework from the start rather than added later under pressure.</w:t>
      </w:r>
    </w:p>
    <w:p>
      <w:pPr>
        <w:pStyle w:val="BodyText"/>
      </w:pPr>
      <w:r>
        <w:t xml:space="preserve">For comparison, the alternative first-mover candidates have their own risk profiles:</w:t>
      </w:r>
    </w:p>
    <w:p>
      <w:pPr>
        <w:pStyle w:val="Compact"/>
        <w:numPr>
          <w:ilvl w:val="0"/>
          <w:numId w:val="1017"/>
        </w:numPr>
      </w:pPr>
      <w:r>
        <w:rPr>
          <w:i/>
          <w:iCs/>
        </w:rPr>
        <w:t xml:space="preserve">Iceland</w:t>
      </w:r>
      <w:r>
        <w:t xml:space="preserve">: small population (~370,000) is a benefit for tractability but a constraint on manufacturing-volume ramp; Landsvirkjun’s national-utility status simplifies politics but Iceland’s small economy limits the supporting industrial-policy investment that the architecture’s manufacturing-base argument relies on.</w:t>
      </w:r>
    </w:p>
    <w:p>
      <w:pPr>
        <w:pStyle w:val="Compact"/>
        <w:numPr>
          <w:ilvl w:val="0"/>
          <w:numId w:val="1017"/>
        </w:numPr>
      </w:pPr>
      <w:r>
        <w:rPr>
          <w:i/>
          <w:iCs/>
        </w:rPr>
        <w:t xml:space="preserve">Tasmania</w:t>
      </w:r>
      <w:r>
        <w:t xml:space="preserve">: small population (~570,000), Bass Strait isolation via Basslink HVDC, Hydro Tasmania as dominant utility. Similar profile to Iceland with the additional benefit of integration with broader Australian industrial capacity through the Federation.</w:t>
      </w:r>
    </w:p>
    <w:p>
      <w:pPr>
        <w:pStyle w:val="Compact"/>
        <w:numPr>
          <w:ilvl w:val="0"/>
          <w:numId w:val="1017"/>
        </w:numPr>
      </w:pPr>
      <w:r>
        <w:rPr>
          <w:i/>
          <w:iCs/>
        </w:rPr>
        <w:t xml:space="preserve">ERCOT (Texas)</w:t>
      </w:r>
      <w:r>
        <w:t xml:space="preserve">: large enough for meaningful manufacturing-volume ramp, electrically isolated, but with libertarian political culture that may resist coordinated long-horizon infrastructure programs, fragmented utility structure (multiple utilities operating within ERCOT), and recent grid-stability failures (February 2021 winter storm) that have raised the political bar for any major architectural change.</w:t>
      </w:r>
    </w:p>
    <w:p>
      <w:pPr>
        <w:pStyle w:val="Compact"/>
        <w:numPr>
          <w:ilvl w:val="0"/>
          <w:numId w:val="1017"/>
        </w:numPr>
      </w:pPr>
      <w:r>
        <w:rPr>
          <w:i/>
          <w:iCs/>
        </w:rPr>
        <w:t xml:space="preserve">Hawaii</w:t>
      </w:r>
      <w:r>
        <w:t xml:space="preserve">: each island geographically isolated, multiple utilities, dependence on oil-fired generation in some islands provides supply-chain motivation, but small total scale limits manufacturing-volume contribution.</w:t>
      </w:r>
    </w:p>
    <w:p>
      <w:pPr>
        <w:pStyle w:val="Compact"/>
        <w:numPr>
          <w:ilvl w:val="0"/>
          <w:numId w:val="1017"/>
        </w:numPr>
      </w:pPr>
      <w:r>
        <w:rPr>
          <w:i/>
          <w:iCs/>
        </w:rPr>
        <w:t xml:space="preserve">Iberian peninsula</w:t>
      </w:r>
      <w:r>
        <w:t xml:space="preserve">: requires Spain and Portugal coordination through MIBEL; the April 2025 Iberian blackout illustrated both the isolation and the coordination challenges, and may have raised the political appetite for resilience-focused architectural change. Two-country coordination is politically more complex than single-jurisdiction commitment but the post-blackout context is favorable.</w:t>
      </w:r>
    </w:p>
    <w:p>
      <w:pPr>
        <w:pStyle w:val="FirstParagraph"/>
      </w:pPr>
      <w:r>
        <w:t xml:space="preserve">Quebec remains the strongest North American candidate even with these risks squarely on the table. The other candidates are plausible alternatives, particularly if Quebec engagement runs into the political risks identified above.</w:t>
      </w:r>
    </w:p>
    <w:bookmarkEnd w:id="32"/>
    <w:bookmarkStart w:id="33" w:name="X49ba9a4aec4dc4499ec95782272b580fe50c108"/>
    <w:p>
      <w:pPr>
        <w:pStyle w:val="Heading3"/>
      </w:pPr>
      <w:r>
        <w:t xml:space="preserve">The synchronous-interface problem and how Quebec sidesteps it</w:t>
      </w:r>
    </w:p>
    <w:p>
      <w:pPr>
        <w:pStyle w:val="FirstParagraph"/>
      </w:pPr>
      <w:r>
        <w:t xml:space="preserve">The hardest technical aspect of any frequency-conversion transition in a non-isolated grid is the synchronous-interface problem. A jurisdiction synchronously connected to neighbors at the original frequency cannot unilaterally change frequency; either the entire synchronous area changes together (impossible in practice because it requires unanimous coordination across multiple regulatory bodies, multiple political coalitions, and multiple utility commercial arrangements) or the converting jurisdiction must install frequency converters at every interface point, which is operationally complex and capital-intensive.</w:t>
      </w:r>
    </w:p>
    <w:p>
      <w:pPr>
        <w:pStyle w:val="BodyText"/>
      </w:pPr>
      <w:r>
        <w:t xml:space="preserve">Quebec sidesteps this problem because the synchronous interfaces already exist: the HVDC ties to New York, New England, and Ontario operate at DC, with frequency conversion happening at the converter stations regardless of what frequency Quebec operates at internally. Converting Quebec’s internal grid from 60 Hz to 12 Hz changes the converter station configurations on the Quebec side but does not affect the AC operation of the neighboring grids at all. This is a much smaller-scope engineering change than would be required for a synchronously-connected jurisdiction.</w:t>
      </w:r>
    </w:p>
    <w:p>
      <w:pPr>
        <w:pStyle w:val="BodyText"/>
      </w:pPr>
      <w:r>
        <w:t xml:space="preserve">The same advantage applies to Iceland (no inter-grid AC ties at all), Hawaii (each island isolated), Tasmania (Basslink HVDC interface), and ERCOT (DC ties to neighboring grids). These jurisdictions can convert internally without affecting their neighbors. The Iberian peninsula, South Australia, and similar partially-isolated jurisdictions can convert with manageable additional engineering work but with more inter-jurisdictional coordination.</w:t>
      </w:r>
    </w:p>
    <w:p>
      <w:r>
        <w:pict>
          <v:rect style="width:0;height:1.5pt" o:hralign="center" o:hrstd="t" o:hr="t"/>
        </w:pict>
      </w:r>
    </w:p>
    <w:bookmarkEnd w:id="33"/>
    <w:bookmarkEnd w:id="34"/>
    <w:bookmarkStart w:id="38" w:name="section-5-end-use-device-transition"/>
    <w:p>
      <w:pPr>
        <w:pStyle w:val="Heading2"/>
      </w:pPr>
      <w:r>
        <w:t xml:space="preserve">Section 5 — End-use device transition</w:t>
      </w:r>
    </w:p>
    <w:p>
      <w:pPr>
        <w:pStyle w:val="FirstParagraph"/>
      </w:pPr>
      <w:r>
        <w:t xml:space="preserve">The hardest part of any civilian grid frequency transition is not the generation or transmission infrastructure — those are concentrated assets with limited owner counts and tractable replacement programs. The hardest part is the millions of end-use devices on customer premises: motors, ballasts, transformers in consumer electronics, line-frequency clocks, motor-driven appliances. A transition strategy lives or dies on what happens at the meter.</w:t>
      </w:r>
    </w:p>
    <w:bookmarkStart w:id="35" w:name="end-use-device-taxonomy"/>
    <w:p>
      <w:pPr>
        <w:pStyle w:val="Heading3"/>
      </w:pPr>
      <w:r>
        <w:t xml:space="preserve">End-use device taxonomy</w:t>
      </w:r>
    </w:p>
    <w:p>
      <w:pPr>
        <w:pStyle w:val="FirstParagraph"/>
      </w:pPr>
      <w:r>
        <w:t xml:space="preserve">End-use loads can be classified by their frequency dependence:</w:t>
      </w:r>
    </w:p>
    <w:p>
      <w:pPr>
        <w:pStyle w:val="BodyText"/>
      </w:pPr>
      <w:r>
        <w:rPr>
          <w:b/>
          <w:bCs/>
        </w:rPr>
        <w:t xml:space="preserve">Frequency-tolerant (works at 12 Hz / 12.5 Hz with no modification or trivial modification)</w:t>
      </w:r>
      <w:r>
        <w:t xml:space="preserve">:</w:t>
      </w:r>
    </w:p>
    <w:p>
      <w:pPr>
        <w:pStyle w:val="Compact"/>
        <w:numPr>
          <w:ilvl w:val="0"/>
          <w:numId w:val="1018"/>
        </w:numPr>
      </w:pPr>
      <w:r>
        <w:rPr>
          <w:i/>
          <w:iCs/>
        </w:rPr>
        <w:t xml:space="preserve">Resistive heating</w:t>
      </w:r>
      <w:r>
        <w:t xml:space="preserve">: electric heaters, water heaters, electric ovens, electric stoves. Resistance heating is frequency-independent within wide bounds; a 12 Hz / 12.5 Hz supply at the same RMS voltage delivers the same heat as 50/60 Hz.</w:t>
      </w:r>
    </w:p>
    <w:p>
      <w:pPr>
        <w:pStyle w:val="Compact"/>
        <w:numPr>
          <w:ilvl w:val="0"/>
          <w:numId w:val="1018"/>
        </w:numPr>
      </w:pPr>
      <w:r>
        <w:rPr>
          <w:i/>
          <w:iCs/>
        </w:rPr>
        <w:t xml:space="preserve">Switching power supplies</w:t>
      </w:r>
      <w:r>
        <w:t xml:space="preserve">: most modern electronics (computers, LED lighting, modern televisions, modern appliance control electronics, mobile device chargers) use switching power supplies that rectify the AC input and operate from internal DC rails. These are frequency-tolerant within wide bounds (typical specifications are 47–63 Hz for</w:t>
      </w:r>
      <w:r>
        <w:t xml:space="preserve"> </w:t>
      </w:r>
      <w:r>
        <w:t xml:space="preserve">“universal”</w:t>
      </w:r>
      <w:r>
        <w:t xml:space="preserve"> </w:t>
      </w:r>
      <w:r>
        <w:t xml:space="preserve">supplies, but the underlying architecture works at any frequency as long as the input rectifier can handle it). Most modern switching supplies will work at 12 Hz with reduced efficiency due to larger ripple on the rectifier output; minor capacitor upgrades on the DC bus restore full performance.</w:t>
      </w:r>
    </w:p>
    <w:p>
      <w:pPr>
        <w:pStyle w:val="Compact"/>
        <w:numPr>
          <w:ilvl w:val="0"/>
          <w:numId w:val="1018"/>
        </w:numPr>
      </w:pPr>
      <w:r>
        <w:rPr>
          <w:i/>
          <w:iCs/>
        </w:rPr>
        <w:t xml:space="preserve">Variable-frequency drive (VFD) motors</w:t>
      </w:r>
      <w:r>
        <w:t xml:space="preserve">: any motor driven by a VFD is frequency-independent at the motor terminal because the VFD synthesizes its own output frequency from the DC bus. A VFD with universal-input rectifier operates from 12 Hz / 12.5 Hz supply with the same internal capacitor caveat as switching supplies.</w:t>
      </w:r>
    </w:p>
    <w:p>
      <w:pPr>
        <w:pStyle w:val="Compact"/>
        <w:numPr>
          <w:ilvl w:val="0"/>
          <w:numId w:val="1018"/>
        </w:numPr>
      </w:pPr>
      <w:r>
        <w:rPr>
          <w:i/>
          <w:iCs/>
        </w:rPr>
        <w:t xml:space="preserve">Battery chargers</w:t>
      </w:r>
      <w:r>
        <w:t xml:space="preserve">: anything that rectifies AC to charge a battery is frequency-tolerant for the same reason as switching supplies.</w:t>
      </w:r>
    </w:p>
    <w:p>
      <w:pPr>
        <w:pStyle w:val="FirstParagraph"/>
      </w:pPr>
      <w:r>
        <w:rPr>
          <w:b/>
          <w:bCs/>
        </w:rPr>
        <w:t xml:space="preserve">Frequency-dependent (requires modification or replacement)</w:t>
      </w:r>
      <w:r>
        <w:t xml:space="preserve">:</w:t>
      </w:r>
    </w:p>
    <w:p>
      <w:pPr>
        <w:pStyle w:val="Compact"/>
        <w:numPr>
          <w:ilvl w:val="0"/>
          <w:numId w:val="1019"/>
        </w:numPr>
      </w:pPr>
      <w:r>
        <w:rPr>
          <w:i/>
          <w:iCs/>
        </w:rPr>
        <w:t xml:space="preserve">Direct-line induction motors at fixed-speed application</w:t>
      </w:r>
      <w:r>
        <w:t xml:space="preserve">: induction motors connected directly to the grid (no VFD) run at a speed proportional to the supply frequency. A motor designed for 60 Hz operation would run at 1/5 speed at 12 Hz — and at unchanged line voltage its magnetic circuit saturates (the V/f ratio quintuples), so direct connection is not viable at all. This includes:</w:t>
      </w:r>
    </w:p>
    <w:p>
      <w:pPr>
        <w:pStyle w:val="Compact"/>
        <w:numPr>
          <w:ilvl w:val="1"/>
          <w:numId w:val="1020"/>
        </w:numPr>
      </w:pPr>
      <w:r>
        <w:rPr>
          <w:i/>
          <w:iCs/>
        </w:rPr>
        <w:t xml:space="preserve">HVAC fans and pumps in older buildings</w:t>
      </w:r>
      <w:r>
        <w:t xml:space="preserve">: many fixed-speed, no VFD.</w:t>
      </w:r>
    </w:p>
    <w:p>
      <w:pPr>
        <w:pStyle w:val="Compact"/>
        <w:numPr>
          <w:ilvl w:val="1"/>
          <w:numId w:val="1020"/>
        </w:numPr>
      </w:pPr>
      <w:r>
        <w:rPr>
          <w:i/>
          <w:iCs/>
        </w:rPr>
        <w:t xml:space="preserve">Industrial process motors</w:t>
      </w:r>
      <w:r>
        <w:t xml:space="preserve"> </w:t>
      </w:r>
      <w:r>
        <w:t xml:space="preserve">without VFD: pumps, compressors, conveyors, agitators in older industrial installations.</w:t>
      </w:r>
    </w:p>
    <w:p>
      <w:pPr>
        <w:pStyle w:val="Compact"/>
        <w:numPr>
          <w:ilvl w:val="1"/>
          <w:numId w:val="1020"/>
        </w:numPr>
      </w:pPr>
      <w:r>
        <w:rPr>
          <w:i/>
          <w:iCs/>
        </w:rPr>
        <w:t xml:space="preserve">Refrigeration compressors</w:t>
      </w:r>
      <w:r>
        <w:t xml:space="preserve"> </w:t>
      </w:r>
      <w:r>
        <w:t xml:space="preserve">in older residential and commercial appliances: typically fixed-speed induction motors. Modern variable-speed compressors (inverter compressors in newer refrigerators and air conditioners) are frequency-tolerant.</w:t>
      </w:r>
    </w:p>
    <w:p>
      <w:pPr>
        <w:pStyle w:val="Compact"/>
        <w:numPr>
          <w:ilvl w:val="1"/>
          <w:numId w:val="1020"/>
        </w:numPr>
      </w:pPr>
      <w:r>
        <w:rPr>
          <w:i/>
          <w:iCs/>
        </w:rPr>
        <w:t xml:space="preserve">Electric motor-driven tools</w:t>
      </w:r>
      <w:r>
        <w:t xml:space="preserve">: older drill presses, lathes, mills, and similar shop equipment.</w:t>
      </w:r>
    </w:p>
    <w:p>
      <w:pPr>
        <w:pStyle w:val="Compact"/>
        <w:numPr>
          <w:ilvl w:val="0"/>
          <w:numId w:val="1019"/>
        </w:numPr>
      </w:pPr>
      <w:r>
        <w:rPr>
          <w:i/>
          <w:iCs/>
        </w:rPr>
        <w:t xml:space="preserve">Line-frequency clocks</w:t>
      </w:r>
      <w:r>
        <w:t xml:space="preserve">: older electromechanical clocks that derive timekeeping from the grid frequency (50/60 Hz reference) lose accuracy at 12 Hz. Most modern clocks use crystal oscillators and are unaffected.</w:t>
      </w:r>
    </w:p>
    <w:p>
      <w:pPr>
        <w:pStyle w:val="Compact"/>
        <w:numPr>
          <w:ilvl w:val="0"/>
          <w:numId w:val="1019"/>
        </w:numPr>
      </w:pPr>
      <w:r>
        <w:rPr>
          <w:i/>
          <w:iCs/>
        </w:rPr>
        <w:t xml:space="preserve">Older fluorescent ballasts</w:t>
      </w:r>
      <w:r>
        <w:t xml:space="preserve">: magnetic ballasts (the older type, common in commercial lighting before approximately 2000) require near-line-frequency operation. Modern electronic ballasts are frequency-tolerant within wide bounds.</w:t>
      </w:r>
    </w:p>
    <w:p>
      <w:pPr>
        <w:pStyle w:val="Compact"/>
        <w:numPr>
          <w:ilvl w:val="0"/>
          <w:numId w:val="1019"/>
        </w:numPr>
      </w:pPr>
      <w:r>
        <w:rPr>
          <w:i/>
          <w:iCs/>
        </w:rPr>
        <w:t xml:space="preserve">Older transformer-based power supplies</w:t>
      </w:r>
      <w:r>
        <w:t xml:space="preserve">: transformer-rectifier-filter power supplies for older electronics (pre-1990s typical) depend on line-frequency operation. Almost everything modern uses switching supplies and is frequency-tolerant.</w:t>
      </w:r>
    </w:p>
    <w:p>
      <w:pPr>
        <w:pStyle w:val="FirstParagraph"/>
      </w:pPr>
      <w:r>
        <w:t xml:space="preserve">The good news is that the frequency-tolerant fraction of typical residential and commercial load has been growing for decades. Modern electronics, modern appliances with inverter compressors, modern lighting (LED with switching supplies), modern HVAC systems with VFDs, modern industrial process controls — all are frequency-tolerant. Estimating the frequency-tolerant fraction in a typical advanced-economy load profile:</w:t>
      </w:r>
    </w:p>
    <w:p>
      <w:pPr>
        <w:pStyle w:val="Compact"/>
        <w:numPr>
          <w:ilvl w:val="0"/>
          <w:numId w:val="1021"/>
        </w:numPr>
      </w:pPr>
      <w:r>
        <w:rPr>
          <w:i/>
          <w:iCs/>
        </w:rPr>
        <w:t xml:space="preserve">Modern residential</w:t>
      </w:r>
      <w:r>
        <w:t xml:space="preserve"> </w:t>
      </w:r>
      <w:r>
        <w:t xml:space="preserve">(post-2010 construction or major renovation): plausibly 80–95% frequency-tolerant. Most loads are LED lighting, switching-supply electronics, inverter-compressor HVAC, resistance heating. The remaining 5–20% is older fixed-speed motors in some appliances and the occasional legacy clock or ballast.</w:t>
      </w:r>
    </w:p>
    <w:p>
      <w:pPr>
        <w:pStyle w:val="Compact"/>
        <w:numPr>
          <w:ilvl w:val="0"/>
          <w:numId w:val="1021"/>
        </w:numPr>
      </w:pPr>
      <w:r>
        <w:rPr>
          <w:i/>
          <w:iCs/>
        </w:rPr>
        <w:t xml:space="preserve">Older residential</w:t>
      </w:r>
      <w:r>
        <w:t xml:space="preserve"> </w:t>
      </w:r>
      <w:r>
        <w:t xml:space="preserve">(pre-1980 housing stock with original or modestly-updated electrical fixtures): plausibly 40–60% frequency-tolerant. More fixed-speed motors in older appliances, more legacy ballasts in surviving fluorescent fixtures, older HVAC systems with direct-line motors.</w:t>
      </w:r>
    </w:p>
    <w:p>
      <w:pPr>
        <w:pStyle w:val="Compact"/>
        <w:numPr>
          <w:ilvl w:val="0"/>
          <w:numId w:val="1021"/>
        </w:numPr>
      </w:pPr>
      <w:r>
        <w:rPr>
          <w:i/>
          <w:iCs/>
        </w:rPr>
        <w:t xml:space="preserve">Modern commercial/office</w:t>
      </w:r>
      <w:r>
        <w:t xml:space="preserve"> </w:t>
      </w:r>
      <w:r>
        <w:t xml:space="preserve">(post-2000 construction): plausibly 70–90% frequency-tolerant. LED lighting, computer loads, modern HVAC. Older buildings with surviving magnetic ballast fluorescent and direct-line HVAC are lower.</w:t>
      </w:r>
    </w:p>
    <w:p>
      <w:pPr>
        <w:pStyle w:val="Compact"/>
        <w:numPr>
          <w:ilvl w:val="0"/>
          <w:numId w:val="1021"/>
        </w:numPr>
      </w:pPr>
      <w:r>
        <w:rPr>
          <w:i/>
          <w:iCs/>
        </w:rPr>
        <w:t xml:space="preserve">Industrial</w:t>
      </w:r>
      <w:r>
        <w:t xml:space="preserve">: highly variable, plausibly 30–80% frequency-tolerant depending on industry. Heavy industries with extensive legacy fixed-speed motor populations (paper mills, steel mills, mines, refineries) are at the low end. Modern light industries (data centers, electronics manufacturing, food processing with modern controls) are at the high end.</w:t>
      </w:r>
    </w:p>
    <w:p>
      <w:pPr>
        <w:pStyle w:val="FirstParagraph"/>
      </w:pPr>
      <w:r>
        <w:t xml:space="preserve">The aggregate frequency-tolerant fraction in a typical advanced-economy mixed load is somewhere in the 60–80% range, with the trend strongly toward higher percentages as legacy equipment is replaced through normal lifecycle turnover.</w:t>
      </w:r>
    </w:p>
    <w:p>
      <w:pPr>
        <w:pStyle w:val="BodyText"/>
      </w:pPr>
      <w:r>
        <w:rPr>
          <w:b/>
          <w:bCs/>
        </w:rPr>
        <w:t xml:space="preserve">These percentages are educated estimates, not data.</w:t>
      </w:r>
      <w:r>
        <w:t xml:space="preserve"> </w:t>
      </w:r>
      <w:r>
        <w:t xml:space="preserve">No utility-scale survey of installed end-use device frequency tolerance exists in any advanced economy that this paper’s authors are aware of. The numbers above are inferences from market penetration of LED lighting, inverter-compressor appliances, VFD-driven HVAC, and switching-supply electronics — each of which has documented adoption rates that bound the frequency-tolerant fraction within plausible ranges. Phase 0 deliverable for civilian transition planning: utility-scale surveys of installed end-use device frequency tolerance in candidate first-mover jurisdictions, with statistically meaningful sampling across residential, commercial, and industrial categories. Real numbers will replace these estimates within 2–3 years of any serious transition planning effort.</w:t>
      </w:r>
    </w:p>
    <w:bookmarkEnd w:id="35"/>
    <w:bookmarkStart w:id="36" w:name="X486bcf1faee260b35d1461f2cdd4e2a7078deb9"/>
    <w:p>
      <w:pPr>
        <w:pStyle w:val="Heading3"/>
      </w:pPr>
      <w:r>
        <w:t xml:space="preserve">End-use replacement strategy and full cost analysis</w:t>
      </w:r>
    </w:p>
    <w:p>
      <w:pPr>
        <w:pStyle w:val="FirstParagraph"/>
      </w:pPr>
      <w:r>
        <w:t xml:space="preserve">The civilian transition strategy should be structured around the following observations:</w:t>
      </w:r>
    </w:p>
    <w:p>
      <w:pPr>
        <w:pStyle w:val="Compact"/>
        <w:numPr>
          <w:ilvl w:val="0"/>
          <w:numId w:val="1022"/>
        </w:numPr>
      </w:pPr>
      <w:r>
        <w:rPr>
          <w:i/>
          <w:iCs/>
        </w:rPr>
        <w:t xml:space="preserve">The frequency-tolerant fraction is large enough that the replacement program can be smaller than the total load</w:t>
      </w:r>
      <w:r>
        <w:t xml:space="preserve">. If 70% of load is already frequency-tolerant and another 15% can be made frequency-tolerant by adding a VFD or replacing with a modern equivalent during normal lifecycle turnover, the actual replacement burden is on perhaps 15% of installed end-use devices — the remaining legacy fixed-speed motors and ballasts that don’t have natural turnover paths.</w:t>
      </w:r>
    </w:p>
    <w:p>
      <w:pPr>
        <w:pStyle w:val="Compact"/>
        <w:numPr>
          <w:ilvl w:val="0"/>
          <w:numId w:val="1022"/>
        </w:numPr>
      </w:pPr>
      <w:r>
        <w:rPr>
          <w:i/>
          <w:iCs/>
        </w:rPr>
        <w:t xml:space="preserve">Most end-use turnover happens naturally on 5–20 year timescales</w:t>
      </w:r>
      <w:r>
        <w:t xml:space="preserve">. Refrigerators last 10–15 years, HVAC systems 15–25 years, fluorescent ballasts are increasingly being replaced with LED retrofits for energy-efficiency reasons. A transition program that aligns with natural turnover cycles imposes much less customer-side disruption than one that forces accelerated replacement.</w:t>
      </w:r>
    </w:p>
    <w:p>
      <w:pPr>
        <w:pStyle w:val="Compact"/>
        <w:numPr>
          <w:ilvl w:val="0"/>
          <w:numId w:val="1022"/>
        </w:numPr>
      </w:pPr>
      <w:r>
        <w:rPr>
          <w:i/>
          <w:iCs/>
        </w:rPr>
        <w:t xml:space="preserve">Industrial load is the hardest case and the cost is bounded but not small</w:t>
      </w:r>
      <w:r>
        <w:t xml:space="preserve">. Refineries have hundreds of large fixed-speed motors per site (process pumps, compressors, fans); VFD retrofit is technically possible but operationally complex, and per-site cost runs into the tens of millions of dollars. Mining operations have safety-critical motor loads (mine hoists in particular have control systems that don’t accept VFD substitution easily). Pulp and paper mills have large refiners and dryers with custom drive-train coupling that complicates retrofit. Heavy manufacturing has stamping presses, rolling mills, and large machining equipment with legacy direct-drive motors. For a Quebec-scale jurisdiction (8 million population, large industrial base including aluminum smelters, paper mills, mining, and chemical processing), industrial VFD retrofit cost is plausibly in the C$3–15B range depending on scope and depth of retrofit. This is a real cost that the transition program has to absorb, not a rounding error.</w:t>
      </w:r>
    </w:p>
    <w:p>
      <w:pPr>
        <w:pStyle w:val="Compact"/>
        <w:numPr>
          <w:ilvl w:val="0"/>
          <w:numId w:val="1022"/>
        </w:numPr>
      </w:pPr>
      <w:r>
        <w:rPr>
          <w:i/>
          <w:iCs/>
        </w:rPr>
        <w:t xml:space="preserve">Legacy equipment that cannot be made frequency-tolerant economically can be served at original frequency through local frequency converters at the customer-utility interface</w:t>
      </w:r>
      <w:r>
        <w:t xml:space="preserve">. A small static converter (5–500 kVA) at a customer’s meter allows the customer to continue using legacy equipment while the utility-side grid operates at 12 Hz / 12.5 Hz. This is a transition tool, not a permanent solution; the converter is removed when the customer’s legacy equipment is eventually replaced. Per-customer cost in the $5K–$50K range depending on size; for a Quebec-scale jurisdiction with millions of customer accounts and a non-trivial fraction needing converters, the aggregate cost is in the C$5–20B range over the transition period.</w:t>
      </w:r>
    </w:p>
    <w:p>
      <w:pPr>
        <w:pStyle w:val="FirstParagraph"/>
      </w:pPr>
      <w:r>
        <w:rPr>
          <w:b/>
          <w:bCs/>
        </w:rPr>
        <w:t xml:space="preserve">Full cost picture for a Quebec-scale civilian transition</w:t>
      </w:r>
      <w:r>
        <w:t xml:space="preserve"> </w:t>
      </w:r>
      <w:r>
        <w:t xml:space="preserve">(refining the Section 8 summary numbers):</w:t>
      </w:r>
    </w:p>
    <w:p>
      <w:pPr>
        <w:pStyle w:val="Compact"/>
        <w:numPr>
          <w:ilvl w:val="0"/>
          <w:numId w:val="1023"/>
        </w:numPr>
      </w:pPr>
      <w:r>
        <w:t xml:space="preserve">Generation and transmission infrastructure conversion (rotary converters at transmission interfaces, transformer fleet conversion, protection relay reconfiguration): C$15–60B over the transition period.</w:t>
      </w:r>
    </w:p>
    <w:p>
      <w:pPr>
        <w:pStyle w:val="Compact"/>
        <w:numPr>
          <w:ilvl w:val="0"/>
          <w:numId w:val="1023"/>
        </w:numPr>
      </w:pPr>
      <w:r>
        <w:t xml:space="preserve">Industrial end-use retrofit (VFDs on legacy fixed-speed motors, customer-side frequency converters for non-retrofittable equipment): C$3–15B.</w:t>
      </w:r>
    </w:p>
    <w:p>
      <w:pPr>
        <w:pStyle w:val="Compact"/>
        <w:numPr>
          <w:ilvl w:val="0"/>
          <w:numId w:val="1023"/>
        </w:numPr>
      </w:pPr>
      <w:r>
        <w:t xml:space="preserve">Residential and commercial end-use retrofit (legacy appliance replacement beyond natural turnover, older HVAC system replacement, legacy ballast replacement): C$2–10B.</w:t>
      </w:r>
    </w:p>
    <w:p>
      <w:pPr>
        <w:pStyle w:val="Compact"/>
        <w:numPr>
          <w:ilvl w:val="0"/>
          <w:numId w:val="1023"/>
        </w:numPr>
      </w:pPr>
      <w:r>
        <w:t xml:space="preserve">Customer-side frequency-converter installations for the residual legacy-equipment population: C$5–20B.</w:t>
      </w:r>
    </w:p>
    <w:p>
      <w:pPr>
        <w:pStyle w:val="Compact"/>
        <w:numPr>
          <w:ilvl w:val="0"/>
          <w:numId w:val="1023"/>
        </w:numPr>
      </w:pPr>
      <w:r>
        <w:t xml:space="preserve">Engineering, regulatory, training, and program-management costs: C$2–8B.</w:t>
      </w:r>
    </w:p>
    <w:p>
      <w:pPr>
        <w:pStyle w:val="Compact"/>
        <w:numPr>
          <w:ilvl w:val="0"/>
          <w:numId w:val="1023"/>
        </w:numPr>
      </w:pPr>
      <w:r>
        <w:rPr>
          <w:i/>
          <w:iCs/>
        </w:rPr>
        <w:t xml:space="preserve">Total Quebec-scale conversion: C$27–113B over 25–35 year transition period</w:t>
      </w:r>
      <w:r>
        <w:t xml:space="preserve">. Cumulative cost is on the same order of magnitude as the original James Bay hydroelectric program, spread over a longer time horizon. Annual cost during peak transition years is in the C$2–5B/year range, comparable to Hydro-Québec’s existing capital expenditure budget.</w:t>
      </w:r>
    </w:p>
    <w:p>
      <w:pPr>
        <w:pStyle w:val="FirstParagraph"/>
      </w:pPr>
      <w:r>
        <w:t xml:space="preserve">Per-customer cost spread over the transition period works out to a few hundred dollars per customer-year; spread over 25-30 years, customer-side aggregate cost is in the C$3K-15K range per customer, much of which is absorbed by natural turnover (VFDs and inverter-compressor appliances are increasingly standard in new equipment regardless of frequency considerations). The architectural transition is not free at the customer level, but it is in the range of routine major-appliance and HVAC turnover spending that customers already do.</w:t>
      </w:r>
    </w:p>
    <w:p>
      <w:pPr>
        <w:pStyle w:val="BodyText"/>
      </w:pPr>
      <w:r>
        <w:t xml:space="preserve">The cost figures above are estimates with high uncertainty (±50% should be assumed). Better numbers will emerge from actual engineering studies in candidate first-mover jurisdictions; the architectural strategy should not commit to a specific cost figure ahead of those studies.</w:t>
      </w:r>
    </w:p>
    <w:bookmarkEnd w:id="36"/>
    <w:bookmarkStart w:id="37" w:name="X17d07ac31061210f7910b49100bebe2917d63ac"/>
    <w:p>
      <w:pPr>
        <w:pStyle w:val="Heading3"/>
      </w:pPr>
      <w:r>
        <w:t xml:space="preserve">The temporal-phasing principle (drawing on Barcelona’s sequencing lesson)</w:t>
      </w:r>
    </w:p>
    <w:p>
      <w:pPr>
        <w:pStyle w:val="FirstParagraph"/>
      </w:pPr>
      <w:r>
        <w:t xml:space="preserve">The Barcelona open-source migration applied a strategic principle that translates partially to the grid transition:</w:t>
      </w:r>
      <w:r>
        <w:t xml:space="preserve"> </w:t>
      </w:r>
      <w:r>
        <w:rPr>
          <w:b/>
          <w:bCs/>
        </w:rPr>
        <w:t xml:space="preserve">migrate user-facing components first, keep the underlying infrastructure running, then change the infrastructure once the user-facing components are validated</w:t>
      </w:r>
      <w:r>
        <w:t xml:space="preserve">. Barcelona’s specific implementation: replace user applications (Outlook → Open-Xchange, Office → LibreOffice, IE → Firefox) while keeping Windows running, then swap the OS to Ubuntu only after the application layer was working.</w:t>
      </w:r>
    </w:p>
    <w:p>
      <w:pPr>
        <w:pStyle w:val="BodyText"/>
      </w:pPr>
      <w:r>
        <w:t xml:space="preserve">The grid-transition analog requires careful framing because the analogy is not perfect. In Barcelona’s case, the application layer can be migrated user-by-user with no coordination among users. Each user can switch from Outlook to Open-Xchange independently; the IT environment supports both during transition. Grid transition does not work this way: customers on the same distribution feeder are connected to the same grid frequency, and the grid cannot operate at two frequencies simultaneously without dedicated converter infrastructure. End-use replacement happens</w:t>
      </w:r>
      <w:r>
        <w:t xml:space="preserve"> </w:t>
      </w:r>
      <w:r>
        <w:rPr>
          <w:i/>
          <w:iCs/>
        </w:rPr>
        <w:t xml:space="preserve">before</w:t>
      </w:r>
      <w:r>
        <w:t xml:space="preserve"> </w:t>
      </w:r>
      <w:r>
        <w:t xml:space="preserve">grid conversion in</w:t>
      </w:r>
      <w:r>
        <w:t xml:space="preserve"> </w:t>
      </w:r>
      <w:r>
        <w:rPr>
          <w:i/>
          <w:iCs/>
        </w:rPr>
        <w:t xml:space="preserve">time</w:t>
      </w:r>
      <w:r>
        <w:t xml:space="preserve">, not as parallel operation; once the grid switches, all customers on that feeder switch with it.</w:t>
      </w:r>
    </w:p>
    <w:p>
      <w:pPr>
        <w:pStyle w:val="BodyText"/>
      </w:pPr>
      <w:r>
        <w:t xml:space="preserve">The principle that does translate is</w:t>
      </w:r>
      <w:r>
        <w:t xml:space="preserve"> </w:t>
      </w:r>
      <w:r>
        <w:rPr>
          <w:i/>
          <w:iCs/>
        </w:rPr>
        <w:t xml:space="preserve">temporal phasing</w:t>
      </w:r>
      <w:r>
        <w:t xml:space="preserve">: do the work that can be done without grid-side coordination first, accumulate the customer-side replacement on natural turnover cycles, and reserve the grid-side frequency conversion for after most of the customer-side work is complete. This sequencing has several advantages:</w:t>
      </w:r>
    </w:p>
    <w:p>
      <w:pPr>
        <w:pStyle w:val="Compact"/>
        <w:numPr>
          <w:ilvl w:val="0"/>
          <w:numId w:val="1024"/>
        </w:numPr>
      </w:pPr>
      <w:r>
        <w:rPr>
          <w:i/>
          <w:iCs/>
        </w:rPr>
        <w:t xml:space="preserve">Customer-side disruption is minimized in time</w:t>
      </w:r>
      <w:r>
        <w:t xml:space="preserve">. Customers replace legacy equipment on their own schedules through normal turnover, with utility-funded VFD installation for the residual legacy fixed-speed motors. The grid continues operating normally throughout this phase; customer-side investment happens through routine consumer and business decisions rather than as a coordinated deployment.</w:t>
      </w:r>
    </w:p>
    <w:p>
      <w:pPr>
        <w:pStyle w:val="Compact"/>
        <w:numPr>
          <w:ilvl w:val="0"/>
          <w:numId w:val="1024"/>
        </w:numPr>
      </w:pPr>
      <w:r>
        <w:rPr>
          <w:i/>
          <w:iCs/>
        </w:rPr>
        <w:t xml:space="preserve">The frequency-tolerant fraction grows over the transition period</w:t>
      </w:r>
      <w:r>
        <w:t xml:space="preserve"> </w:t>
      </w:r>
      <w:r>
        <w:t xml:space="preserve">as natural turnover replaces legacy equipment. By the time the grid-side conversion happens, the frequency-tolerant fraction is much higher than today’s baseline; the actual customer-side disruption at conversion is correspondingly smaller.</w:t>
      </w:r>
    </w:p>
    <w:p>
      <w:pPr>
        <w:pStyle w:val="Compact"/>
        <w:numPr>
          <w:ilvl w:val="0"/>
          <w:numId w:val="1024"/>
        </w:numPr>
      </w:pPr>
      <w:r>
        <w:rPr>
          <w:i/>
          <w:iCs/>
        </w:rPr>
        <w:t xml:space="preserve">The customer-side preparation phase is reversible</w:t>
      </w:r>
      <w:r>
        <w:t xml:space="preserve">. If the political coalition supporting the transition fragments during the customer-side phase (the Munich risk), the intermediate state is stable: customers have replaced legacy equipment with frequency-tolerant equipment, which works fine on the existing 50/60 Hz grid and provides energy-efficiency benefits in its own right. The transition can pause indefinitely without producing operational problems.</w:t>
      </w:r>
    </w:p>
    <w:p>
      <w:pPr>
        <w:pStyle w:val="Compact"/>
        <w:numPr>
          <w:ilvl w:val="0"/>
          <w:numId w:val="1024"/>
        </w:numPr>
      </w:pPr>
      <w:r>
        <w:rPr>
          <w:i/>
          <w:iCs/>
        </w:rPr>
        <w:t xml:space="preserve">The grid-side conversion is shorter and tighter once the customer-side preparation is ready</w:t>
      </w:r>
      <w:r>
        <w:t xml:space="preserve">. With most end-use devices already frequency-tolerant, the grid-side conversion is a coordinated multi-substation switchover that can happen over months rather than decades. The disruptive part of the transition is concentrated in a short period at the end rather than spread over the full 30-year horizon.</w:t>
      </w:r>
    </w:p>
    <w:p>
      <w:pPr>
        <w:pStyle w:val="FirstParagraph"/>
      </w:pPr>
      <w:r>
        <w:t xml:space="preserve">This is the right structural principle for the civilian transition, learned from Barcelona’s sequencing improvements over Munich’s parallel-everything approach. The framing is</w:t>
      </w:r>
      <w:r>
        <w:t xml:space="preserve"> </w:t>
      </w:r>
      <w:r>
        <w:rPr>
          <w:i/>
          <w:iCs/>
        </w:rPr>
        <w:t xml:space="preserve">temporal phasing for disruption minimization</w:t>
      </w:r>
      <w:r>
        <w:t xml:space="preserve">, not</w:t>
      </w:r>
      <w:r>
        <w:t xml:space="preserve"> </w:t>
      </w:r>
      <w:r>
        <w:rPr>
          <w:i/>
          <w:iCs/>
        </w:rPr>
        <w:t xml:space="preserve">parallel operation for stability</w:t>
      </w:r>
      <w:r>
        <w:t xml:space="preserve"> </w:t>
      </w:r>
      <w:r>
        <w:t xml:space="preserve">— the latter is what Barcelona’s IT migration achieved but is not technically feasible for grid frequency conversion at the distribution-feeder level.</w:t>
      </w:r>
    </w:p>
    <w:p>
      <w:r>
        <w:pict>
          <v:rect style="width:0;height:1.5pt" o:hralign="center" o:hrstd="t" o:hr="t"/>
        </w:pict>
      </w:r>
    </w:p>
    <w:bookmarkEnd w:id="37"/>
    <w:bookmarkEnd w:id="38"/>
    <w:bookmarkStart w:id="43" w:name="X7f72b75881abeb3f1a87c34c1ca287313423c33"/>
    <w:p>
      <w:pPr>
        <w:pStyle w:val="Heading2"/>
      </w:pPr>
      <w:r>
        <w:t xml:space="preserve">Section 6 — The Munich/LiMux precedent and the post-Munich landscape</w:t>
      </w:r>
    </w:p>
    <w:p>
      <w:pPr>
        <w:pStyle w:val="FirstParagraph"/>
      </w:pPr>
      <w:r>
        <w:t xml:space="preserve">The Munich / LiMux story is worth examining in detail because it is the most relevant cautionary tale for any long-horizon civilian infrastructure transition. It is a source of cautionary lessons rather than a confident maturation-curve template: the actual dynamics of European public-sector open-source adoption are more complicated, and the Munich → Barcelona → EU-wide causal chain is looser than a simple maturation framing would imply. Treated carefully, the record supports a weaker but still substantive argument.</w:t>
      </w:r>
    </w:p>
    <w:bookmarkStart w:id="39" w:name="X4ee53882a2019b542ed9f7577991e0a91916015"/>
    <w:p>
      <w:pPr>
        <w:pStyle w:val="Heading3"/>
      </w:pPr>
      <w:r>
        <w:t xml:space="preserve">Munich’s LiMux program (2003–2017): what actually happened</w:t>
      </w:r>
    </w:p>
    <w:p>
      <w:pPr>
        <w:pStyle w:val="FirstParagraph"/>
      </w:pPr>
      <w:r>
        <w:t xml:space="preserve">Munich began migrating its 15,000+ municipal workstations from Microsoft Windows to LiMux (a Kubuntu-based distribution) and from Microsoft Office to OpenOffice/LibreOffice in 2003. The program was politically driven, with both CSU and Greens supporting it. It was technically functional at most points in its lifecycle and produced documented cost savings versus the Microsoft-baseline counterfactual the city used internally.</w:t>
      </w:r>
    </w:p>
    <w:p>
      <w:pPr>
        <w:pStyle w:val="BodyText"/>
      </w:pPr>
      <w:r>
        <w:t xml:space="preserve">In 2017, after a change in city administration and the establishment of a Microsoft regional headquarters in Munich, the city council voted to migrate back to Windows 10 at a reported cost of approximately €49 million (figures cited in subsequent analyses range from €50M to over €100M depending on what is included; the cost was disputed in subsequent reporting). The reversal was politically charged.</w:t>
      </w:r>
    </w:p>
    <w:p>
      <w:pPr>
        <w:pStyle w:val="BodyText"/>
      </w:pPr>
      <w:r>
        <w:t xml:space="preserve">LiMux ended for two interacting reasons:</w:t>
      </w:r>
      <w:r>
        <w:t xml:space="preserve"> </w:t>
      </w:r>
      <w:r>
        <w:rPr>
          <w:i/>
          <w:iCs/>
        </w:rPr>
        <w:t xml:space="preserve">political coalition turnover and real underlying technical issues</w:t>
      </w:r>
      <w:r>
        <w:t xml:space="preserve">. Both factors were operating, and treating either as the sole cause oversimplifies the case:</w:t>
      </w:r>
    </w:p>
    <w:p>
      <w:pPr>
        <w:pStyle w:val="Compact"/>
        <w:numPr>
          <w:ilvl w:val="0"/>
          <w:numId w:val="1025"/>
        </w:numPr>
      </w:pPr>
      <w:r>
        <w:rPr>
          <w:i/>
          <w:iCs/>
        </w:rPr>
        <w:t xml:space="preserve">Real technical issues</w:t>
      </w:r>
      <w:r>
        <w:t xml:space="preserve">. Interoperability with Bavarian state government IT systems and federal German government IT systems became progressively more difficult as those systems standardized on Microsoft formats and protocols. User productivity issues accumulated as municipal employees who routinely interacted with state and federal counterparts encountered file-format conversion problems, calendar-sharing issues, and document-collaboration friction. The LiMux distribution required ongoing maintenance and updates that the program did not adequately fund. By the mid-2010s, a meaningful fraction of municipal employees were genuinely frustrated with the system, and that frustration was real rather than manufactured.</w:t>
      </w:r>
    </w:p>
    <w:p>
      <w:pPr>
        <w:pStyle w:val="Compact"/>
        <w:numPr>
          <w:ilvl w:val="0"/>
          <w:numId w:val="1025"/>
        </w:numPr>
      </w:pPr>
      <w:r>
        <w:rPr>
          <w:i/>
          <w:iCs/>
        </w:rPr>
        <w:t xml:space="preserve">Political coalition turnover</w:t>
      </w:r>
      <w:r>
        <w:t xml:space="preserve">. The Munich coalition that initiated LiMux in the early 2000s did not hold continuous authority through 2017. The 2014 municipal elections produced an SPD/CSU coalition that was less invested in the program than the originating coalition had been. The Microsoft regional headquarters announcement provided additional political cover for the reversal decision.</w:t>
      </w:r>
    </w:p>
    <w:p>
      <w:pPr>
        <w:pStyle w:val="FirstParagraph"/>
      </w:pPr>
      <w:r>
        <w:t xml:space="preserve">The interaction is what matters: real technical issues that an invested coalition might have funded fixes for were instead used by a less-invested coalition as the basis for reversal. A program with similar technical issues but stronger ongoing political investment might have addressed the issues; a program with similar political dynamics but no underlying technical issues might have weathered the transition. LiMux had both problems simultaneously, and the combination was fatal.</w:t>
      </w:r>
    </w:p>
    <w:p>
      <w:pPr>
        <w:pStyle w:val="BodyText"/>
      </w:pPr>
      <w:r>
        <w:t xml:space="preserve">The lessons that draw correctly from this:</w:t>
      </w:r>
    </w:p>
    <w:p>
      <w:pPr>
        <w:pStyle w:val="Compact"/>
        <w:numPr>
          <w:ilvl w:val="0"/>
          <w:numId w:val="1026"/>
        </w:numPr>
      </w:pPr>
      <w:r>
        <w:rPr>
          <w:i/>
          <w:iCs/>
        </w:rPr>
        <w:t xml:space="preserve">Long programs require ongoing technical investment, not just initial deployment funding</w:t>
      </w:r>
      <w:r>
        <w:t xml:space="preserve">. Munich’s underinvestment in LiMux maintenance and integration over the 14-year program lifetime created the technical vulnerabilities that the political reversal exploited. A 12 Hz transition program at 30-year horizon must include funding for ongoing engineering investment, equipment refresh, manufacturing-base maintenance, and integration with evolving external standards.</w:t>
      </w:r>
    </w:p>
    <w:p>
      <w:pPr>
        <w:pStyle w:val="Compact"/>
        <w:numPr>
          <w:ilvl w:val="0"/>
          <w:numId w:val="1026"/>
        </w:numPr>
      </w:pPr>
      <w:r>
        <w:rPr>
          <w:i/>
          <w:iCs/>
        </w:rPr>
        <w:t xml:space="preserve">Political coalition continuity cannot be assumed</w:t>
      </w:r>
      <w:r>
        <w:t xml:space="preserve">. Even programs with strong initial political support face turnover risk over multi-decade horizons. Architecture choices that minimize coalition-dependency (defense procurement aligned with established service priorities; sovereignty framing that appeals across political axes; manufacturing-base investment that creates its own political constituency) are more robust than programs that depend on continuous support from the original initiating coalition.</w:t>
      </w:r>
    </w:p>
    <w:p>
      <w:pPr>
        <w:pStyle w:val="Compact"/>
        <w:numPr>
          <w:ilvl w:val="0"/>
          <w:numId w:val="1026"/>
        </w:numPr>
      </w:pPr>
      <w:r>
        <w:rPr>
          <w:i/>
          <w:iCs/>
        </w:rPr>
        <w:t xml:space="preserve">Reversal is politically possible but technically expensive</w:t>
      </w:r>
      <w:r>
        <w:t xml:space="preserve">. The reversal cost is what makes reversal harder to execute. A 12 Hz transition program that has accumulated meaningful capital investment in the manufacturing base, the deployed equipment, and the customer-side end-use device base presents a higher reversal cost than one that has been deployed thinly. The architectural strategy should target meaningful capital deployment in the early phases to raise the eventual reversal threshold.</w:t>
      </w:r>
    </w:p>
    <w:p>
      <w:pPr>
        <w:pStyle w:val="Compact"/>
        <w:numPr>
          <w:ilvl w:val="0"/>
          <w:numId w:val="1026"/>
        </w:numPr>
      </w:pPr>
      <w:r>
        <w:rPr>
          <w:i/>
          <w:iCs/>
        </w:rPr>
        <w:t xml:space="preserve">Communication of program benefits matters but is not a substitute for technical investment</w:t>
      </w:r>
      <w:r>
        <w:t xml:space="preserve">. Munich’s failure to communicate LiMux benefits effectively contributed to the reversal, but communication alone could not have saved a program with the underlying technical issues LiMux had. The 12 Hz transition needs both visible communication and ongoing technical investment.</w:t>
      </w:r>
    </w:p>
    <w:bookmarkEnd w:id="39"/>
    <w:bookmarkStart w:id="40" w:name="Xafa5e1d388cfba5d17e5b707a8fe6df39b5ddde"/>
    <w:p>
      <w:pPr>
        <w:pStyle w:val="Heading3"/>
      </w:pPr>
      <w:r>
        <w:t xml:space="preserve">Barcelona’s response (2017–2019): mixed results, partial lessons</w:t>
      </w:r>
    </w:p>
    <w:p>
      <w:pPr>
        <w:pStyle w:val="FirstParagraph"/>
      </w:pPr>
      <w:r>
        <w:t xml:space="preserve">Barcelona’s open-source migration began in December 2017, immediately after Munich announced its reversal. The Barcelona program was deliberately structured to address several of Munich’s failure modes:</w:t>
      </w:r>
    </w:p>
    <w:p>
      <w:pPr>
        <w:pStyle w:val="Compact"/>
        <w:numPr>
          <w:ilvl w:val="0"/>
          <w:numId w:val="1027"/>
        </w:numPr>
      </w:pPr>
      <w:r>
        <w:rPr>
          <w:i/>
          <w:iCs/>
        </w:rPr>
        <w:t xml:space="preserve">Application-layer-first sequencing</w:t>
      </w:r>
      <w:r>
        <w:t xml:space="preserve">. Barcelona replaced user-facing applications (Outlook → Open-Xchange, IE → Firefox, Office → LibreOffice) before swapping the OS, keeping Windows running underneath while the application layer was migrated and validated. The OS swap to Ubuntu was the final step, scheduled for after the application layer had stabilized.</w:t>
      </w:r>
    </w:p>
    <w:p>
      <w:pPr>
        <w:pStyle w:val="Compact"/>
        <w:numPr>
          <w:ilvl w:val="0"/>
          <w:numId w:val="1027"/>
        </w:numPr>
      </w:pPr>
      <w:r>
        <w:rPr>
          <w:i/>
          <w:iCs/>
        </w:rPr>
        <w:t xml:space="preserve">In-house developer base</w:t>
      </w:r>
      <w:r>
        <w:t xml:space="preserve">. Barcelona hired 65 developers to support the migration. The hires were Catalan IT workers, supporting both the migration and broader Catalan IT capacity development.</w:t>
      </w:r>
    </w:p>
    <w:p>
      <w:pPr>
        <w:pStyle w:val="Compact"/>
        <w:numPr>
          <w:ilvl w:val="0"/>
          <w:numId w:val="1027"/>
        </w:numPr>
      </w:pPr>
      <w:r>
        <w:rPr>
          <w:i/>
          <w:iCs/>
        </w:rPr>
        <w:t xml:space="preserve">Sovereignty framing</w:t>
      </w:r>
      <w:r>
        <w:t xml:space="preserve">. Francesca Bria, the Commissioner of Technology and Digital Innovation, framed the program as a sovereignty issue — public funds should produce public-good infrastructure rather than dependency on proprietary vendors.</w:t>
      </w:r>
    </w:p>
    <w:p>
      <w:pPr>
        <w:pStyle w:val="Compact"/>
        <w:numPr>
          <w:ilvl w:val="0"/>
          <w:numId w:val="1027"/>
        </w:numPr>
      </w:pPr>
      <w:r>
        <w:rPr>
          <w:i/>
          <w:iCs/>
        </w:rPr>
        <w:t xml:space="preserve">Public Money, Public Code</w:t>
      </w:r>
      <w:r>
        <w:t xml:space="preserve">. Barcelona was the first city to join the Free Software Foundation Europe’s Public Money, Public Code initiative.</w:t>
      </w:r>
    </w:p>
    <w:p>
      <w:pPr>
        <w:pStyle w:val="Compact"/>
        <w:numPr>
          <w:ilvl w:val="0"/>
          <w:numId w:val="1027"/>
        </w:numPr>
      </w:pPr>
      <w:r>
        <w:rPr>
          <w:i/>
          <w:iCs/>
        </w:rPr>
        <w:t xml:space="preserve">Mandate-aligned timeline</w:t>
      </w:r>
      <w:r>
        <w:t xml:space="preserve">. The program was scheduled to complete within the existing administration’s mandate (Spring 2019).</w:t>
      </w:r>
    </w:p>
    <w:p>
      <w:pPr>
        <w:pStyle w:val="FirstParagraph"/>
      </w:pPr>
      <w:r>
        <w:rPr>
          <w:b/>
          <w:bCs/>
        </w:rPr>
        <w:t xml:space="preserve">Barcelona’s actual outcomes were mixed.</w:t>
      </w:r>
      <w:r>
        <w:t xml:space="preserve"> </w:t>
      </w:r>
      <w:r>
        <w:t xml:space="preserve">The application-layer migration was substantially complete by 2019 and survived in subsequent administrations. The OS swap to Ubuntu was incomplete by mandate end and was not aggressively completed by subsequent administrations; Barcelona has run a hybrid Microsoft Windows / open-source application environment since approximately 2019, with the application layer being the lasting achievement and the OS layer remaining largely Microsoft.</w:t>
      </w:r>
    </w:p>
    <w:p>
      <w:pPr>
        <w:pStyle w:val="BodyText"/>
      </w:pPr>
      <w:r>
        <w:t xml:space="preserve">This is not a clean success story. It is partial completion with both lasting benefit (application-layer sovereignty for some workflows) and unrealized goals (the deeper OS-level sovereignty the program aspired to). The lessons that can be drawn:</w:t>
      </w:r>
    </w:p>
    <w:p>
      <w:pPr>
        <w:pStyle w:val="Compact"/>
        <w:numPr>
          <w:ilvl w:val="0"/>
          <w:numId w:val="1028"/>
        </w:numPr>
      </w:pPr>
      <w:r>
        <w:rPr>
          <w:i/>
          <w:iCs/>
        </w:rPr>
        <w:t xml:space="preserve">Application-layer-first sequencing genuinely helps</w:t>
      </w:r>
      <w:r>
        <w:t xml:space="preserve">. The application-layer migration survived the mandate transition because it was operationally stable when the political continuity ran out. The OS migration did not survive the same transition because it was not yet complete.</w:t>
      </w:r>
    </w:p>
    <w:p>
      <w:pPr>
        <w:pStyle w:val="Compact"/>
        <w:numPr>
          <w:ilvl w:val="0"/>
          <w:numId w:val="1028"/>
        </w:numPr>
      </w:pPr>
      <w:r>
        <w:rPr>
          <w:i/>
          <w:iCs/>
        </w:rPr>
        <w:t xml:space="preserve">In-house developer capacity creates real constituencies</w:t>
      </w:r>
      <w:r>
        <w:t xml:space="preserve">. The 65 Catalan developers hired for the migration are still working in Barcelona’s IT environment and have continued to advocate for open-source approaches in subsequent years.</w:t>
      </w:r>
    </w:p>
    <w:p>
      <w:pPr>
        <w:pStyle w:val="Compact"/>
        <w:numPr>
          <w:ilvl w:val="0"/>
          <w:numId w:val="1028"/>
        </w:numPr>
      </w:pPr>
      <w:r>
        <w:rPr>
          <w:i/>
          <w:iCs/>
        </w:rPr>
        <w:t xml:space="preserve">Sovereignty framing is more durable than cost framing</w:t>
      </w:r>
      <w:r>
        <w:t xml:space="preserve">. The political framing of the program survived political turnover better than a cost-driven framing would have, even though the program itself was incomplete.</w:t>
      </w:r>
    </w:p>
    <w:p>
      <w:pPr>
        <w:pStyle w:val="Compact"/>
        <w:numPr>
          <w:ilvl w:val="0"/>
          <w:numId w:val="1028"/>
        </w:numPr>
      </w:pPr>
      <w:r>
        <w:rPr>
          <w:i/>
          <w:iCs/>
        </w:rPr>
        <w:t xml:space="preserve">Mandate-aligned timelines are realistic but the goals must be set within what can actually be completed</w:t>
      </w:r>
      <w:r>
        <w:t xml:space="preserve">. Barcelona scheduled an aggressive timeline; what got completed was the realistic part of that timeline. The architectural lesson: set goals for what can be completed in one mandate cycle, and treat anything beyond that as separate phases that future political cycles must commit to independently.</w:t>
      </w:r>
    </w:p>
    <w:p>
      <w:pPr>
        <w:pStyle w:val="FirstParagraph"/>
      </w:pPr>
      <w:r>
        <w:t xml:space="preserve">The Barcelona program is best understood as</w:t>
      </w:r>
      <w:r>
        <w:t xml:space="preserve"> </w:t>
      </w:r>
      <w:r>
        <w:rPr>
          <w:i/>
          <w:iCs/>
        </w:rPr>
        <w:t xml:space="preserve">one partial success rather than a clean second-generation triumph</w:t>
      </w:r>
      <w:r>
        <w:t xml:space="preserve">. It demonstrates that some Munich failure modes can be addressed; it also demonstrates that addressing some failure modes is not sufficient to guarantee full program completion. The realistic framing for the 12 Hz transition is similar: address the failure modes that can be addressed, accept that not all of them can be eliminated, and design the program so that partial completion produces meaningful lasting benefit.</w:t>
      </w:r>
    </w:p>
    <w:bookmarkEnd w:id="40"/>
    <w:bookmarkStart w:id="41" w:name="Xbca86ea893d5e5ce34ff0c8db47c9c8924bc3cd"/>
    <w:p>
      <w:pPr>
        <w:pStyle w:val="Heading3"/>
      </w:pPr>
      <w:r>
        <w:t xml:space="preserve">EU public-sector open-source adoption: the broader context</w:t>
      </w:r>
    </w:p>
    <w:p>
      <w:pPr>
        <w:pStyle w:val="FirstParagraph"/>
      </w:pPr>
      <w:r>
        <w:t xml:space="preserve">European public-sector open-source adoption in the post-2017 period has expanded substantially, but the drivers are not primarily a Munich-Barcelona maturation chain:</w:t>
      </w:r>
    </w:p>
    <w:p>
      <w:pPr>
        <w:pStyle w:val="Compact"/>
        <w:numPr>
          <w:ilvl w:val="0"/>
          <w:numId w:val="1029"/>
        </w:numPr>
      </w:pPr>
      <w:r>
        <w:rPr>
          <w:i/>
          <w:iCs/>
        </w:rPr>
        <w:t xml:space="preserve">GDPR (2018) and subsequent EU privacy regulation</w:t>
      </w:r>
      <w:r>
        <w:t xml:space="preserve"> </w:t>
      </w:r>
      <w:r>
        <w:t xml:space="preserve">created sovereignty pressure that affects software-vendor selection independent of technical merits.</w:t>
      </w:r>
    </w:p>
    <w:p>
      <w:pPr>
        <w:pStyle w:val="Compact"/>
        <w:numPr>
          <w:ilvl w:val="0"/>
          <w:numId w:val="1029"/>
        </w:numPr>
      </w:pPr>
      <w:r>
        <w:rPr>
          <w:i/>
          <w:iCs/>
        </w:rPr>
        <w:t xml:space="preserve">US-China technology rivalry</w:t>
      </w:r>
      <w:r>
        <w:t xml:space="preserve">, particularly post-2017, raised the strategic salience of dependency on US-headquartered vendors for European public-sector systems.</w:t>
      </w:r>
    </w:p>
    <w:p>
      <w:pPr>
        <w:pStyle w:val="Compact"/>
        <w:numPr>
          <w:ilvl w:val="0"/>
          <w:numId w:val="1029"/>
        </w:numPr>
      </w:pPr>
      <w:r>
        <w:rPr>
          <w:i/>
          <w:iCs/>
        </w:rPr>
        <w:t xml:space="preserve">Geopolitical context post-2022</w:t>
      </w:r>
      <w:r>
        <w:t xml:space="preserve"> </w:t>
      </w:r>
      <w:r>
        <w:t xml:space="preserve">(Russian invasion of Ukraine, Chinese geopolitical positioning, broader European strategic-autonomy conversations) accelerated EU industrial-policy investment in sovereign infrastructure including open-source software.</w:t>
      </w:r>
    </w:p>
    <w:p>
      <w:pPr>
        <w:pStyle w:val="Compact"/>
        <w:numPr>
          <w:ilvl w:val="0"/>
          <w:numId w:val="1029"/>
        </w:numPr>
      </w:pPr>
      <w:r>
        <w:rPr>
          <w:i/>
          <w:iCs/>
        </w:rPr>
        <w:t xml:space="preserve">EU Sovereign Tech Fund (2022) and Sovereign Tech Agency (2023)</w:t>
      </w:r>
      <w:r>
        <w:t xml:space="preserve"> </w:t>
      </w:r>
      <w:r>
        <w:t xml:space="preserve">are responses to these broader pressures, not direct continuations of the Munich-Barcelona trajectory.</w:t>
      </w:r>
    </w:p>
    <w:p>
      <w:pPr>
        <w:pStyle w:val="Compact"/>
        <w:numPr>
          <w:ilvl w:val="0"/>
          <w:numId w:val="1029"/>
        </w:numPr>
      </w:pPr>
      <w:r>
        <w:rPr>
          <w:i/>
          <w:iCs/>
        </w:rPr>
        <w:t xml:space="preserve">Specific operational successes</w:t>
      </w:r>
      <w:r>
        <w:t xml:space="preserve"> </w:t>
      </w:r>
      <w:r>
        <w:t xml:space="preserve">(French Gendarmerie’s Linux deployment to over 80,000 workstations since the mid-2000s, Italian Ministry of Defense’s LibreOffice deployment to over 100,000 workstations since 2014) demonstrate that long-term public-sector open-source operation works in some institutional contexts.</w:t>
      </w:r>
    </w:p>
    <w:p>
      <w:pPr>
        <w:pStyle w:val="FirstParagraph"/>
      </w:pPr>
      <w:r>
        <w:t xml:space="preserve">The pattern is</w:t>
      </w:r>
      <w:r>
        <w:t xml:space="preserve"> </w:t>
      </w:r>
      <w:r>
        <w:rPr>
          <w:i/>
          <w:iCs/>
        </w:rPr>
        <w:t xml:space="preserve">not</w:t>
      </w:r>
      <w:r>
        <w:t xml:space="preserve"> </w:t>
      </w:r>
      <w:r>
        <w:t xml:space="preserve">a tight maturation curve where Munich → Barcelona → EU-wide adoption forms a causal chain. It is</w:t>
      </w:r>
      <w:r>
        <w:t xml:space="preserve"> </w:t>
      </w:r>
      <w:r>
        <w:rPr>
          <w:i/>
          <w:iCs/>
        </w:rPr>
        <w:t xml:space="preserve">broader contextual pressure for sovereignty in public-sector technology</w:t>
      </w:r>
      <w:r>
        <w:t xml:space="preserve"> </w:t>
      </w:r>
      <w:r>
        <w:t xml:space="preserve">combined with</w:t>
      </w:r>
      <w:r>
        <w:t xml:space="preserve"> </w:t>
      </w:r>
      <w:r>
        <w:rPr>
          <w:i/>
          <w:iCs/>
        </w:rPr>
        <w:t xml:space="preserve">specific operational examples that demonstrate feasibility in the right institutional context</w:t>
      </w:r>
      <w:r>
        <w:t xml:space="preserve">. Munich was a visible early failure that contributed to the conversation; Barcelona was an early attempt to do better that produced partial success; the broader EU adoption is driven by external pressures that interact with but are not caused by the Munich-Barcelona examples specifically.</w:t>
      </w:r>
    </w:p>
    <w:bookmarkEnd w:id="41"/>
    <w:bookmarkStart w:id="42" w:name="application-to-the-12-hz-transition"/>
    <w:p>
      <w:pPr>
        <w:pStyle w:val="Heading3"/>
      </w:pPr>
      <w:r>
        <w:t xml:space="preserve">Application to the 12 Hz transition</w:t>
      </w:r>
    </w:p>
    <w:p>
      <w:pPr>
        <w:pStyle w:val="FirstParagraph"/>
      </w:pPr>
      <w:r>
        <w:t xml:space="preserve">The civilian 12 Hz transition does not have a clean precedent it is following. The Munich/Barcelona experience offers cautionary lessons rather than a confident template. The applicable lessons:</w:t>
      </w:r>
    </w:p>
    <w:p>
      <w:pPr>
        <w:numPr>
          <w:ilvl w:val="0"/>
          <w:numId w:val="1030"/>
        </w:numPr>
      </w:pPr>
      <w:r>
        <w:rPr>
          <w:i/>
          <w:iCs/>
        </w:rPr>
        <w:t xml:space="preserve">Choose first-mover jurisdictions for institutional resilience, not just technical fit</w:t>
      </w:r>
      <w:r>
        <w:t xml:space="preserve">. Quebec, Iceland, Tasmania, and similar candidates have institutional structures (vertically integrated utility, long-term industrial-policy commitment, sovereignty-aware political culture) that resist Munich-class reversal more effectively than would jurisdictions with fragmented utility/regulator/political structures. This is the most important architectural lesson.</w:t>
      </w:r>
    </w:p>
    <w:p>
      <w:pPr>
        <w:numPr>
          <w:ilvl w:val="0"/>
          <w:numId w:val="1030"/>
        </w:numPr>
      </w:pPr>
      <w:r>
        <w:rPr>
          <w:i/>
          <w:iCs/>
        </w:rPr>
        <w:t xml:space="preserve">Apply temporal phasing for disruption minimization</w:t>
      </w:r>
      <w:r>
        <w:t xml:space="preserve">. Customer-side end-use device transition before grid-side frequency conversion. The intermediate state is stable; partial completion produces meaningful lasting benefit (improved energy efficiency from frequency-tolerant equipment, better integration with renewable generation, reduced motor wear from VFD-based drive trains). If the transition stalls before grid-side conversion, the customer-side benefits remain, which means the early phases produce value even if the later phases don’t happen.</w:t>
      </w:r>
    </w:p>
    <w:p>
      <w:pPr>
        <w:numPr>
          <w:ilvl w:val="0"/>
          <w:numId w:val="1030"/>
        </w:numPr>
      </w:pPr>
      <w:r>
        <w:rPr>
          <w:i/>
          <w:iCs/>
        </w:rPr>
        <w:t xml:space="preserve">Build in-house manufacturing and engineering capacity</w:t>
      </w:r>
      <w:r>
        <w:t xml:space="preserve">. The Barcelona-equivalent for the 12 Hz transition is domestic manufacturing capacity for transformers, vacuum interrupters, vacuum dehydration rigs, ester refining, and rotary converters. The capacity creates a constituency dependent on the transition’s success and provides industrial-policy benefits that survive any single political coalition. This is the lesson with the strongest cross-program support — it worked for Barcelona, it works for defense procurement programs that maintain political support over decades, and it would work for the 12 Hz transition.</w:t>
      </w:r>
    </w:p>
    <w:p>
      <w:pPr>
        <w:numPr>
          <w:ilvl w:val="0"/>
          <w:numId w:val="1030"/>
        </w:numPr>
      </w:pPr>
      <w:r>
        <w:rPr>
          <w:i/>
          <w:iCs/>
        </w:rPr>
        <w:t xml:space="preserve">Frame as sovereignty, not just cost</w:t>
      </w:r>
      <w:r>
        <w:t xml:space="preserve">. The 12 Hz architecture’s supply-chain sovereignty arguments (no SF6, no synthetic ester dependency, no specialized core steel, domestic agricultural feedstock for ester) are politically more durable than cost arguments because they appeal across political axes. Sovereignty framing also aligns with the broader contextual pressures (energy security, supply-chain resilience, industrial-policy autonomy) that EU and allied policy is responding to.</w:t>
      </w:r>
    </w:p>
    <w:p>
      <w:pPr>
        <w:numPr>
          <w:ilvl w:val="0"/>
          <w:numId w:val="1030"/>
        </w:numPr>
      </w:pPr>
      <w:r>
        <w:rPr>
          <w:i/>
          <w:iCs/>
        </w:rPr>
        <w:t xml:space="preserve">Plan for partial completion as a stable state</w:t>
      </w:r>
      <w:r>
        <w:t xml:space="preserve">. If the transition stalls before full grid-side conversion, the customer-side transitional state (frequency-tolerant end-use devices) is operationally stable. This is a meaningful protection against Munich-class reversal because the political cost of reversing a partially-completed transition is asymmetric: customers who have invested in frequency-tolerant equipment have no incentive to revert; manufacturing capacity that has been built does not want to be decommissioned; defense installations that have been converted do not want to be unconverted. The architectural strategy should produce meaningful intermediate-state benefits in early phases, raising the political threshold for reversal as the transition progresses.</w:t>
      </w:r>
    </w:p>
    <w:p>
      <w:pPr>
        <w:numPr>
          <w:ilvl w:val="0"/>
          <w:numId w:val="1030"/>
        </w:numPr>
      </w:pPr>
      <w:r>
        <w:rPr>
          <w:i/>
          <w:iCs/>
        </w:rPr>
        <w:t xml:space="preserve">Invest in ongoing technical maintenance, not just initial deployment</w:t>
      </w:r>
      <w:r>
        <w:t xml:space="preserve">. Munich’s lasting lesson is that technical underinvestment over multi-decade program horizons creates the vulnerabilities that political reversal exploits. The 12 Hz transition’s ongoing engineering, equipment refresh, manufacturing-base maintenance, and integration with evolving external standards must be funded throughout the program lifetime, not just at initiation.</w:t>
      </w:r>
    </w:p>
    <w:p>
      <w:pPr>
        <w:numPr>
          <w:ilvl w:val="0"/>
          <w:numId w:val="1030"/>
        </w:numPr>
      </w:pPr>
      <w:r>
        <w:rPr>
          <w:i/>
          <w:iCs/>
        </w:rPr>
        <w:t xml:space="preserve">Communicate program benefits continuously and candidly</w:t>
      </w:r>
      <w:r>
        <w:t xml:space="preserve">. Munich’s underinvestment in communication contributed to the reversal. The 12 Hz transition needs visible communication of its benefits — supply-chain sovereignty, hostile-action survivability, lower acoustic emissions, industrial-policy investment — at every phase. Plain acknowledgment of the program’s costs, risks, and partial-completion possibilities is more durable than aspirational framing that fails to deliver.</w:t>
      </w:r>
    </w:p>
    <w:p>
      <w:pPr>
        <w:pStyle w:val="FirstParagraph"/>
      </w:pPr>
      <w:r>
        <w:t xml:space="preserve">The civilian deployment will face challenges Munich faced. The architectural and institutional design choices outlined above address the</w:t>
      </w:r>
      <w:r>
        <w:t xml:space="preserve"> </w:t>
      </w:r>
      <w:r>
        <w:rPr>
          <w:i/>
          <w:iCs/>
        </w:rPr>
        <w:t xml:space="preserve">known</w:t>
      </w:r>
      <w:r>
        <w:t xml:space="preserve"> </w:t>
      </w:r>
      <w:r>
        <w:t xml:space="preserve">failure modes; new failure modes may emerge that the design does not anticipate. The realistic framing is that the architectural strategy improves the probability of successful transition without guaranteeing it. The dual-path strategy (military-civilian, Section 7 synergies) provides additional structural protection by ensuring that civilian transition failure does not fail the entire architectural transition — the military path can sustain manufacturing capacity and regulatory legitimacy through civilian-side stalls, providing the foundation from which civilian transition can be re-attempted in a future political cycle.</w:t>
      </w:r>
    </w:p>
    <w:p>
      <w:r>
        <w:pict>
          <v:rect style="width:0;height:1.5pt" o:hralign="center" o:hrstd="t" o:hr="t"/>
        </w:pict>
      </w:r>
    </w:p>
    <w:bookmarkEnd w:id="42"/>
    <w:bookmarkEnd w:id="43"/>
    <w:bookmarkEnd w:id="44"/>
    <w:bookmarkStart w:id="53" w:name="part-iii-synergies"/>
    <w:p>
      <w:pPr>
        <w:pStyle w:val="Heading1"/>
      </w:pPr>
      <w:r>
        <w:t xml:space="preserve">PART III — SYNERGIES</w:t>
      </w:r>
    </w:p>
    <w:bookmarkStart w:id="52" w:name="X569e536fd05e2a993ff76d29a0f3dd8c5cd3b2f"/>
    <w:p>
      <w:pPr>
        <w:pStyle w:val="Heading2"/>
      </w:pPr>
      <w:r>
        <w:t xml:space="preserve">Section 7 — Why the two paths reinforce each other</w:t>
      </w:r>
    </w:p>
    <w:p>
      <w:pPr>
        <w:pStyle w:val="FirstParagraph"/>
      </w:pPr>
      <w:r>
        <w:t xml:space="preserve">The military and civilian deployment paths are not redundant. They cover different operating envelopes, serve different procurement constituencies, face different timelines, and produce different artifacts. Run sequentially, either path could fail; run in parallel, each path’s outputs become the other path’s inputs at every phase, and the combined transition succeeds because the synergies are decisive rather than incidental.</w:t>
      </w:r>
    </w:p>
    <w:p>
      <w:pPr>
        <w:pStyle w:val="BodyText"/>
      </w:pPr>
      <w:r>
        <w:t xml:space="preserve">This section enumerates the synergies and shows how the two paths interlock.</w:t>
      </w:r>
    </w:p>
    <w:bookmarkStart w:id="45" w:name="manufacturing-base"/>
    <w:p>
      <w:pPr>
        <w:pStyle w:val="Heading3"/>
      </w:pPr>
      <w:r>
        <w:t xml:space="preserve">Manufacturing base</w:t>
      </w:r>
    </w:p>
    <w:p>
      <w:pPr>
        <w:pStyle w:val="FirstParagraph"/>
      </w:pPr>
      <w:r>
        <w:t xml:space="preserve">Military Phase 1 deployment qualifies a small number of manufacturers for production of architecture-conforming transformers, vacuum interrupters, rotary converters, protection relays, vacuum dehydration rigs, and ester dielectric. The Phase 1 production volume is small (a few units per manufacturer per year) but it establishes the industrial capacity, the supplier qualifications, the workforce training, and the production processes.</w:t>
      </w:r>
    </w:p>
    <w:p>
      <w:pPr>
        <w:pStyle w:val="BodyText"/>
      </w:pPr>
      <w:r>
        <w:t xml:space="preserve">Civilian first-mover deployment in Quebec or analog jurisdiction needs the same equipment at much higher volume. A Quebec full-conversion deployment over 30 years might require thousands of transmission-class transformers, tens of thousands of distribution transformers, comparable numbers of switchgear sets, and matching volumes of supporting equipment. The civilian volume is what makes the manufacturing base economically sustainable in the long term — military procurement alone could not support the manufacturing base at production-economy scale.</w:t>
      </w:r>
    </w:p>
    <w:p>
      <w:pPr>
        <w:pStyle w:val="BodyText"/>
      </w:pPr>
      <w:r>
        <w:t xml:space="preserve">The synergy is asymmetric in time. Military Phase 1 (years 1–6) establishes the manufacturing base and validates the equipment specifications. Military Phase 2 (years 6–15) ramps military production volume modestly (tens of units per year) and accumulates fleet operating data. Civilian first-mover deployment (years 5–25) ramps civilian production volume from low to high, providing the volume that justifies long-term manufacturing capital investment. Military Phase 3 (years 15–25) and continued military procurement runs in parallel with civilian deployment at lower volume, ensuring the manufacturing base continues to serve defense needs even as civilian volume dominates.</w:t>
      </w:r>
    </w:p>
    <w:p>
      <w:pPr>
        <w:pStyle w:val="BodyText"/>
      </w:pPr>
      <w:r>
        <w:t xml:space="preserve">Without the military Phase 1, the civilian first-mover faces a manufacturing-supply problem: no qualified manufacturers, no proven equipment, no fleet data on which to base utility commitment. The civilian deployment risk profile is much worse.</w:t>
      </w:r>
    </w:p>
    <w:p>
      <w:pPr>
        <w:pStyle w:val="BodyText"/>
      </w:pPr>
      <w:r>
        <w:t xml:space="preserve">Without the civilian deployment, the military manufacturing base has no path to economic sustainability. Defense procurement can fund Phase 1 establishment and modest Phase 2 production, but cannot indefinitely sustain a manufacturing base producing only at defense volumes. Either the military procurement scales up (unlikely without a strategic emergency) or civilian deployment provides the volume.</w:t>
      </w:r>
    </w:p>
    <w:bookmarkEnd w:id="45"/>
    <w:bookmarkStart w:id="46" w:name="operating-data-and-regulatory-legitimacy"/>
    <w:p>
      <w:pPr>
        <w:pStyle w:val="Heading3"/>
      </w:pPr>
      <w:r>
        <w:t xml:space="preserve">Operating data and regulatory legitimacy</w:t>
      </w:r>
    </w:p>
    <w:p>
      <w:pPr>
        <w:pStyle w:val="FirstParagraph"/>
      </w:pPr>
      <w:r>
        <w:t xml:space="preserve">Military Phase 1 produces operating data: thermal performance under load, reliability statistics, fault rates, maintenance interval requirements, paper insulation aging rates, hostile-action survivability validation, cold-climate stack performance. This data is initially proprietary to the defense organization but progressively releases to civilian regulators, manufacturers, and prospective utility deployers as the architecture proves itself.</w:t>
      </w:r>
    </w:p>
    <w:p>
      <w:pPr>
        <w:pStyle w:val="BodyText"/>
      </w:pPr>
      <w:r>
        <w:t xml:space="preserve">Civilian regulatory bodies require operating data before approving rate-base investment in new equipment classes. A public utility commission considering Hydro-Québec’s request to convert to 12 Hz needs to see fleet data on the architecture’s performance — not aspirational specifications, but actual operating statistics from real-world deployments. Without this data, the commission has no basis for approving rate-base treatment of the conversion equipment.</w:t>
      </w:r>
    </w:p>
    <w:p>
      <w:pPr>
        <w:pStyle w:val="BodyText"/>
      </w:pPr>
      <w:r>
        <w:t xml:space="preserve">The military Phase 1 data is exactly what the civilian regulator needs. It represents validated operating data from a deployment that is at lower regulatory burden (defense, not civilian), at smaller scale (single installation), and at higher risk tolerance (defense pilot, not civilian rate-base). The civilian regulator can approve civilian deployment with much higher confidence after seeing 5–10 years of military fleet data than would be possible without.</w:t>
      </w:r>
    </w:p>
    <w:p>
      <w:pPr>
        <w:pStyle w:val="BodyText"/>
      </w:pPr>
      <w:r>
        <w:t xml:space="preserve">This synergy is the regulatory-legitimacy contribution that the military path makes to the civilian path. Without it, the civilian first-mover regulatory approval is much harder; with it, the approval is straightforward.</w:t>
      </w:r>
    </w:p>
    <w:bookmarkEnd w:id="46"/>
    <w:bookmarkStart w:id="47" w:name="workforce-and-training"/>
    <w:p>
      <w:pPr>
        <w:pStyle w:val="Heading3"/>
      </w:pPr>
      <w:r>
        <w:t xml:space="preserve">Workforce and training</w:t>
      </w:r>
    </w:p>
    <w:p>
      <w:pPr>
        <w:pStyle w:val="FirstParagraph"/>
      </w:pPr>
      <w:r>
        <w:t xml:space="preserve">Military Phase 1 trains an initial cadre of engineers, technicians, and operations personnel — defense engineers, manufacturer engineers, and a small number of civilian engineers admitted to the pilot under appropriate liaison arrangements. The trained workforce is necessary for Phase 2 fleet rollout in defense and for civilian first-mover deployment.</w:t>
      </w:r>
    </w:p>
    <w:p>
      <w:pPr>
        <w:pStyle w:val="BodyText"/>
      </w:pPr>
      <w:r>
        <w:t xml:space="preserve">The civilian first-mover absorbs trained engineers and technicians as the deployment ramps. Some come from the defense pilot (cross-training arrangements, workforce mobility); some come from manufacturers (engineering and field-service personnel that worked on Phase 1 equipment); some come from utility-side training programs that build on the defense pilot’s training curriculum. The civilian deployment then trains its own large workforce as it scales — the workforce needed for full Quebec conversion is in the thousands of engineers and technicians, far beyond what military Phase 1 alone could produce — but the initial training cadre comes from the military pilot.</w:t>
      </w:r>
    </w:p>
    <w:p>
      <w:pPr>
        <w:pStyle w:val="BodyText"/>
      </w:pPr>
      <w:r>
        <w:t xml:space="preserve">The same synergy applies to academic training. Universities and technical colleges develop curriculum for 12 Hz / 12.5 Hz electrical engineering once the architecture is in deployment. The early curriculum is shaped by the military pilot’s experience; the curriculum then serves the much larger civilian workforce needs. Without the military pilot, the curriculum has no real-world reference point and academic adoption lags.</w:t>
      </w:r>
    </w:p>
    <w:bookmarkEnd w:id="47"/>
    <w:bookmarkStart w:id="48" w:name="X0602f17a1b9ef6e4fb522c33b536bbb97113cf3"/>
    <w:p>
      <w:pPr>
        <w:pStyle w:val="Heading3"/>
      </w:pPr>
      <w:r>
        <w:t xml:space="preserve">Standards-setting and the IEEE/IEC pathway</w:t>
      </w:r>
    </w:p>
    <w:p>
      <w:pPr>
        <w:pStyle w:val="FirstParagraph"/>
      </w:pPr>
      <w:r>
        <w:t xml:space="preserve">The military deployment generates technical specifications and operating data that become input to the civilian standards-setting process. IEEE C57 (transformer standards), IEC 60076 (international transformer standards), IEEE C37 (switchgear standards), IEC 60099 (surge arresters), and the broader power-system standards framework all incorporate input from manufacturers, operators, and engineering organizations across the deployment ecosystem.</w:t>
      </w:r>
    </w:p>
    <w:p>
      <w:pPr>
        <w:pStyle w:val="BodyText"/>
      </w:pPr>
      <w:r>
        <w:t xml:space="preserve">The military pilot accelerates standards-setting by providing the input data that the standards committees need. Pre-pilot, the standards would be theoretical (specifications without deployment data); post-pilot, the standards are grounded in real operating experience. The civilian regulators rely on these standards for their approval processes. The military pilot accelerates civilian regulatory approval by accelerating standards-setting.</w:t>
      </w:r>
    </w:p>
    <w:p>
      <w:pPr>
        <w:pStyle w:val="BodyText"/>
      </w:pPr>
      <w:r>
        <w:t xml:space="preserve">This synergy is on a longer timescale than the operating-data synergy. Standards revision cycles are 5–10 years; the architectural input begins arriving at standards committees during military Phase 1 (years 3–6) and progressively works through the standards revision process during military Phase 2 and civilian first-mover deployment (years 6–25).</w:t>
      </w:r>
    </w:p>
    <w:bookmarkEnd w:id="48"/>
    <w:bookmarkStart w:id="49" w:name="allied-interoperability"/>
    <w:p>
      <w:pPr>
        <w:pStyle w:val="Heading3"/>
      </w:pPr>
      <w:r>
        <w:t xml:space="preserve">Allied interoperability</w:t>
      </w:r>
    </w:p>
    <w:p>
      <w:pPr>
        <w:pStyle w:val="FirstParagraph"/>
      </w:pPr>
      <w:r>
        <w:t xml:space="preserve">The transformer architecture paper Section 13 raised the STANAG question for allied military interoperability. A military Phase 1 deployment with Five Eyes coordination begins to address the STANAG question through actual deployment experience rather than theoretical specification work. NATO and Five Eyes military interoperability for electrical infrastructure is currently informal (no STANAG covers transformer dielectric or grid frequency); a coordinated multi-allied Phase 1 program produces the operational experience needed to formalize the interoperability framework.</w:t>
      </w:r>
    </w:p>
    <w:p>
      <w:pPr>
        <w:pStyle w:val="BodyText"/>
      </w:pPr>
      <w:r>
        <w:t xml:space="preserve">Civilian deployment in jurisdictions whose national grids are connected through international trading arrangements (US–Canada power exports, ENTSO-E in Europe, GCC interconnections in the Gulf) needs analogous interoperability. The civilian interoperability framework develops more easily once the military framework has been worked out. The synergy is from military to civilian, with the military deployment providing the operational template that civilian standards and trade agreements eventually adapt.</w:t>
      </w:r>
    </w:p>
    <w:bookmarkEnd w:id="49"/>
    <w:bookmarkStart w:id="50" w:name="industrial-policy-reinforcement"/>
    <w:p>
      <w:pPr>
        <w:pStyle w:val="Heading3"/>
      </w:pPr>
      <w:r>
        <w:t xml:space="preserve">Industrial-policy reinforcement</w:t>
      </w:r>
    </w:p>
    <w:p>
      <w:pPr>
        <w:pStyle w:val="FirstParagraph"/>
      </w:pPr>
      <w:r>
        <w:t xml:space="preserve">Both paths advance the industrial-policy argument that motivated the architecture in the first place: rebuilding domestic manufacturing capacity in advanced economies that have offshored their heavy-industrial base.</w:t>
      </w:r>
    </w:p>
    <w:p>
      <w:pPr>
        <w:pStyle w:val="BodyText"/>
      </w:pPr>
      <w:r>
        <w:t xml:space="preserve">Military procurement provides industrial-policy cover that civilian rate-setting does not. A defense ministry committing to domestic manufacturing of transformers, vacuum equipment, and ester dielectric for strategic-resilience reasons is making an industrial-policy statement that political coalitions across party lines tend to support. The military procurement decision creates manufacturing capacity that is then available to civilian deployment.</w:t>
      </w:r>
    </w:p>
    <w:p>
      <w:pPr>
        <w:pStyle w:val="BodyText"/>
      </w:pPr>
      <w:r>
        <w:t xml:space="preserve">Civilian deployment scales up the manufacturing capacity to economically sustainable volume. The civilian deployment also extends the manufacturing benefits beyond defense applications — the same factories serving military and civilian needs together produce industrial-policy benefits (employment, supply-chain depth, exports) that neither path alone could produce.</w:t>
      </w:r>
    </w:p>
    <w:p>
      <w:pPr>
        <w:pStyle w:val="BodyText"/>
      </w:pPr>
      <w:r>
        <w:t xml:space="preserve">The Canadian-policy framing is the cleanest case. Canada has limited domestic transformer manufacturing capacity, no domestic vacuum-equipment manufacture, declining heavy-industrial capability across multiple sectors, and explicit federal commitment to rebuild domestic industrial capacity under recent defense-policy and industrial-policy reviews. The 12 Hz architecture transition through coordinated military-and-civilian deployment is one of the better available vehicles for executing on those commitments. The Quebec-first civilian deployment combined with CFB Trenton or analog military pilot produces a coordinated industrial-policy investment that supports both Canadian Forces hardened-infrastructure capability and Quebec’s hydroelectric industrial-policy mandate.</w:t>
      </w:r>
    </w:p>
    <w:p>
      <w:pPr>
        <w:pStyle w:val="BodyText"/>
      </w:pPr>
      <w:r>
        <w:t xml:space="preserve">The same logic applies to other allied jurisdictions: Australia (where industrial-base rebuild is a defense-policy and energy-policy concern), the UK (where Edwards’ high-end vacuum business is one of the last remaining domestic vacuum-equipment manufacturers), Norway (where defense and energy policy align around Arctic operations and renewables integration), and others. Each jurisdiction has its own version of the dual-use industrial-policy synergy.</w:t>
      </w:r>
    </w:p>
    <w:p>
      <w:pPr>
        <w:pStyle w:val="BodyText"/>
      </w:pPr>
      <w:r>
        <w:rPr>
          <w:b/>
          <w:bCs/>
        </w:rPr>
        <w:t xml:space="preserve">Allied industrial policy is competitive, not coordinated.</w:t>
      </w:r>
      <w:r>
        <w:t xml:space="preserve"> </w:t>
      </w:r>
      <w:r>
        <w:t xml:space="preserve">The architectural strategy assumes that allied jurisdictions will pursue compatible manufacturing-base investments through their own industrial-policy processes, but this is not the historical pattern of allied industrial policy. The CHIPS Act in the US, the European Chips Act in the EU, similar legislation in Canada, Japan, South Korea, and other allies are competitive programs targeting overlapping capacity rather than coordinated programs distributing capacity to avoid redundancy. The result has been overcapacity in some segments (some semiconductor categories) and undercapacity in others, with each ally pursuing its own industrial-policy goals with limited coordination of resulting capacity-building.</w:t>
      </w:r>
    </w:p>
    <w:p>
      <w:pPr>
        <w:pStyle w:val="BodyText"/>
      </w:pPr>
      <w:r>
        <w:t xml:space="preserve">The 12 Hz architecture’s allied manufacturing base would face the same dynamics. Coordination through Conference of Defence Associations, NATO Industrial Advisory Group, and Five Eyes electrical-infrastructure channels can mitigate but not eliminate the competitive dynamics. The likely outcome is</w:t>
      </w:r>
      <w:r>
        <w:t xml:space="preserve"> </w:t>
      </w:r>
      <w:r>
        <w:rPr>
          <w:i/>
          <w:iCs/>
        </w:rPr>
        <w:t xml:space="preserve">partial redundancy</w:t>
      </w:r>
      <w:r>
        <w:t xml:space="preserve"> </w:t>
      </w:r>
      <w:r>
        <w:t xml:space="preserve">in allied manufacturing capacity (multiple allies producing similar transformer specifications, vacuum equipment, ester dielectric) with some efficiency loss compared to a cleanly-coordinated buildout. This is acceptable for the architecture’s strategic-resilience purposes (multiple allied sources is itself a resilience property) but should not be presented as if coordination will produce optimal allocation.</w:t>
      </w:r>
    </w:p>
    <w:p>
      <w:pPr>
        <w:pStyle w:val="BodyText"/>
      </w:pPr>
      <w:r>
        <w:t xml:space="preserve">The realistic expectation: allied industrial-policy investments will</w:t>
      </w:r>
      <w:r>
        <w:t xml:space="preserve"> </w:t>
      </w:r>
      <w:r>
        <w:rPr>
          <w:i/>
          <w:iCs/>
        </w:rPr>
        <w:t xml:space="preserve">each</w:t>
      </w:r>
      <w:r>
        <w:t xml:space="preserve"> </w:t>
      </w:r>
      <w:r>
        <w:t xml:space="preserve">support the architecture, the manufacturing-base argument</w:t>
      </w:r>
      <w:r>
        <w:t xml:space="preserve"> </w:t>
      </w:r>
      <w:r>
        <w:rPr>
          <w:i/>
          <w:iCs/>
        </w:rPr>
        <w:t xml:space="preserve">will</w:t>
      </w:r>
      <w:r>
        <w:t xml:space="preserve"> </w:t>
      </w:r>
      <w:r>
        <w:t xml:space="preserve">hold across allied jurisdictions, but the resulting capacity will be partially redundant rather than cleanly distributed. This is fine — partial redundancy in critical infrastructure manufacturing is a feature, not a bug, from a strategic-resilience perspective. It is more expensive than perfect coordination would be, but perfect coordination is not realistically available.</w:t>
      </w:r>
    </w:p>
    <w:bookmarkEnd w:id="50"/>
    <w:bookmarkStart w:id="51" w:name="Xc2aaace9af9ddc688ab90ef3d69537aaf3b677e"/>
    <w:p>
      <w:pPr>
        <w:pStyle w:val="Heading3"/>
      </w:pPr>
      <w:r>
        <w:t xml:space="preserve">Political continuity (the cross-path manifestation of the Section 1 institutional argument)</w:t>
      </w:r>
    </w:p>
    <w:p>
      <w:pPr>
        <w:pStyle w:val="FirstParagraph"/>
      </w:pPr>
      <w:r>
        <w:t xml:space="preserve">This synergy is the cross-path manifestation of the institutional-continuity argument established in Section 1, rather than a fully separate dimension of synergy. Section 1 argued that defense procurement provides political-continuity</w:t>
      </w:r>
      <w:r>
        <w:t xml:space="preserve"> </w:t>
      </w:r>
      <w:r>
        <w:rPr>
          <w:i/>
          <w:iCs/>
        </w:rPr>
        <w:t xml:space="preserve">redundancy</w:t>
      </w:r>
      <w:r>
        <w:t xml:space="preserve"> </w:t>
      </w:r>
      <w:r>
        <w:t xml:space="preserve">relative to civilian rate-setting; this section argues that the dual-path structure provides additional political-continuity redundancy by ensuring that failure modes in one path do not necessarily fail the other path. The arguments compound but they are the same fundamental claim about institutional design.</w:t>
      </w:r>
    </w:p>
    <w:p>
      <w:pPr>
        <w:pStyle w:val="BodyText"/>
      </w:pPr>
      <w:r>
        <w:t xml:space="preserve">The Munich/LiMux failure mode is reversal of a successful technical program when the supporting political coalition fragments. The military-civilian dual-path structure makes this failure mode harder to execute, though not impossible.</w:t>
      </w:r>
    </w:p>
    <w:p>
      <w:pPr>
        <w:pStyle w:val="BodyText"/>
      </w:pPr>
      <w:r>
        <w:t xml:space="preserve">Reversing a military deployment requires withdrawing defense appropriations from infrastructure modernization (politically costly), declaring a qualified architecture deficient (hard if it works), and decommissioning manufacturing capacity (politically costly). The military path has its own political risks (Nunn-McCurdy breaches, sustainment-vs-replacement debates, allied-partner withdrawal as discussed in Section 1) but is partially insulated from the civilian rate-setting and customer-acceptance dynamics that killed Munich.</w:t>
      </w:r>
    </w:p>
    <w:p>
      <w:pPr>
        <w:pStyle w:val="BodyText"/>
      </w:pPr>
      <w:r>
        <w:t xml:space="preserve">Reversing a civilian deployment requires undoing rate-base treatment of conversion equipment (politically costly, legally complex), withdrawing public utility commission approval (slow regulatory process), and reverting end-use customer transitions (operationally expensive). The civilian path has its own political risks but is partially insulated from the defense-procurement dynamics that govern military deployments.</w:t>
      </w:r>
    </w:p>
    <w:p>
      <w:pPr>
        <w:pStyle w:val="BodyText"/>
      </w:pPr>
      <w:r>
        <w:t xml:space="preserve">To reverse the</w:t>
      </w:r>
      <w:r>
        <w:t xml:space="preserve"> </w:t>
      </w:r>
      <w:r>
        <w:rPr>
          <w:i/>
          <w:iCs/>
        </w:rPr>
        <w:t xml:space="preserve">combined</w:t>
      </w:r>
      <w:r>
        <w:t xml:space="preserve"> </w:t>
      </w:r>
      <w:r>
        <w:t xml:space="preserve">deployment requires both reversals to happen, in coordination, with the political costs of each reversal compounding. The combined political cost is higher than either reversal alone, which means the combined deployment is harder to reverse than either path alone would be. The two paths together create a political structure that resists Munich-class reversal more effectively than either path could achieve in isolation.</w:t>
      </w:r>
    </w:p>
    <w:p>
      <w:pPr>
        <w:pStyle w:val="BodyText"/>
      </w:pPr>
      <w:r>
        <w:t xml:space="preserve">This is the deepest synergy and the one that justifies the dual-path strategy on institutional-continuity grounds rather than on technical or economic grounds. The transition has a better chance of succeeding because the institutional structure designed to sustain it has redundancy in the political-continuity dimension, not just in the technical-capacity dimension. The other six synergies (manufacturing base, operating data, workforce, standards-setting, allied interoperability, industrial-policy reinforcement) are genuinely additive contributions on top of this institutional-continuity baseline; political-continuity is the foundational synergy that the others build on.</w:t>
      </w:r>
    </w:p>
    <w:p>
      <w:r>
        <w:pict>
          <v:rect style="width:0;height:1.5pt" o:hralign="center" o:hrstd="t" o:hr="t"/>
        </w:pict>
      </w:r>
    </w:p>
    <w:bookmarkEnd w:id="51"/>
    <w:bookmarkEnd w:id="52"/>
    <w:bookmarkEnd w:id="53"/>
    <w:bookmarkStart w:id="62" w:name="part-iv-summary-and-conclusion"/>
    <w:p>
      <w:pPr>
        <w:pStyle w:val="Heading1"/>
      </w:pPr>
      <w:r>
        <w:t xml:space="preserve">PART IV — SUMMARY AND CONCLUSION</w:t>
      </w:r>
    </w:p>
    <w:bookmarkStart w:id="59" w:name="section-8-summary"/>
    <w:p>
      <w:pPr>
        <w:pStyle w:val="Heading2"/>
      </w:pPr>
      <w:r>
        <w:t xml:space="preserve">Section 8 — Summary</w:t>
      </w:r>
    </w:p>
    <w:p>
      <w:pPr>
        <w:pStyle w:val="FirstParagraph"/>
      </w:pPr>
      <w:r>
        <w:t xml:space="preserve">The transition from existing 50/60 Hz infrastructure to the 12 Hz / 12.5 Hz architecture in functioning advanced economies requires a structural strategy that the parent architectural papers do not address. This paper argues that the right strategy is parallel deployment along two paths — military and civilian — that interlock at every phase.</w:t>
      </w:r>
    </w:p>
    <w:bookmarkStart w:id="54" w:name="the-military-path"/>
    <w:p>
      <w:pPr>
        <w:pStyle w:val="Heading3"/>
      </w:pPr>
      <w:r>
        <w:t xml:space="preserve">The military path</w:t>
      </w:r>
    </w:p>
    <w:p>
      <w:pPr>
        <w:pStyle w:val="FirstParagraph"/>
      </w:pPr>
      <w:r>
        <w:t xml:space="preserve">A defense organization commits to a Phase 1 pilot at a strategically-selected installation (CFB Trenton or analog for Canada; Fort Greely, Bangor, or Diego Garcia for the US; equivalents in European defense organizations). The pilot deploys 2–4 transmission-class transformers and supporting infrastructure under full architectural specification, qualifying domestic manufacturers, accumulating operating data, validating strategic-resilience claims, and training the initial workforce. Phase 1 program timeline approximately 6 years (3–5 years of operations from commissioning), cost envelope $40M–$140M, fits standard defense major-capital procurement. Phase 2 (years 6–15) extends the deployment across the broader defense fleet at modest annual volume, with continued operating-data accumulation and refinement of equipment specifications. Phase 3 (years 15+) continues military procurement at maintenance volumes alongside the civilian deployment ramp.</w:t>
      </w:r>
    </w:p>
    <w:p>
      <w:pPr>
        <w:pStyle w:val="BodyText"/>
      </w:pPr>
      <w:r>
        <w:t xml:space="preserve">The military path provides: institutional continuity that survives political-coalition turnover, manufacturing-base establishment, operating-data accumulation, regulatory-legitimacy input, allied-interoperability operational template, workforce training, and industrial-policy investment under defense-procurement authority.</w:t>
      </w:r>
    </w:p>
    <w:bookmarkEnd w:id="54"/>
    <w:bookmarkStart w:id="55" w:name="the-civilian-path"/>
    <w:p>
      <w:pPr>
        <w:pStyle w:val="Heading3"/>
      </w:pPr>
      <w:r>
        <w:t xml:space="preserve">The civilian path</w:t>
      </w:r>
    </w:p>
    <w:p>
      <w:pPr>
        <w:pStyle w:val="FirstParagraph"/>
      </w:pPr>
      <w:r>
        <w:t xml:space="preserve">An electrically-isolated jurisdiction with strong utility institutions (Quebec is the strongest first-mover candidate; Iceland, Tasmania, Texas/ERCOT, Hawaii, and the Iberian peninsula are alternatives) commits to a multi-decade frequency-conversion program. The program is structured around the temporal-phasing principle: end-use device transition to frequency-tolerant equipment first (5–20 year program aligned with natural turnover), grid-side frequency conversion second (concentrated months-to-years phase after the application layer is ready). The transition draws on operating data from the military pilot, manufactured equipment from the established manufacturing base, trained workforce from the military and academic training programs, and standards-setting input that has accumulated through the military deployment’s first decade.</w:t>
      </w:r>
    </w:p>
    <w:p>
      <w:pPr>
        <w:pStyle w:val="BodyText"/>
      </w:pPr>
      <w:r>
        <w:t xml:space="preserve">The civilian path provides: production volume that justifies long-term manufacturing capital investment, regulatory legitimacy across multiple jurisdictions, workforce scale beyond defense sizes, industrial-policy benefits beyond defense applications, and the cascade effect through international standards bodies that propagates the architecture beyond the first-mover jurisdiction.</w:t>
      </w:r>
    </w:p>
    <w:p>
      <w:pPr>
        <w:pStyle w:val="BodyText"/>
      </w:pPr>
      <w:r>
        <w:t xml:space="preserve">The civilian path explicitly absorbs lessons from the Munich/LiMux failure mode and the Barcelona maturation: choose institutionally-resilient first-mover jurisdictions, apply temporal phasing, build in-house manufacturing and engineering capacity, frame as sovereignty rather than just cost, plan for partial completion as stable state, communicate program benefits continuously.</w:t>
      </w:r>
    </w:p>
    <w:bookmarkEnd w:id="55"/>
    <w:bookmarkStart w:id="56" w:name="the-synergies"/>
    <w:p>
      <w:pPr>
        <w:pStyle w:val="Heading3"/>
      </w:pPr>
      <w:r>
        <w:t xml:space="preserve">The synergies</w:t>
      </w:r>
    </w:p>
    <w:p>
      <w:pPr>
        <w:pStyle w:val="FirstParagraph"/>
      </w:pPr>
      <w:r>
        <w:t xml:space="preserve">The two paths reinforce each other on every dimension that matters:</w:t>
      </w:r>
    </w:p>
    <w:p>
      <w:pPr>
        <w:pStyle w:val="Compact"/>
        <w:numPr>
          <w:ilvl w:val="0"/>
          <w:numId w:val="1031"/>
        </w:numPr>
      </w:pPr>
      <w:r>
        <w:rPr>
          <w:i/>
          <w:iCs/>
        </w:rPr>
        <w:t xml:space="preserve">Manufacturing base</w:t>
      </w:r>
      <w:r>
        <w:t xml:space="preserve">: military Phase 1 establishes capacity, civilian deployment provides volume to sustain it.</w:t>
      </w:r>
    </w:p>
    <w:p>
      <w:pPr>
        <w:pStyle w:val="Compact"/>
        <w:numPr>
          <w:ilvl w:val="0"/>
          <w:numId w:val="1031"/>
        </w:numPr>
      </w:pPr>
      <w:r>
        <w:rPr>
          <w:i/>
          <w:iCs/>
        </w:rPr>
        <w:t xml:space="preserve">Operating data and regulatory legitimacy</w:t>
      </w:r>
      <w:r>
        <w:t xml:space="preserve">: military deployment generates the data civilian regulators need to approve civilian deployment.</w:t>
      </w:r>
    </w:p>
    <w:p>
      <w:pPr>
        <w:pStyle w:val="Compact"/>
        <w:numPr>
          <w:ilvl w:val="0"/>
          <w:numId w:val="1031"/>
        </w:numPr>
      </w:pPr>
      <w:r>
        <w:rPr>
          <w:i/>
          <w:iCs/>
        </w:rPr>
        <w:t xml:space="preserve">Workforce</w:t>
      </w:r>
      <w:r>
        <w:t xml:space="preserve">: military pilot trains initial cadre, civilian deployment scales the workforce to thousands of engineers and technicians.</w:t>
      </w:r>
    </w:p>
    <w:p>
      <w:pPr>
        <w:pStyle w:val="Compact"/>
        <w:numPr>
          <w:ilvl w:val="0"/>
          <w:numId w:val="1031"/>
        </w:numPr>
      </w:pPr>
      <w:r>
        <w:rPr>
          <w:i/>
          <w:iCs/>
        </w:rPr>
        <w:t xml:space="preserve">Standards-setting</w:t>
      </w:r>
      <w:r>
        <w:t xml:space="preserve">: military deployment provides input to IEEE/IEC standards committees; civilian deployment relies on the resulting standards.</w:t>
      </w:r>
    </w:p>
    <w:p>
      <w:pPr>
        <w:pStyle w:val="Compact"/>
        <w:numPr>
          <w:ilvl w:val="0"/>
          <w:numId w:val="1031"/>
        </w:numPr>
      </w:pPr>
      <w:r>
        <w:rPr>
          <w:i/>
          <w:iCs/>
        </w:rPr>
        <w:t xml:space="preserve">Allied interoperability</w:t>
      </w:r>
      <w:r>
        <w:t xml:space="preserve">: military Five Eyes coordination produces operational template that civilian international trade arrangements adapt.</w:t>
      </w:r>
    </w:p>
    <w:p>
      <w:pPr>
        <w:pStyle w:val="Compact"/>
        <w:numPr>
          <w:ilvl w:val="0"/>
          <w:numId w:val="1031"/>
        </w:numPr>
      </w:pPr>
      <w:r>
        <w:rPr>
          <w:i/>
          <w:iCs/>
        </w:rPr>
        <w:t xml:space="preserve">Industrial-policy reinforcement</w:t>
      </w:r>
      <w:r>
        <w:t xml:space="preserve">: military procurement provides cover, civilian volume scales to economic sustainability.</w:t>
      </w:r>
    </w:p>
    <w:p>
      <w:pPr>
        <w:pStyle w:val="Compact"/>
        <w:numPr>
          <w:ilvl w:val="0"/>
          <w:numId w:val="1031"/>
        </w:numPr>
      </w:pPr>
      <w:r>
        <w:rPr>
          <w:i/>
          <w:iCs/>
        </w:rPr>
        <w:t xml:space="preserve">Political continuity</w:t>
      </w:r>
      <w:r>
        <w:t xml:space="preserve">: combined deployment is harder to reverse than either path alone, because reversing requires undoing both military and civilian commitments in coordination.</w:t>
      </w:r>
    </w:p>
    <w:bookmarkEnd w:id="56"/>
    <w:bookmarkStart w:id="57" w:name="the-12-hz-12.5-hz-unified-architecture"/>
    <w:p>
      <w:pPr>
        <w:pStyle w:val="Heading3"/>
      </w:pPr>
      <w:r>
        <w:t xml:space="preserve">The 12 Hz / 12.5 Hz unified architecture</w:t>
      </w:r>
    </w:p>
    <w:p>
      <w:pPr>
        <w:pStyle w:val="FirstParagraph"/>
      </w:pPr>
      <w:r>
        <w:t xml:space="preserve">The architecture is a single global standard family across both 60 Hz and 50 Hz markets. 12 Hz for 60 Hz markets (60/5 = 12, integer ratio); 12.5 Hz for 50 Hz markets (50/4 = 12.5, integer ratio). Manufacturing equipment, operating procedures, and standards specifications overlap almost completely between the two; a single global manufacturing base serves both markets without bifurcation. This is the architectural property that makes adoption beyond first-mover jurisdictions feasible within each existing frequency family — there is no 12-vs-12.5 standards war to be fought, and equipment qualified for one market is qualified (with minor frequency-band reconfiguration in digital protection relays) for the other.</w:t>
      </w:r>
    </w:p>
    <w:p>
      <w:pPr>
        <w:pStyle w:val="BodyText"/>
      </w:pPr>
      <w:r>
        <w:t xml:space="preserve">The framing for cross-family adoption must be more constrained. The historical record on grid-frequency standardization is sobering: 50 Hz vs 60 Hz has been globally divided for over 130 years, with no convergence and no realistic expectation of convergence. The boundaries between the two frequency families have been remarkably stable: North America, parts of South America, and several Asian countries on 60 Hz; Europe, Africa, most of Asia, and Australia on 50 Hz; with the boundary defined by historical patterns of who first electrified each region and which industrial supplier dominated the early electrification market. Those boundaries are essentially fossilized — the cost of converting an installed national grid from one frequency family to another is so large that no jurisdiction has ever attempted it at national scale.</w:t>
      </w:r>
    </w:p>
    <w:p>
      <w:pPr>
        <w:pStyle w:val="BodyText"/>
      </w:pPr>
      <w:r>
        <w:t xml:space="preserve">The implication for the 12 Hz / 12.5 Hz architecture is that adoption proceeds</w:t>
      </w:r>
      <w:r>
        <w:t xml:space="preserve"> </w:t>
      </w:r>
      <w:r>
        <w:rPr>
          <w:i/>
          <w:iCs/>
        </w:rPr>
        <w:t xml:space="preserve">within</w:t>
      </w:r>
      <w:r>
        <w:t xml:space="preserve"> </w:t>
      </w:r>
      <w:r>
        <w:t xml:space="preserve">each frequency family rather than achieving cross-family convergence. A 60 Hz market that adopts 12 Hz remains in the 60 Hz family at the consumer interface; a 50 Hz market that adopts 12.5 Hz remains in the 50 Hz family at the consumer interface. The architecture is a global</w:t>
      </w:r>
      <w:r>
        <w:t xml:space="preserve"> </w:t>
      </w:r>
      <w:r>
        <w:rPr>
          <w:i/>
          <w:iCs/>
        </w:rPr>
        <w:t xml:space="preserve">family of standards</w:t>
      </w:r>
      <w:r>
        <w:t xml:space="preserve"> </w:t>
      </w:r>
      <w:r>
        <w:t xml:space="preserve">rather than a single global standard. This is the right framing for what civilian transition can plausibly achieve.</w:t>
      </w:r>
    </w:p>
    <w:bookmarkEnd w:id="57"/>
    <w:bookmarkStart w:id="58" w:name="headline-numbers"/>
    <w:p>
      <w:pPr>
        <w:pStyle w:val="Heading3"/>
      </w:pPr>
      <w:r>
        <w:t xml:space="preserve">Headline numbers</w:t>
      </w:r>
    </w:p>
    <w:p>
      <w:pPr>
        <w:pStyle w:val="FirstParagraph"/>
      </w:pPr>
      <w:r>
        <w:t xml:space="preserve">For a typical advanced-economy deployment:</w:t>
      </w:r>
    </w:p>
    <w:p>
      <w:pPr>
        <w:pStyle w:val="Compact"/>
        <w:numPr>
          <w:ilvl w:val="0"/>
          <w:numId w:val="1032"/>
        </w:numPr>
      </w:pPr>
      <w:r>
        <w:rPr>
          <w:i/>
          <w:iCs/>
        </w:rPr>
        <w:t xml:space="preserve">Military Phase 1</w:t>
      </w:r>
      <w:r>
        <w:t xml:space="preserve">: approximately 6 years (3–5 years of operations from commissioning), $40M–$140M per installation (revised from initial $30M–$100M to include defense qualification and integration costs identified in red team review), 2–4 transmission-class transformers, single substation conversion under defense procurement authority.</w:t>
      </w:r>
    </w:p>
    <w:p>
      <w:pPr>
        <w:pStyle w:val="Compact"/>
        <w:numPr>
          <w:ilvl w:val="0"/>
          <w:numId w:val="1032"/>
        </w:numPr>
      </w:pPr>
      <w:r>
        <w:rPr>
          <w:i/>
          <w:iCs/>
        </w:rPr>
        <w:t xml:space="preserve">Military Phase 2</w:t>
      </w:r>
      <w:r>
        <w:t xml:space="preserve">: 10–15 years, broader defense fleet conversion at $50M–$200M/year sustained capital, 50–200 transformers across multiple installations, validation of fleet-scale operations.</w:t>
      </w:r>
    </w:p>
    <w:p>
      <w:pPr>
        <w:pStyle w:val="Compact"/>
        <w:numPr>
          <w:ilvl w:val="0"/>
          <w:numId w:val="1032"/>
        </w:numPr>
      </w:pPr>
      <w:r>
        <w:rPr>
          <w:i/>
          <w:iCs/>
        </w:rPr>
        <w:t xml:space="preserve">Civilian first-mover (Quebec or analog)</w:t>
      </w:r>
      <w:r>
        <w:t xml:space="preserve">: 25–35 years, single-jurisdiction conversion. Total cost on the order of C$27–113B for a Quebec-scale jurisdiction (cumulative over the transition period, including generation/transmission infrastructure conversion, industrial end-use retrofit, residential/commercial end-use retrofit, customer-side frequency-converter installations during transition, and engineering/program-management costs). Annual cost during peak transition years C$2–5B/year, comparable to Hydro-Québec’s existing capital expenditure budget. Per-customer cumulative cost C$3K–$15K spread over 25–30 years, much absorbed by natural turnover. Rate-base impact on grid-side equipment 0.010–0.036¢/kWh on retail rates per the Resilient Transformer Architecture paper Section 11 — invisible to consumers; customer-side end-use replacement costs are larger and more variable but mostly absorbed by routine consumer and business spending decisions on appliance and equipment turnover.</w:t>
      </w:r>
    </w:p>
    <w:p>
      <w:pPr>
        <w:pStyle w:val="Compact"/>
        <w:numPr>
          <w:ilvl w:val="0"/>
          <w:numId w:val="1032"/>
        </w:numPr>
      </w:pPr>
      <w:r>
        <w:rPr>
          <w:i/>
          <w:iCs/>
        </w:rPr>
        <w:t xml:space="preserve">Adoption within the 60 Hz family</w:t>
      </w:r>
      <w:r>
        <w:t xml:space="preserve">: 30–60 years from civilian first-mover commitment to broad adoption across other 60 Hz jurisdictions, following the standards-setting and manufacturing-volume scaling. Adoption proceeds through standards-setting cascades (IEEE, NEMA, regional grid operator coordination), through manufacturing supply chain effects (equipment manufactured for first-mover markets becomes available to other markets), and through allied military procurement (defense organizations across NATO and Five Eyes adopting compatible architecture). Full 60-Hz-family adoption is plausible but not guaranteed; some jurisdictions may stay on conventional 60 Hz indefinitely.</w:t>
      </w:r>
    </w:p>
    <w:p>
      <w:pPr>
        <w:pStyle w:val="Compact"/>
        <w:numPr>
          <w:ilvl w:val="0"/>
          <w:numId w:val="1032"/>
        </w:numPr>
      </w:pPr>
      <w:r>
        <w:rPr>
          <w:i/>
          <w:iCs/>
        </w:rPr>
        <w:t xml:space="preserve">Adoption within the 50 Hz family</w:t>
      </w:r>
      <w:r>
        <w:t xml:space="preserve">: similar timeline, similar dynamics, beginning later because no clear 50 Hz first-mover candidate has been identified. Iceland, the Iberian peninsula, or specific EU jurisdictions could plausibly initiate. Adoption within the 50 Hz family is independent of 60 Hz family adoption — the architectural specifications are compatible, but commercial adoption decisions are jurisdiction-specific.</w:t>
      </w:r>
    </w:p>
    <w:p>
      <w:pPr>
        <w:pStyle w:val="Compact"/>
        <w:numPr>
          <w:ilvl w:val="0"/>
          <w:numId w:val="1032"/>
        </w:numPr>
      </w:pPr>
      <w:r>
        <w:rPr>
          <w:i/>
          <w:iCs/>
        </w:rPr>
        <w:t xml:space="preserve">Cross-frequency-family convergence</w:t>
      </w:r>
      <w:r>
        <w:t xml:space="preserve">: not expected on any reasonable timeframe. The 50 Hz / 60 Hz boundary has been stable for 130 years and the 12 Hz / 12.5 Hz architecture does not change the dynamics that have kept it stable. The architecture is best understood as a global</w:t>
      </w:r>
      <w:r>
        <w:t xml:space="preserve"> </w:t>
      </w:r>
      <w:r>
        <w:rPr>
          <w:i/>
          <w:iCs/>
        </w:rPr>
        <w:t xml:space="preserve">family of standards</w:t>
      </w:r>
      <w:r>
        <w:t xml:space="preserve"> </w:t>
      </w:r>
      <w:r>
        <w:t xml:space="preserve">(12 Hz for 60 Hz markets, 12.5 Hz for 50 Hz markets) rather than as a unified global standard.</w:t>
      </w:r>
    </w:p>
    <w:p>
      <w:pPr>
        <w:pStyle w:val="Compact"/>
        <w:numPr>
          <w:ilvl w:val="0"/>
          <w:numId w:val="1032"/>
        </w:numPr>
      </w:pPr>
      <w:r>
        <w:rPr>
          <w:i/>
          <w:iCs/>
        </w:rPr>
        <w:t xml:space="preserve">Recovery time compression</w:t>
      </w:r>
      <w:r>
        <w:t xml:space="preserve"> </w:t>
      </w:r>
      <w:r>
        <w:t xml:space="preserve">for hostile-action damaged transformers: 6–18 months → 1–2 weeks (40× improvement) per Resilient Transformer Architecture paper Section 8.</w:t>
      </w:r>
    </w:p>
    <w:p>
      <w:pPr>
        <w:pStyle w:val="Compact"/>
        <w:numPr>
          <w:ilvl w:val="0"/>
          <w:numId w:val="1032"/>
        </w:numPr>
      </w:pPr>
      <w:r>
        <w:rPr>
          <w:i/>
          <w:iCs/>
        </w:rPr>
        <w:t xml:space="preserve">Acoustic emission reduction</w:t>
      </w:r>
      <w:r>
        <w:t xml:space="preserve">: theoretical projection 15–25 dB(A); empirical validation pending Phase 0 pilot per parent grid proposal.</w:t>
      </w:r>
    </w:p>
    <w:bookmarkEnd w:id="58"/>
    <w:bookmarkEnd w:id="59"/>
    <w:bookmarkStart w:id="60" w:name="section-9-conclusion"/>
    <w:p>
      <w:pPr>
        <w:pStyle w:val="Heading2"/>
      </w:pPr>
      <w:r>
        <w:t xml:space="preserve">Section 9 — Conclusion</w:t>
      </w:r>
    </w:p>
    <w:p>
      <w:pPr>
        <w:pStyle w:val="FirstParagraph"/>
      </w:pPr>
      <w:r>
        <w:t xml:space="preserve">The architectural arguments for a 12 Hz / 12.5 Hz grid have been made in three parent documents. This paper has addressed the question those documents leave open: in a functioning advanced economy, how does the transition actually happen? The answer is military deployment first, civilian deployment in parallel, with the two paths interlocking at every phase.</w:t>
      </w:r>
    </w:p>
    <w:p>
      <w:pPr>
        <w:pStyle w:val="BodyText"/>
      </w:pPr>
      <w:r>
        <w:t xml:space="preserve">The institutional argument is that the deepest reason military-first deployment matters is not the strategic-resilience case (real but secondary) but the institutional-continuity case (decisive). Civilian electrical infrastructure transitions in advanced economies have a structural problem: they require political-coalition continuity over 30-year horizons, which no advanced democracy can reliably provide. The Munich/LiMux failure mode is the canonical case study; civilian-only attempts at multi-decade infrastructure transition consistently fail. Defense procurement routes around this problem by operating under different political timescales and institutional cultures.</w:t>
      </w:r>
    </w:p>
    <w:p>
      <w:pPr>
        <w:pStyle w:val="BodyText"/>
      </w:pPr>
      <w:r>
        <w:t xml:space="preserve">The civilian argument is that civilian deployment is necessary because military deployment alone cannot provide the manufacturing volume, the regulatory legitimacy, the workforce scale, or the within-frequency-family adoption that the architecture needs to become a dominant standard within its frequency band. Civilian deployment must happen, and the post-Munich landscape suggests how to structure it: institutionally-resilient first-mover jurisdictions, temporal-phasing sequencing, in-house manufacturing capacity, sovereignty framing, partial-completion stability, ongoing technical investment, and continuous communication of benefits.</w:t>
      </w:r>
    </w:p>
    <w:p>
      <w:pPr>
        <w:pStyle w:val="BodyText"/>
      </w:pPr>
      <w:r>
        <w:t xml:space="preserve">The synergy argument is that the two paths must run in parallel because each path’s outputs are the other path’s inputs at every phase, and the combined deployment is much more robust than either path alone. The political-continuity benefit alone — the combined deployment is harder to reverse than either path alone — justifies the dual-path strategy on structural grounds.</w:t>
      </w:r>
    </w:p>
    <w:p>
      <w:pPr>
        <w:pStyle w:val="BodyText"/>
      </w:pPr>
      <w:r>
        <w:t xml:space="preserve">The 12 Hz / 12.5 Hz architecture is technically sound. The transformer specifications are mature. The protection-engineering schemes are validated. The cold-climate stack is feasible. The hostile-action survivability case is decisive. The manufacturing-base requirements are bounded. The cost impact on retail electricity rates is invisible. None of these technical or economic facts is the limiting constraint on the transition.</w:t>
      </w:r>
    </w:p>
    <w:p>
      <w:pPr>
        <w:pStyle w:val="BodyText"/>
      </w:pPr>
      <w:r>
        <w:t xml:space="preserve">The limiting constraint is institutional. Can advanced economies sustain multi-decade infrastructure transitions through political-coalition turnover? Munich’s answer was no, partly because of coalition turnover and partly because of underinvestment in ongoing technical maintenance. Barcelona’s answer was a partial yes — the application-layer migration survived and provides lasting benefit, the deeper OS migration did not survive. The broader EU sovereign-tech context post-2022 suggests that structural funding mechanisms above the level of individual programs can sustain sovereignty-oriented infrastructure commitments more reliably than program-by-program approaches. The 12 Hz transition needs an institutional structure that combines the temporal-phasing discipline that worked partially for Barcelona, the institutional carriers that defense procurement provides, ongoing technical investment to avoid the LiMux maintenance failure mode, and the dual-path redundancy that protects against single-path failure.</w:t>
      </w:r>
    </w:p>
    <w:p>
      <w:pPr>
        <w:pStyle w:val="BodyText"/>
      </w:pPr>
      <w:r>
        <w:t xml:space="preserve">The military-civilian dual-path strategy provides exactly that institutional structure. The transition becomes feasible not because the technology is easy (it is reasonable but not trivial) and not because the political will exists (it is contingent and partial) but because the structural design provides political continuity that no single deployment path could achieve.</w:t>
      </w:r>
    </w:p>
    <w:p>
      <w:pPr>
        <w:pStyle w:val="BodyText"/>
      </w:pPr>
      <w:r>
        <w:t xml:space="preserve">The recommendation, concretely:</w:t>
      </w:r>
    </w:p>
    <w:p>
      <w:pPr>
        <w:numPr>
          <w:ilvl w:val="0"/>
          <w:numId w:val="1033"/>
        </w:numPr>
      </w:pPr>
      <w:r>
        <w:rPr>
          <w:i/>
          <w:iCs/>
        </w:rPr>
        <w:t xml:space="preserve">Defense organizations</w:t>
      </w:r>
      <w:r>
        <w:t xml:space="preserve"> </w:t>
      </w:r>
      <w:r>
        <w:t xml:space="preserve">(Canadian DND, US DoD, UK MoD, allied equivalents) commit to Phase 1 pilots at strategically-selected installations within their procurement authority. Coordinate Five Eyes pilots through CCEB / equivalent channels to develop allied interoperability framework. Target Phase 1 commitment within 12–24 months from the date of this paper’s distribution.</w:t>
      </w:r>
    </w:p>
    <w:p>
      <w:pPr>
        <w:numPr>
          <w:ilvl w:val="0"/>
          <w:numId w:val="1033"/>
        </w:numPr>
      </w:pPr>
      <w:r>
        <w:rPr>
          <w:i/>
          <w:iCs/>
        </w:rPr>
        <w:t xml:space="preserve">Civilian utilities</w:t>
      </w:r>
      <w:r>
        <w:t xml:space="preserve"> </w:t>
      </w:r>
      <w:r>
        <w:t xml:space="preserve">in candidate first-mover jurisdictions (Hydro-Québec, Landsvirkjun, Hydro Tasmania, Hawaiian Electric, ERCOT, REE/REN Iberian coordination) initiate engineering studies for temporally-phased transition strategies. Quebec, with the strongest combination of institutional resilience, hydro-dominant generation flexibility, climate-stress test conditions, and provincial industrial-policy alignment, is the strongest first-mover candidate in North America. Target initial engineering commitment within 24–36 months.</w:t>
      </w:r>
    </w:p>
    <w:p>
      <w:pPr>
        <w:numPr>
          <w:ilvl w:val="0"/>
          <w:numId w:val="1033"/>
        </w:numPr>
      </w:pPr>
      <w:r>
        <w:rPr>
          <w:i/>
          <w:iCs/>
        </w:rPr>
        <w:t xml:space="preserve">Standards bodies</w:t>
      </w:r>
      <w:r>
        <w:t xml:space="preserve"> </w:t>
      </w:r>
      <w:r>
        <w:t xml:space="preserve">(IEEE C57 and C37 committees, IEC TC 14 and TC 17, equivalents) accept input from the military Phase 1 pilots into standards-revision processes. The architectural specifications developed in the parent documents and the operating data from Phase 1 pilots enter the standards process within 5 years.</w:t>
      </w:r>
    </w:p>
    <w:p>
      <w:pPr>
        <w:numPr>
          <w:ilvl w:val="0"/>
          <w:numId w:val="1033"/>
        </w:numPr>
      </w:pPr>
      <w:r>
        <w:rPr>
          <w:i/>
          <w:iCs/>
        </w:rPr>
        <w:t xml:space="preserve">Industrial-policy bodies</w:t>
      </w:r>
      <w:r>
        <w:t xml:space="preserve"> </w:t>
      </w:r>
      <w:r>
        <w:t xml:space="preserve">(Canadian Innovation, Science and Economic Development; US Department of Commerce CHIPS-style programs; European Commission DG GROW; allied equivalents) coordinate manufacturing-base investment with the military and civilian deployments. Domestic transformer manufacturing, vacuum-equipment manufacturing, and ester refining capacity are bounded industrial-policy commitments that align with existing political mandates in most allied jurisdictions.</w:t>
      </w:r>
    </w:p>
    <w:p>
      <w:pPr>
        <w:numPr>
          <w:ilvl w:val="0"/>
          <w:numId w:val="1033"/>
        </w:numPr>
      </w:pPr>
      <w:r>
        <w:rPr>
          <w:i/>
          <w:iCs/>
        </w:rPr>
        <w:t xml:space="preserve">Allied coordination bodies</w:t>
      </w:r>
      <w:r>
        <w:t xml:space="preserve"> </w:t>
      </w:r>
      <w:r>
        <w:t xml:space="preserve">(Conference of Defence Associations and equivalents, NATO infrastructure committees, Five Eyes electrical-infrastructure channels) consider the STANAG question raised in the Resilient Transformer Architecture paper Section 13 and develop allied interoperability framework on a 10–15 year horizon.</w:t>
      </w:r>
    </w:p>
    <w:p>
      <w:pPr>
        <w:pStyle w:val="FirstParagraph"/>
      </w:pPr>
      <w:r>
        <w:t xml:space="preserve">The transition is hard. It is not impossible. The structural design proposed in this paper makes it possible by aligning military and civilian deployment paths so that each provides what the other lacks. The architectural arguments in the parent documents establish what should be built; this paper has established how to actually get there.</w:t>
      </w:r>
    </w:p>
    <w:p>
      <w:r>
        <w:pict>
          <v:rect style="width:0;height:1.5pt" o:hralign="center" o:hrstd="t" o:hr="t"/>
        </w:pict>
      </w:r>
    </w:p>
    <w:bookmarkEnd w:id="60"/>
    <w:bookmarkStart w:id="61" w:name="references"/>
    <w:p>
      <w:pPr>
        <w:pStyle w:val="Heading2"/>
      </w:pPr>
      <w:r>
        <w:t xml:space="preserve">References</w:t>
      </w:r>
    </w:p>
    <w:p>
      <w:pPr>
        <w:pStyle w:val="FirstParagraph"/>
      </w:pPr>
      <w:r>
        <w:t xml:space="preserve">Companion architectural documents:</w:t>
      </w:r>
    </w:p>
    <w:p>
      <w:pPr>
        <w:pStyle w:val="Compact"/>
        <w:numPr>
          <w:ilvl w:val="0"/>
          <w:numId w:val="1034"/>
        </w:numPr>
      </w:pPr>
      <w:r>
        <w:rPr>
          <w:i/>
          <w:iCs/>
        </w:rPr>
        <w:t xml:space="preserve">12 Hz AC Backbone Grid Architecture</w:t>
      </w:r>
      <w:r>
        <w:t xml:space="preserve"> </w:t>
      </w:r>
      <w:r>
        <w:t xml:space="preserve">(primary architectural paper)</w:t>
      </w:r>
    </w:p>
    <w:p>
      <w:pPr>
        <w:pStyle w:val="Compact"/>
        <w:numPr>
          <w:ilvl w:val="0"/>
          <w:numId w:val="1034"/>
        </w:numPr>
      </w:pPr>
      <w:r>
        <w:rPr>
          <w:i/>
          <w:iCs/>
        </w:rPr>
        <w:t xml:space="preserve">AC vs. DC Distribution Comparative Analysis</w:t>
      </w:r>
      <w:r>
        <w:t xml:space="preserve"> </w:t>
      </w:r>
      <w:r>
        <w:t xml:space="preserve">(companion paper)</w:t>
      </w:r>
    </w:p>
    <w:p>
      <w:pPr>
        <w:pStyle w:val="Compact"/>
        <w:numPr>
          <w:ilvl w:val="0"/>
          <w:numId w:val="1034"/>
        </w:numPr>
      </w:pPr>
      <w:r>
        <w:rPr>
          <w:i/>
          <w:iCs/>
        </w:rPr>
        <w:t xml:space="preserve">Resilient Transformer Architecture for a 12 Hz AC Backbone Grid</w:t>
      </w:r>
      <w:r>
        <w:t xml:space="preserve"> </w:t>
      </w:r>
      <w:r>
        <w:t xml:space="preserve">(transformer specification companion)</w:t>
      </w:r>
    </w:p>
    <w:p>
      <w:pPr>
        <w:pStyle w:val="FirstParagraph"/>
      </w:pPr>
      <w:r>
        <w:t xml:space="preserve">Historical infrastructure-transition case studies:</w:t>
      </w:r>
    </w:p>
    <w:p>
      <w:pPr>
        <w:pStyle w:val="Compact"/>
        <w:numPr>
          <w:ilvl w:val="0"/>
          <w:numId w:val="1035"/>
        </w:numPr>
      </w:pPr>
      <w:r>
        <w:t xml:space="preserve">LiMux (Munich): municipal IT transition 2003–2017, reversion announced 2017, completed in subsequent years.</w:t>
      </w:r>
    </w:p>
    <w:p>
      <w:pPr>
        <w:pStyle w:val="Compact"/>
        <w:numPr>
          <w:ilvl w:val="0"/>
          <w:numId w:val="1035"/>
        </w:numPr>
      </w:pPr>
      <w:r>
        <w:t xml:space="preserve">Barcelona Digital City Plan: 2017–2019 application-layer migration; subsequent partial OS swap.</w:t>
      </w:r>
    </w:p>
    <w:p>
      <w:pPr>
        <w:pStyle w:val="Compact"/>
        <w:numPr>
          <w:ilvl w:val="0"/>
          <w:numId w:val="1035"/>
        </w:numPr>
      </w:pPr>
      <w:r>
        <w:t xml:space="preserve">French Gendarmerie Linux deployment: 2005 onward, ongoing.</w:t>
      </w:r>
    </w:p>
    <w:p>
      <w:pPr>
        <w:pStyle w:val="Compact"/>
        <w:numPr>
          <w:ilvl w:val="0"/>
          <w:numId w:val="1035"/>
        </w:numPr>
      </w:pPr>
      <w:r>
        <w:t xml:space="preserve">Italian Ministry of Defense LibreOffice deployment: 2014 onward, ongoing.</w:t>
      </w:r>
    </w:p>
    <w:p>
      <w:pPr>
        <w:pStyle w:val="Compact"/>
        <w:numPr>
          <w:ilvl w:val="0"/>
          <w:numId w:val="1035"/>
        </w:numPr>
      </w:pPr>
      <w:r>
        <w:t xml:space="preserve">EU Sovereign Tech Fund / Sovereign Tech Agency: 2022–2023 establishment.</w:t>
      </w:r>
    </w:p>
    <w:p>
      <w:pPr>
        <w:pStyle w:val="Compact"/>
        <w:numPr>
          <w:ilvl w:val="0"/>
          <w:numId w:val="1035"/>
        </w:numPr>
      </w:pPr>
      <w:r>
        <w:t xml:space="preserve">Public Money, Public Code initiative (FSFE): ongoing.</w:t>
      </w:r>
    </w:p>
    <w:p>
      <w:pPr>
        <w:pStyle w:val="FirstParagraph"/>
      </w:pPr>
      <w:r>
        <w:t xml:space="preserve">Relevant standards:</w:t>
      </w:r>
    </w:p>
    <w:p>
      <w:pPr>
        <w:pStyle w:val="Compact"/>
        <w:numPr>
          <w:ilvl w:val="0"/>
          <w:numId w:val="1036"/>
        </w:numPr>
      </w:pPr>
      <w:r>
        <w:t xml:space="preserve">IEEE C57 series (transformer standards)</w:t>
      </w:r>
    </w:p>
    <w:p>
      <w:pPr>
        <w:pStyle w:val="Compact"/>
        <w:numPr>
          <w:ilvl w:val="0"/>
          <w:numId w:val="1036"/>
        </w:numPr>
      </w:pPr>
      <w:r>
        <w:t xml:space="preserve">IEEE C37 series (switchgear standards)</w:t>
      </w:r>
    </w:p>
    <w:p>
      <w:pPr>
        <w:pStyle w:val="Compact"/>
        <w:numPr>
          <w:ilvl w:val="0"/>
          <w:numId w:val="1036"/>
        </w:numPr>
      </w:pPr>
      <w:r>
        <w:t xml:space="preserve">IEC 60076 series (international transformer standards)</w:t>
      </w:r>
    </w:p>
    <w:p>
      <w:pPr>
        <w:pStyle w:val="Compact"/>
        <w:numPr>
          <w:ilvl w:val="0"/>
          <w:numId w:val="1036"/>
        </w:numPr>
      </w:pPr>
      <w:r>
        <w:t xml:space="preserve">IEC 60099 series (surge arresters)</w:t>
      </w:r>
    </w:p>
    <w:p>
      <w:pPr>
        <w:pStyle w:val="Compact"/>
        <w:numPr>
          <w:ilvl w:val="0"/>
          <w:numId w:val="1036"/>
        </w:numPr>
      </w:pPr>
      <w:r>
        <w:t xml:space="preserve">STANAG 1135, STANAG 7141 (NATO fuel and lubricant interchangeability — relevant analog for proposed transformer-dielectric STANAG)</w:t>
      </w:r>
    </w:p>
    <w:p>
      <w:pPr>
        <w:pStyle w:val="FirstParagraph"/>
      </w:pPr>
      <w:r>
        <w:t xml:space="preserve">Defense procurement and industrial-policy frameworks:</w:t>
      </w:r>
    </w:p>
    <w:p>
      <w:pPr>
        <w:pStyle w:val="Compact"/>
        <w:numPr>
          <w:ilvl w:val="0"/>
          <w:numId w:val="1037"/>
        </w:numPr>
      </w:pPr>
      <w:r>
        <w:t xml:space="preserve">Canada: Defence Policy Review (latest); Industrial and Technological Benefits Policy; Strong, Secure, Engaged.</w:t>
      </w:r>
    </w:p>
    <w:p>
      <w:pPr>
        <w:pStyle w:val="Compact"/>
        <w:numPr>
          <w:ilvl w:val="0"/>
          <w:numId w:val="1037"/>
        </w:numPr>
      </w:pPr>
      <w:r>
        <w:t xml:space="preserve">US: DoD MILCON; CHIPS and Science Act; Defense Industrial Base Strategy.</w:t>
      </w:r>
    </w:p>
    <w:p>
      <w:pPr>
        <w:pStyle w:val="Compact"/>
        <w:numPr>
          <w:ilvl w:val="0"/>
          <w:numId w:val="1037"/>
        </w:numPr>
      </w:pPr>
      <w:r>
        <w:t xml:space="preserve">UK: Defence Equipment &amp; Support; Industrial Strategy.</w:t>
      </w:r>
    </w:p>
    <w:p>
      <w:pPr>
        <w:pStyle w:val="Compact"/>
        <w:numPr>
          <w:ilvl w:val="0"/>
          <w:numId w:val="1037"/>
        </w:numPr>
      </w:pPr>
      <w:r>
        <w:t xml:space="preserve">EU: European Defence Fund; Digital Europe Programme; Sovereign Tech Fund.</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2026-07-03T07:06:36Z</dcterms:created>
  <dcterms:modified xsi:type="dcterms:W3CDTF">2026-07-03T07:06:36Z</dcterms:modified>
</cp:coreProperties>
</file>

<file path=docProps/custom.xml><?xml version="1.0" encoding="utf-8"?>
<Properties xmlns="http://schemas.openxmlformats.org/officeDocument/2006/custom-properties" xmlns:vt="http://schemas.openxmlformats.org/officeDocument/2006/docPropsVTypes"/>
</file>