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922caa3e2c270ed0cc9ded8f059ac5d35f9ed4c"/>
    <w:p>
      <w:pPr>
        <w:pStyle w:val="Heading1"/>
      </w:pPr>
      <w:r>
        <w:t xml:space="preserve">Resilient Transformer Architecture for a 12 Hz AC Backbone Grid</w:t>
      </w:r>
    </w:p>
    <w:p>
      <w:pPr>
        <w:pStyle w:val="FirstParagraph"/>
      </w:pPr>
      <w:r>
        <w:rPr>
          <w:i/>
          <w:iCs/>
        </w:rPr>
        <w:t xml:space="preserve">One Bullet Should Not Take Out a Substation: Harder to Kill, 40× Faster to Fix with Ester Dielectric and Field Rewindability</w:t>
      </w:r>
    </w:p>
    <w:p>
      <w:pPr>
        <w:pStyle w:val="BodyText"/>
      </w:pPr>
      <w:r>
        <w:rPr>
          <w:i/>
          <w:iCs/>
        </w:rPr>
        <w:t xml:space="preserve">Companion paper to the 12 Hz AC backbone grid proposal and the AC vs. DC distribution comparative analysis. Standalone engineering specification for transformer dielectric, protection, enclosure, and climate adaptation across the architecture’s voltage and power classes.</w:t>
      </w:r>
    </w:p>
    <w:p>
      <w:r>
        <w:pict>
          <v:rect style="width:0;height:1.5pt" o:hralign="center" o:hrstd="t" o:hr="t"/>
        </w:pict>
      </w:r>
    </w:p>
    <w:bookmarkStart w:id="9" w:name="abstract"/>
    <w:p>
      <w:pPr>
        <w:pStyle w:val="Heading2"/>
      </w:pPr>
      <w:r>
        <w:t xml:space="preserve">Abstract</w:t>
      </w:r>
    </w:p>
    <w:p>
      <w:pPr>
        <w:pStyle w:val="FirstParagraph"/>
      </w:pPr>
      <w:r>
        <w:t xml:space="preserve">Conventional mineral-oil transformers carry two unresolved liabilities. The first is well-documented but rarely acknowledged in lifecycle accounting: an internal arc fault produces a thermodynamic event — not a capacitive discharge — in which oil-vapor cracking products evolve at ~1500× volume expansion within 5–30 ms, faster than mechanical relief valves can respond, with secondary fire from sprayed oil at the 145°C / 293°F flash point igniting on the still-arcing fault. The second is environmental and toxicological: petroleum-derived dielectric fluid is not biodegradable on practical timescales, contaminates soil and groundwater for decades after spill, carries a persistent regulatory legacy from the PCB era, and is routinely stolen from rural transformers and resold as motor oil or fuel adulterant.</w:t>
      </w:r>
    </w:p>
    <w:p>
      <w:pPr>
        <w:pStyle w:val="BodyText"/>
      </w:pPr>
      <w:r>
        <w:t xml:space="preserve">A single dielectric chemistry — refined high-oleic vegetable oil (natural ester) — addresses both problems while preserving every advantage that oil-immersed transformers hold over solid-state and dry-type alternatives: voltage class to 765 kV, power rating to 1000+ MVA,</w:t>
      </w:r>
      <w:r>
        <w:t xml:space="preserve"> </w:t>
      </w:r>
      <w:r>
        <w:rPr>
          <w:i/>
          <w:iCs/>
        </w:rPr>
        <w:t xml:space="preserve">field rewindability</w:t>
      </w:r>
      <w:r>
        <w:t xml:space="preserve">, and supply chain independence from specialized industrial chemistry. Field rewindability is foundational to the architectural case. A transformer damaged by hostile action or accidental fault that retains its windings — the dominant outcome under the protection scheme this paper specifies — returns to service in 1–3 days through casing patch, ester refill, and recommissioning. A transformer with damaged windings field-rewinds in 3–10 weeks. The 6–18 month new-unit replacement cycle becomes a rare outcome rather than the dominant outcome, and the asymmetric warfare math that has historically made substations attractive targets is broken.</w:t>
      </w:r>
    </w:p>
    <w:p>
      <w:pPr>
        <w:pStyle w:val="BodyText"/>
      </w:pPr>
      <w:r>
        <w:t xml:space="preserve">The protection philosophy this paper develops is layered: per-radiator coolant sensors and the Buchholz relay generate</w:t>
      </w:r>
      <w:r>
        <w:t xml:space="preserve"> </w:t>
      </w:r>
      <w:r>
        <w:rPr>
          <w:i/>
          <w:iCs/>
        </w:rPr>
        <w:t xml:space="preserve">alarms</w:t>
      </w:r>
      <w:r>
        <w:t xml:space="preserve"> </w:t>
      </w:r>
      <w:r>
        <w:t xml:space="preserve">on any signal of fluid loss or gas evolution, dispatching the site supervisor to investigate; the</w:t>
      </w:r>
      <w:r>
        <w:t xml:space="preserve"> </w:t>
      </w:r>
      <w:r>
        <w:rPr>
          <w:i/>
          <w:iCs/>
        </w:rPr>
        <w:t xml:space="preserve">trip</w:t>
      </w:r>
      <w:r>
        <w:t xml:space="preserve"> </w:t>
      </w:r>
      <w:r>
        <w:t xml:space="preserve">itself is driven by direct measurement of winding hot-spot temperature, top-oil temperature, and other indicators of damage actually occurring at the active part. Ester’s high flash point (330°C / 626°F) is what makes this architecture possible: it removes the seconds-timescale fire-propagation risk that justifies hair-trigger trip-first protection in mineral-oil practice, replacing it with a minutes-to-hours thermal margin during which the situation can be investigated, load can be transferred where redundancy exists, and trip authority is reserved for confirmed damage progression. The architecture preserves load where the unit can ride through, protects the asset when it cannot, and avoids the false-trip failure mode that disables overaggressive protection in field practice.</w:t>
      </w:r>
    </w:p>
    <w:p>
      <w:pPr>
        <w:pStyle w:val="BodyText"/>
      </w:pPr>
      <w:r>
        <w:t xml:space="preserve">The natural ester specification is universal across the architecture’s deployment envelope, including high-latitude cold-climate service, through an integrated engineering stack: rapeseed-based ester (–31°C / –24°F pour point) as the global default; conservator headroom sized for thermal expansion across the full operating temperature range; insulated transformer cabinets after Russian cold-climate practice; external-spiral propane auxiliary heating with tiger-torch manual fallback, electrochemistry-independent and operable through station blackout; and graduated cold-start protocol applying excitation in stages so core losses melt the immediate ester envelope around the windings before load is applied. The ABB BIOTEMP –70°C / –94°F cold-soak result establishes that ester gelling during de-energized standby is not a destructive failure mode; the unit survives cold-soak intact and resumes service when warmed. Two superficially attractive shortcuts to the cold-climate problem — synthetic ester chemistry and polymethacrylate (PMA) pour-point depressant additives — were considered and rejected on environmental and supply-chain grounds documented in Sections 3, 5, and 10.</w:t>
      </w:r>
    </w:p>
    <w:p>
      <w:pPr>
        <w:pStyle w:val="BodyText"/>
      </w:pPr>
      <w:r>
        <w:t xml:space="preserve">The 12 Hz architecture compounds the ester case. Lower flux density operation reduces magnetostrictive deformation in the core; combined with the shift of fundamental acoustic excitation from 100 Hz (50 Hz mains) or 120 Hz (60 Hz mains) — squarely in the human hearing sensitivity peak — to 24 Hz, near the absolute threshold of audibility, ester-filled 12 Hz transformers run an estimated 15–25 dB(A) below conventional 50/60 Hz units of equivalent rating (theoretical estimate; empirical validation is a Phase 0 pilot deliverable). The geometric consequence of low-frequency operation is larger core cross-section per kVA, which delivers proportionally larger thermal mass, larger natural radiator area, and longer thermal time constants. Natural convection cooling (ONAN — Oil Natural Air Natural) is sufficient at all power classes; the architecture eliminates oil pumps and forced-air fans entirely, removing those failure modes from the protection envelope.</w:t>
      </w:r>
    </w:p>
    <w:p>
      <w:pPr>
        <w:pStyle w:val="BodyText"/>
      </w:pPr>
      <w:r>
        <w:t xml:space="preserve">The protection scheme separates</w:t>
      </w:r>
      <w:r>
        <w:t xml:space="preserve"> </w:t>
      </w:r>
      <w:r>
        <w:rPr>
          <w:i/>
          <w:iCs/>
        </w:rPr>
        <w:t xml:space="preserve">thermal trip path</w:t>
      </w:r>
      <w:r>
        <w:t xml:space="preserve"> </w:t>
      </w:r>
      <w:r>
        <w:t xml:space="preserve">(winding hot-spot temperature, top-oil temperature; minutes-to-hours response time; appropriate for coolant-loss and overload causation) from</w:t>
      </w:r>
      <w:r>
        <w:t xml:space="preserve"> </w:t>
      </w:r>
      <w:r>
        <w:rPr>
          <w:i/>
          <w:iCs/>
        </w:rPr>
        <w:t xml:space="preserve">fault trip path</w:t>
      </w:r>
      <w:r>
        <w:t xml:space="preserve"> </w:t>
      </w:r>
      <w:r>
        <w:t xml:space="preserve">(transformer differential 87T, sudden-pressure relay, Buchholz baffle plate; millisecond response time; appropriate for arc fault). The slower thermal path uses ester’s flash-point margin to support alarm-investigate-trip-on-confirmed-damage logic; the fast fault path operates conventionally on millisecond automation. 12 Hz operation requires reconfigurable differential relay platforms (SEL-487E, Hitachi Energy RET670, or equivalent) with harmonic-restraint recalibration for the 12 Hz fundamental — a Phase 0 pilot deliverable per the parent grid proposal. Alarm-tier signals (per-radiator coolant sensors, Buchholz upper float, dissolved gas trends) integrate via IEC 61850 station bus to SCADA at unmanned sites; manned-substation deployments may use simpler annunciation.</w:t>
      </w:r>
    </w:p>
    <w:p>
      <w:pPr>
        <w:pStyle w:val="BodyText"/>
      </w:pPr>
      <w:r>
        <w:rPr>
          <w:b/>
          <w:bCs/>
        </w:rPr>
        <w:t xml:space="preserve">Headline architectural claim</w:t>
      </w:r>
      <w:r>
        <w:t xml:space="preserve">: under hostile action, the recovery time per damaged transformer drops from 6–18 months (replacement cycle for mineral-oil units destroyed by fire propagation) to 1–2 weeks expected case in regions with developed engineering logistics (1–3 days for refill-only, 1–4 weeks for partial winding repair, 3–10 weeks for full rewind). Even in regions with limited engineering logistics — where rewind facilities, ester depots, and vacuum dehydration rigs are sparse — recovery times scale to 1–2 weeks for refill cases and 6–24 weeks for rewind cases.</w:t>
      </w:r>
      <w:r>
        <w:t xml:space="preserve"> </w:t>
      </w:r>
      <w:r>
        <w:rPr>
          <w:b/>
          <w:bCs/>
        </w:rPr>
        <w:t xml:space="preserve">The headline figure is 40× faster recovery in the dominant attack outcome</w:t>
      </w:r>
      <w:r>
        <w:t xml:space="preserve">: mineral-oil substations destroyed by fire become months-to-years recovery events; ester substations damaged but not burned become weeks-to-recovery events. The asymmetric warfare math that has historically made substations attractive targets is broken by this factor alone, before considering fire safety, environmental, or acoustic improvements.</w:t>
      </w:r>
    </w:p>
    <w:p>
      <w:pPr>
        <w:pStyle w:val="BodyText"/>
      </w:pPr>
      <w:r>
        <w:t xml:space="preserve">The architecture trades a fluid-cost premium of roughly $4–6/L vs $1–2/L for mineral oil — a 5–10% increase in transformer first cost, translating to less than 0.7% of total grid capital expenditure and on the order of 0.015–0.035¢/kWh on retail electricity rates depending on regional capital share — in exchange for: dramatically reduced fire risk in both accidental fault and hostile-action scenarios; biodegradable feedstock from agricultural sources scalable to global demand without specialized industrial chemistry; substantially extended paper insulation life; lower acoustic emissions; theft resistance improvement; simplified urban siting; and containment of hostile-action damage to a service interruption recoverable in days-to-weeks rather than escalation to substation loss with 6–18 month recovery. The selection is single-chemistry, single-procedure, single-training-program — architectural simplicity is itself a resilience property.</w:t>
      </w:r>
    </w:p>
    <w:p>
      <w:r>
        <w:pict>
          <v:rect style="width:0;height:1.5pt" o:hralign="center" o:hrstd="t" o:hr="t"/>
        </w:pict>
      </w:r>
    </w:p>
    <w:bookmarkEnd w:id="9"/>
    <w:bookmarkStart w:id="10" w:name="X1b745365bb42c89590bb06ad5ee09ee8cb6a147"/>
    <w:p>
      <w:pPr>
        <w:pStyle w:val="Heading2"/>
      </w:pPr>
      <w:r>
        <w:t xml:space="preserve">Section 1 — The transformer explosion problem</w:t>
      </w:r>
    </w:p>
    <w:p>
      <w:pPr>
        <w:pStyle w:val="FirstParagraph"/>
      </w:pPr>
      <w:r>
        <w:t xml:space="preserve">The dominant catastrophic failure mode of oil-filled power transformers is not slow thermal aging or gradual insulation breakdown; it is rapid tank rupture following internal arc fault, with secondary fire propagation from sprayed flammable dielectric. The mechanism is a thermodynamic event driven by external system fault current feed plus stored magnetic energy, not a capacitive discharge of the transformer itself.</w:t>
      </w:r>
    </w:p>
    <w:p>
      <w:pPr>
        <w:pStyle w:val="BodyText"/>
      </w:pPr>
      <w:r>
        <w:t xml:space="preserve">The capacitive-discharge misconception persists because it is intuitive: a high-voltage device must store dangerous energy in its parasitic capacitance. The arithmetic disposes of it. A typical 11 kV winding-to-tank capacitance is on the order of 5 nF; stored energy at peak operating voltage is</w:t>
      </w:r>
    </w:p>
    <w:p>
      <w:pPr>
        <w:pStyle w:val="BodyText"/>
      </w:pPr>
      <m:oMathPara>
        <m:oMathParaPr>
          <m:jc m:val="center"/>
        </m:oMathParaPr>
        <m:oMath>
          <m:r>
            <m:t>E</m:t>
          </m:r>
          <m:r>
            <m:rPr>
              <m:sty m:val="p"/>
            </m:rPr>
            <m:t>=</m:t>
          </m:r>
          <m:f>
            <m:fPr>
              <m:type m:val="lin"/>
            </m:fPr>
            <m:num>
              <m:r>
                <m:t>1</m:t>
              </m:r>
            </m:num>
            <m:den>
              <m:r>
                <m:t>2</m:t>
              </m:r>
            </m:den>
          </m:f>
          <m:r>
            <m:t>C</m:t>
          </m:r>
          <m:sSup>
            <m:e>
              <m:r>
                <m:t>V</m:t>
              </m:r>
            </m:e>
            <m:sup>
              <m:r>
                <m:t>2</m:t>
              </m:r>
            </m:sup>
          </m:sSup>
          <m:r>
            <m:rPr>
              <m:sty m:val="p"/>
            </m:rPr>
            <m:t>≈</m:t>
          </m:r>
          <m:f>
            <m:fPr>
              <m:type m:val="lin"/>
            </m:fPr>
            <m:num>
              <m:r>
                <m:t>1</m:t>
              </m:r>
            </m:num>
            <m:den>
              <m:r>
                <m:t>2</m:t>
              </m:r>
            </m:den>
          </m:f>
          <m:r>
            <m:rPr>
              <m:sty m:val="p"/>
            </m:rPr>
            <m:t>×</m:t>
          </m:r>
          <m:r>
            <m:t>5</m:t>
          </m:r>
          <m:r>
            <m:rPr>
              <m:sty m:val="p"/>
            </m:rPr>
            <m:t>×</m:t>
          </m:r>
          <m:sSup>
            <m:e>
              <m:r>
                <m:t>10</m:t>
              </m:r>
            </m:e>
            <m:sup>
              <m:r>
                <m:rPr>
                  <m:sty m:val="p"/>
                </m:rPr>
                <m:t>−</m:t>
              </m:r>
              <m:r>
                <m:t>9</m:t>
              </m:r>
            </m:sup>
          </m:sSup>
          <m:r>
            <m:rPr>
              <m:sty m:val="p"/>
            </m:rPr>
            <m:t>×</m:t>
          </m:r>
          <m:r>
            <m:rPr>
              <m:sty m:val="p"/>
            </m:rPr>
            <m:t>(</m:t>
          </m:r>
          <m:r>
            <m:t>15</m:t>
          </m:r>
          <m:r>
            <m:rPr>
              <m:sty m:val="p"/>
            </m:rPr>
            <m:t>,</m:t>
          </m:r>
          <m:r>
            <m:t>500</m:t>
          </m:r>
          <m:sSup>
            <m:e>
              <m:r>
                <m:rPr>
                  <m:sty m:val="p"/>
                </m:rPr>
                <m:t>)</m:t>
              </m:r>
            </m:e>
            <m:sup>
              <m:r>
                <m:t>2</m:t>
              </m:r>
            </m:sup>
          </m:sSup>
          <m:r>
            <m:rPr>
              <m:sty m:val="p"/>
            </m:rPr>
            <m:t>≈</m:t>
          </m:r>
          <m:r>
            <m:t>0.6</m:t>
          </m:r>
          <m:r>
            <m:rPr>
              <m:nor/>
              <m:sty m:val="p"/>
            </m:rPr>
            <m:t> J</m:t>
          </m:r>
        </m:oMath>
      </m:oMathPara>
    </w:p>
    <w:p>
      <w:pPr>
        <w:pStyle w:val="FirstParagraph"/>
      </w:pPr>
      <w:r>
        <w:t xml:space="preserve">against the full peak of √2 × 11 kV. Realistic single-phase-to-tank capacitance and operating voltage place the stored capacitive energy at roughly 0.3 J / 0.22 ft·lbf — equivalent to dropping a small apple a few centimeters. This energy cannot rupture a 10 mm steel tank.</w:t>
      </w:r>
    </w:p>
    <w:p>
      <w:pPr>
        <w:pStyle w:val="BodyText"/>
      </w:pPr>
      <w:r>
        <w:t xml:space="preserve">The energy that does rupture the tank arrives from the upstream system. On a 250 MVA-fault bus at 50 Hz, a 4-cycle (80 ms) clearing time delivers approximately</w:t>
      </w:r>
    </w:p>
    <w:p>
      <w:pPr>
        <w:pStyle w:val="BodyText"/>
      </w:pPr>
      <m:oMathPara>
        <m:oMathParaPr>
          <m:jc m:val="center"/>
        </m:oMathParaPr>
        <m:oMath>
          <m:sSub>
            <m:e>
              <m:r>
                <m:t>E</m:t>
              </m:r>
            </m:e>
            <m:sub>
              <m:r>
                <m:rPr>
                  <m:nor/>
                  <m:sty m:val="p"/>
                </m:rPr>
                <m:t>fault</m:t>
              </m:r>
            </m:sub>
          </m:sSub>
          <m:r>
            <m:rPr>
              <m:sty m:val="p"/>
            </m:rPr>
            <m:t>≈</m:t>
          </m:r>
          <m:sSub>
            <m:e>
              <m:r>
                <m:t>S</m:t>
              </m:r>
            </m:e>
            <m:sub>
              <m:r>
                <m:rPr>
                  <m:nor/>
                  <m:sty m:val="p"/>
                </m:rPr>
                <m:t>fault</m:t>
              </m:r>
            </m:sub>
          </m:sSub>
          <m:r>
            <m:rPr>
              <m:sty m:val="p"/>
            </m:rPr>
            <m:t>×</m:t>
          </m:r>
          <m:sSub>
            <m:e>
              <m:r>
                <m:t>t</m:t>
              </m:r>
            </m:e>
            <m:sub>
              <m:r>
                <m:rPr>
                  <m:nor/>
                  <m:sty m:val="p"/>
                </m:rPr>
                <m:t>clear</m:t>
              </m:r>
            </m:sub>
          </m:sSub>
          <m:r>
            <m:rPr>
              <m:sty m:val="p"/>
            </m:rPr>
            <m:t>=</m:t>
          </m:r>
          <m:r>
            <m:t>250</m:t>
          </m:r>
          <m:r>
            <m:rPr>
              <m:sty m:val="p"/>
            </m:rPr>
            <m:t>×</m:t>
          </m:r>
          <m:sSup>
            <m:e>
              <m:r>
                <m:t>10</m:t>
              </m:r>
            </m:e>
            <m:sup>
              <m:r>
                <m:t>6</m:t>
              </m:r>
            </m:sup>
          </m:sSup>
          <m:r>
            <m:rPr>
              <m:nor/>
              <m:sty m:val="p"/>
            </m:rPr>
            <m:t> VA</m:t>
          </m:r>
          <m:r>
            <m:rPr>
              <m:sty m:val="p"/>
            </m:rPr>
            <m:t>×</m:t>
          </m:r>
          <m:r>
            <m:t>0.08</m:t>
          </m:r>
          <m:r>
            <m:rPr>
              <m:nor/>
              <m:sty m:val="p"/>
            </m:rPr>
            <m:t> s</m:t>
          </m:r>
          <m:r>
            <m:rPr>
              <m:sty m:val="p"/>
            </m:rPr>
            <m:t>≈</m:t>
          </m:r>
          <m:r>
            <m:t>2</m:t>
          </m:r>
          <m:r>
            <m:rPr>
              <m:sty m:val="p"/>
            </m:rPr>
            <m:t>×</m:t>
          </m:r>
          <m:sSup>
            <m:e>
              <m:r>
                <m:t>10</m:t>
              </m:r>
            </m:e>
            <m:sup>
              <m:r>
                <m:t>7</m:t>
              </m:r>
            </m:sup>
          </m:sSup>
          <m:r>
            <m:rPr>
              <m:nor/>
              <m:sty m:val="p"/>
            </m:rPr>
            <m:t> J</m:t>
          </m:r>
          <m:r>
            <m:rPr>
              <m:sty m:val="p"/>
            </m:rPr>
            <m:t>=</m:t>
          </m:r>
          <m:r>
            <m:t>20</m:t>
          </m:r>
          <m:r>
            <m:rPr>
              <m:nor/>
              <m:sty m:val="p"/>
            </m:rPr>
            <m:t> MJ</m:t>
          </m:r>
        </m:oMath>
      </m:oMathPara>
    </w:p>
    <w:p>
      <w:pPr>
        <w:pStyle w:val="FirstParagraph"/>
      </w:pPr>
      <w:r>
        <w:t xml:space="preserve">into the fault, of which the proportion deposited as arc enthalpy in the tank — depending on arc geometry, current path, and fault impedance — is typically in the range 10–60%. The Brodeur, Petigny, and Magnier framework for transformer explosion mechanics models the arc as a cylindrical plasma channel injecting electrical energy into the surrounding oil at a rate sufficient to crack hydrocarbon bonds at temperatures of 5,000–20,000 K / 8,540–35,540 °F. The cracking products are short-chain gases — predominantly hydrogen and methane, with acetylene as the high-energy signature of high-temperature electrical fault, ethylene from severe thermal stress, and ethane from lower-temperature thermal fault. The composition is the basis of dissolved gas analysis (DGA) diagnostics covered in Section 6.</w:t>
      </w:r>
    </w:p>
    <w:p>
      <w:pPr>
        <w:pStyle w:val="BodyText"/>
      </w:pPr>
      <w:r>
        <w:t xml:space="preserve">The physical consequence is volumetric: the cracked gas occupies approximately 1500× the volume of the parent liquid hydrocarbon at one atmosphere, and the cracking is essentially instantaneous on the timescale of the protection system. The pressure wave propagates at the speed of sound in the working fluid (~1,400 m/s / 4,600 ft/s in mineral oil), reaching the tank walls in milliseconds. Tank rupture occurs in 5–30 ms — faster than mechanical pressure relief valves can open (typical opening time 30–100 ms for a properly sized device, longer for retrofits). The mechanical relief valve is therefore not a defense against the explosion event; it is a defense against slow pressure rise from sustained low-level fault.</w:t>
      </w:r>
    </w:p>
    <w:p>
      <w:pPr>
        <w:pStyle w:val="BodyText"/>
      </w:pPr>
      <w:r>
        <w:t xml:space="preserve">Once the tank ruptures, oil at operating temperature (typically 60–95°C / 140–203°F bulk, with localized hot spots higher) sprays under residual pressure into the surrounding atmosphere. The flash point of mineral transformer oil is ≥145°C / 293°F per IEC 60296 specifications; bulk oil temperature is therefore below flash point under normal operation. The fire mechanism does not require the bulk oil to be above flash point. The sprayed oil contacts the still-arcing fault, residual hot conductor surfaces, or arc-heated metallic debris, and ignites at the spray surface where heat transfer rates are high and the fuel-air mixture is favorable. Pool fire develops as ignited oil pools at the base of the unit; flame propagates back to the rupture path; full involvement of the tank inventory follows within seconds to minutes. Adjacent equipment is exposed to radiant heat and flame impingement; collateral damage commonly extends to neighboring transformers, switchgear, control buildings, and overhead conductors.</w:t>
      </w:r>
    </w:p>
    <w:p>
      <w:pPr>
        <w:pStyle w:val="BodyText"/>
      </w:pPr>
      <w:r>
        <w:t xml:space="preserve">Arc initiation causes, ranked by historical incidence in distribution and transmission failure databases:</w:t>
      </w:r>
    </w:p>
    <w:p>
      <w:pPr>
        <w:pStyle w:val="Compact"/>
        <w:numPr>
          <w:ilvl w:val="0"/>
          <w:numId w:val="1001"/>
        </w:numPr>
      </w:pPr>
      <w:r>
        <w:rPr>
          <w:i/>
          <w:iCs/>
        </w:rPr>
        <w:t xml:space="preserve">On-load tap changer (OLTC) events</w:t>
      </w:r>
      <w:r>
        <w:t xml:space="preserve">: the most arc-prone subassembly in any conventional transformer. OLTCs make and break contact under load by definition; mechanical wear, contact erosion, and arc-residue accumulation make tap-change events the single largest contributor to internal-arc fault initiation. Compartmentalization of the OLTC in a separate oil chamber, isolated from the main winding tank by an oil-tight barrier, is standard practice and substantially reduces the consequence of OLTC fault — but does not eliminate the fault rate.</w:t>
      </w:r>
    </w:p>
    <w:p>
      <w:pPr>
        <w:pStyle w:val="Compact"/>
        <w:numPr>
          <w:ilvl w:val="0"/>
          <w:numId w:val="1001"/>
        </w:numPr>
      </w:pPr>
      <w:r>
        <w:rPr>
          <w:i/>
          <w:iCs/>
        </w:rPr>
        <w:t xml:space="preserve">Paper insulation aging</w:t>
      </w:r>
      <w:r>
        <w:t xml:space="preserve">: cellulose paper insulation degrades over service life through hydrolytic, oxidative, and thermal pathways. The standard metric is degree of polymerization (DP), which decreases from approximately 1000 in new kraft paper to functional end-of-life at DP &lt; 200. Aged paper loses mechanical strength, fragments under mechanical stress (vibration, through-fault forces), and exposes conductor surfaces to direct oil-gap insulation that may be inadequate to standing voltage stress. Paper aging is the principal driver of nominal transformer service life (typically specified at 30 years in service planning).</w:t>
      </w:r>
    </w:p>
    <w:p>
      <w:pPr>
        <w:pStyle w:val="Compact"/>
        <w:numPr>
          <w:ilvl w:val="0"/>
          <w:numId w:val="1001"/>
        </w:numPr>
      </w:pPr>
      <w:r>
        <w:rPr>
          <w:i/>
          <w:iCs/>
        </w:rPr>
        <w:t xml:space="preserve">Through-fault mechanical winding damage</w:t>
      </w:r>
      <w:r>
        <w:t xml:space="preserve">: external faults drive short-circuit currents through transformer windings; the resulting electromagnetic forces scale as I². A close-in three-phase fault on a 60 MVA transformer can produce winding forces measured in tons. Repeated through-fault events progressively deform winding geometry, displace clamping structures, and reduce inter-turn clearance. The cumulative mechanical damage may not be evident on routine testing but precipitates eventual dielectric breakdown.</w:t>
      </w:r>
    </w:p>
    <w:p>
      <w:pPr>
        <w:pStyle w:val="Compact"/>
        <w:numPr>
          <w:ilvl w:val="0"/>
          <w:numId w:val="1001"/>
        </w:numPr>
      </w:pPr>
      <w:r>
        <w:rPr>
          <w:i/>
          <w:iCs/>
        </w:rPr>
        <w:t xml:space="preserve">Bushing failure</w:t>
      </w:r>
      <w:r>
        <w:t xml:space="preserve">: bushings are the boundary between high-voltage external conductors and internal winding terminations, traversing the tank wall through oil-impregnated paper or oil-impregnated synthetic insulation. Bushing failures from moisture ingress, partial discharge, or mechanical damage produce fault currents that originate at the tank boundary — particularly damaging because the fault location is geometrically near the tank wall, reducing dielectric clearance under the fault transient.</w:t>
      </w:r>
    </w:p>
    <w:p>
      <w:pPr>
        <w:pStyle w:val="Compact"/>
        <w:numPr>
          <w:ilvl w:val="0"/>
          <w:numId w:val="1001"/>
        </w:numPr>
      </w:pPr>
      <w:r>
        <w:rPr>
          <w:i/>
          <w:iCs/>
        </w:rPr>
        <w:t xml:space="preserve">Lightning and switching surges exceeding BIL</w:t>
      </w:r>
      <w:r>
        <w:t xml:space="preserve">: basic insulation level (BIL) ratings define the impulse withstand voltage for which the transformer is designed. Direct lightning strikes to overhead lines, restrike events on circuit breakers, and switching transients on capacitor banks can produce overvoltages that exceed BIL despite arrester coordination. BIL exceedance damages insulation at the point of stress concentration, often without immediate failure, leaving a latent fault that develops into arc breakdown over subsequent operating cycles.</w:t>
      </w:r>
    </w:p>
    <w:p>
      <w:pPr>
        <w:pStyle w:val="Compact"/>
        <w:numPr>
          <w:ilvl w:val="0"/>
          <w:numId w:val="1001"/>
        </w:numPr>
      </w:pPr>
      <w:r>
        <w:rPr>
          <w:i/>
          <w:iCs/>
        </w:rPr>
        <w:t xml:space="preserve">Partial discharge tracking and treeing</w:t>
      </w:r>
      <w:r>
        <w:t xml:space="preserve">: internal voids in solid insulation, contaminant particles, or moisture-induced conductivity paths produce localized partial discharge below the bulk dielectric strength threshold. Partial discharge progressively erodes insulation along the discharge path;</w:t>
      </w:r>
      <w:r>
        <w:t xml:space="preserve"> </w:t>
      </w:r>
      <w:r>
        <w:t xml:space="preserve">“electrical trees”</w:t>
      </w:r>
      <w:r>
        <w:t xml:space="preserve"> </w:t>
      </w:r>
      <w:r>
        <w:t xml:space="preserve">(branching dielectric breakdown channels) develop over months to years until a tree bridges sufficient distance to support a flashover.</w:t>
      </w:r>
    </w:p>
    <w:p>
      <w:pPr>
        <w:pStyle w:val="FirstParagraph"/>
      </w:pPr>
      <w:r>
        <w:t xml:space="preserve">A common misconception treats contamination</w:t>
      </w:r>
      <w:r>
        <w:t xml:space="preserve"> </w:t>
      </w:r>
      <w:r>
        <w:t xml:space="preserve">“touching the shell from inside”</w:t>
      </w:r>
      <w:r>
        <w:t xml:space="preserve"> </w:t>
      </w:r>
      <w:r>
        <w:t xml:space="preserve">as a distinct failure category — typically conceived as a metallic particle bridging conductor and tank, or sludge accumulation contacting energized parts. This is not a separate mechanism; it is a subset of dielectric breakdown driven by reduced effective clearance. Conductive particles (metallic wear products, carbon from prior fault), cellulose fibers (paper degradation products), oxidative sludge (oil aging products), and dissolved or free water (moisture ingress) all reduce the effective dielectric strength of the oil gap below the standing voltage stress, producing flashover. The remedy — vacuum oil processing, particulate filtration, moisture control, periodic oil replacement — addresses dielectric breakdown generally; it does not require a separate</w:t>
      </w:r>
      <w:r>
        <w:t xml:space="preserve"> </w:t>
      </w:r>
      <w:r>
        <w:t xml:space="preserve">“shell contact”</w:t>
      </w:r>
      <w:r>
        <w:t xml:space="preserve"> </w:t>
      </w:r>
      <w:r>
        <w:t xml:space="preserve">diagnostic category.</w:t>
      </w:r>
    </w:p>
    <w:p>
      <w:pPr>
        <w:pStyle w:val="BodyText"/>
      </w:pPr>
      <w:r>
        <w:t xml:space="preserve">The aggregate failure picture: a properly maintained mineral-oil transformer experiences internal arc fault at low annualized rates (transmission units typically 0.1–0.5% per year, distribution units higher in stressed environments), but the consequence of fault is severe and the failure mode is fast enough to outpace passive protection. The protection-engineering response is layered detection and rapid clearing; the dielectric-chemistry response is replacing the flammable working fluid with one that does not propagate fire under fault conditions. Both responses are necessary; neither is sufficient alone.</w:t>
      </w:r>
    </w:p>
    <w:p>
      <w:r>
        <w:pict>
          <v:rect style="width:0;height:1.5pt" o:hralign="center" o:hrstd="t" o:hr="t"/>
        </w:pict>
      </w:r>
    </w:p>
    <w:bookmarkEnd w:id="10"/>
    <w:bookmarkStart w:id="11" w:name="X1805abcdcb34e82fdacf32b03385e56e6f81c0b"/>
    <w:p>
      <w:pPr>
        <w:pStyle w:val="Heading2"/>
      </w:pPr>
      <w:r>
        <w:t xml:space="preserve">Section 2 — The hidden problem: mineral oil’s environmental and toxicological burden</w:t>
      </w:r>
    </w:p>
    <w:p>
      <w:pPr>
        <w:pStyle w:val="FirstParagraph"/>
      </w:pPr>
      <w:r>
        <w:t xml:space="preserve">The fire-safety case for ester is the visible argument. The environmental and toxicological case is the hidden argument, and substantial in its own right.</w:t>
      </w:r>
    </w:p>
    <w:p>
      <w:pPr>
        <w:pStyle w:val="BodyText"/>
      </w:pPr>
      <w:r>
        <w:t xml:space="preserve">Mineral transformer oil is a complex hydrocarbon mixture, typically a refined naphthenic or paraffinic petroleum distillate with an additive package (antioxidants, metal passivators, pour-point depressants). The base stock is not biodegradable on practical timescales: OECD 301B 28-day biodegradation testing places mineral transformer oil at &lt;30% degradation, against the &gt;60% threshold for</w:t>
      </w:r>
      <w:r>
        <w:t xml:space="preserve"> </w:t>
      </w:r>
      <w:r>
        <w:t xml:space="preserve">“readily biodegradable”</w:t>
      </w:r>
      <w:r>
        <w:t xml:space="preserve"> </w:t>
      </w:r>
      <w:r>
        <w:t xml:space="preserve">classification. Soil contamination from spilled mineral oil persists for decades; groundwater plumes from leaking distribution transformers in agricultural and rural deployments contaminate drinking-water aquifers and require multi-year remediation. Every oil-filled installation requires bunded foundations sized to contain at least 110% of the unit’s oil inventory, oil-water separators on stormwater drainage, and end-of-life disposal documentation. The infrastructure cost of oil management is institutional, not just per-unit.</w:t>
      </w:r>
    </w:p>
    <w:p>
      <w:pPr>
        <w:pStyle w:val="BodyText"/>
      </w:pPr>
      <w:r>
        <w:t xml:space="preserve">The PCB legacy compounds the regulatory burden. From the 1930s through the 1970s, polychlorinated biphenyls (commercially: Askarels, Pyranol, Aroclor) were the preferred dielectric for indoor and high-fire-risk transformers, valued for their non-flammability and high dielectric strength. PCBs are persistent organic pollutants, bioaccumulative, carcinogenic, and endocrine-disrupting. The Stockholm Convention banned PCBs globally in 2001; remediation of PCB-contaminated transformer sites continues into the 2020s and will continue for decades. Modern mineral oil is PCB-free, but the regulatory and liability infrastructure built around dielectric-fluid management — Resource Conservation and Recovery Act (RCRA) classifications in the US, EU directives on hazardous waste, mandatory analytical testing of every drained-oil shipment — was built for the PCB problem and persists. A mineral-oil installation today carries the cost overhead of that regulatory infrastructure.</w:t>
      </w:r>
    </w:p>
    <w:p>
      <w:pPr>
        <w:pStyle w:val="BodyText"/>
      </w:pPr>
      <w:r>
        <w:t xml:space="preserve">Theft is a third, less-discussed liability. Distribution transformers in sub-Saharan Africa, South Asia, and parts of Latin America are routinely drained of mineral oil by local actors who resell the fluid as motor oil, diesel adulterant, or generic lubricant. The theft destroys the transformer (winding insulation fails within hours of oil loss under load), produces extended outages in already-fragile rural grids, and contaminates the downstream uses — engines burning adulterated fuel, lubricated machinery exposed to dielectric breakdown additives, food contamination from oil that finds its way into informal cooking-fuel markets. The theft economics work because mineral oil is fungible with petroleum products generally; it looks and behaves like other petroleum liquids in the local informal economy.</w:t>
      </w:r>
    </w:p>
    <w:p>
      <w:pPr>
        <w:pStyle w:val="BodyText"/>
      </w:pPr>
      <w:r>
        <w:t xml:space="preserve">Treating</w:t>
      </w:r>
      <w:r>
        <w:t xml:space="preserve"> </w:t>
      </w:r>
      <w:r>
        <w:t xml:space="preserve">“continue with mineral oil”</w:t>
      </w:r>
      <w:r>
        <w:t xml:space="preserve"> </w:t>
      </w:r>
      <w:r>
        <w:t xml:space="preserve">as the cost-free default ignores three persistent costs: bunded foundations and oil-management infrastructure at every installation; regulatory and disposal overhead inherited from the PCB era; and an exposure to theft-driven destruction in any deployment region where mineral oil is fungible with motor fuel. The ester case must be evaluated against the true mineral-oil baseline, not the visible per-liter price.</w:t>
      </w:r>
    </w:p>
    <w:p>
      <w:r>
        <w:pict>
          <v:rect style="width:0;height:1.5pt" o:hralign="center" o:hrstd="t" o:hr="t"/>
        </w:pict>
      </w:r>
    </w:p>
    <w:bookmarkEnd w:id="11"/>
    <w:bookmarkStart w:id="20" w:name="X82dc3bc6567ed71ee54c6245f34a10714236272"/>
    <w:p>
      <w:pPr>
        <w:pStyle w:val="Heading2"/>
      </w:pPr>
      <w:r>
        <w:t xml:space="preserve">Section 3 — Survey of dielectric alternatives</w:t>
      </w:r>
    </w:p>
    <w:p>
      <w:pPr>
        <w:pStyle w:val="FirstParagraph"/>
      </w:pPr>
      <w:r>
        <w:t xml:space="preserve">Each dielectric option is presented with its real strengths and limitations. The architectural decision in Section 5 follows from the comparison; the survey establishes that the decision is informed.</w:t>
      </w:r>
    </w:p>
    <w:bookmarkStart w:id="12" w:name="mineral-oil"/>
    <w:p>
      <w:pPr>
        <w:pStyle w:val="Heading3"/>
      </w:pPr>
      <w:r>
        <w:t xml:space="preserve">Mineral oil</w:t>
      </w:r>
    </w:p>
    <w:p>
      <w:pPr>
        <w:pStyle w:val="FirstParagraph"/>
      </w:pPr>
      <w:r>
        <w:t xml:space="preserve">Incumbent technology, cheapest available dielectric at $1–2/L / $4–8/gal in commodity quantities. 130-year service record dating to the original Stanley transformers of the 1880s. Well-understood thermal, dielectric, and aging behavior; mature analytical standards (IEC 60296, ASTM D3487); deep installed base of refurbishment, filtration, and processing infrastructure. Best low-temperature performance of liquid options: pour points of –40°C to –60°C / –40°F to –76°F depending on naphthenic content and additive package, enabling deployment in unheated outdoor service across the full populated cold envelope. Flash point ≥145°C / 293°F (Class O per IEC 61936), fire point ≥160°C / 320°F. Liabilities as enumerated in Sections 1 and 2: catastrophic fire failure mode, environmental persistence, theft vulnerability, PCB-era regulatory legacy.</w:t>
      </w:r>
    </w:p>
    <w:bookmarkEnd w:id="12"/>
    <w:bookmarkStart w:id="13" w:name="Xab7cebe4b37a6ecb692e8ad57001cc6c53d27f5"/>
    <w:p>
      <w:pPr>
        <w:pStyle w:val="Heading3"/>
      </w:pPr>
      <w:r>
        <w:t xml:space="preserve">Natural ester (FR3, MIDEL eN, BIOTEMP, equivalents)</w:t>
      </w:r>
    </w:p>
    <w:p>
      <w:pPr>
        <w:pStyle w:val="FirstParagraph"/>
      </w:pPr>
      <w:r>
        <w:t xml:space="preserve">Triglyceride-based dielectric refined from high-oleic vegetable oil. Typical fatty acid profile: &gt;75% oleic (C18:1), &lt;8% linoleic (C18:2), &lt;3% linolenic (C18:3) — the high oleic and low polyunsaturated content is essential for oxidative stability. Major commercial products: Cargill FR3 (high-oleic soybean), MIDEL eN 1215 (soybean) and MIDEL eN 1204 (rapeseed), ABB BIOTEMP (high-oleic sunflower or soybean blend). Specifications: IEC 62770, IEEE C57.147, ASTM D6871.</w:t>
      </w:r>
    </w:p>
    <w:p>
      <w:pPr>
        <w:pStyle w:val="BodyText"/>
      </w:pPr>
      <w:r>
        <w:t xml:space="preserve">Key parameters:</w:t>
      </w:r>
    </w:p>
    <w:p>
      <w:pPr>
        <w:pStyle w:val="Compact"/>
        <w:numPr>
          <w:ilvl w:val="0"/>
          <w:numId w:val="1002"/>
        </w:numPr>
      </w:pPr>
      <w:r>
        <w:t xml:space="preserve">Flash point 330°C / 626°F, fire point 360°C / 680°F (Class K per IEC 61936, F-class fire rating per FM Approvals 3990).</w:t>
      </w:r>
    </w:p>
    <w:p>
      <w:pPr>
        <w:pStyle w:val="Compact"/>
        <w:numPr>
          <w:ilvl w:val="0"/>
          <w:numId w:val="1002"/>
        </w:numPr>
      </w:pPr>
      <w:r>
        <w:t xml:space="preserve">Biodegradability &gt;95% in 28 days per OECD 301B; classified</w:t>
      </w:r>
      <w:r>
        <w:t xml:space="preserve"> </w:t>
      </w:r>
      <w:r>
        <w:t xml:space="preserve">“readily biodegradable”</w:t>
      </w:r>
      <w:r>
        <w:t xml:space="preserve"> </w:t>
      </w:r>
      <w:r>
        <w:t xml:space="preserve">and non-toxic to aquatic organisms.</w:t>
      </w:r>
    </w:p>
    <w:p>
      <w:pPr>
        <w:pStyle w:val="Compact"/>
        <w:numPr>
          <w:ilvl w:val="0"/>
          <w:numId w:val="1002"/>
        </w:numPr>
      </w:pPr>
      <w:r>
        <w:t xml:space="preserve">Cost 3–4× mineral oil: $4–6/L / $15–23/gal in commodity quantities, with regional variation tracking edible-oil commodity markets.</w:t>
      </w:r>
    </w:p>
    <w:p>
      <w:pPr>
        <w:pStyle w:val="Compact"/>
        <w:numPr>
          <w:ilvl w:val="0"/>
          <w:numId w:val="1002"/>
        </w:numPr>
      </w:pPr>
      <w:r>
        <w:t xml:space="preserve">Viscosity 30–35 cSt at 40°C / 104°F (vs 9–12 cSt for mineral oil) — slower convective cooling requires larger radiator surface area or lower thermal flux density for equivalent rating. The 12 Hz architecture’s geometric consequence of larger core/tank/radiator structure (Section 7) accommodates this naturally.</w:t>
      </w:r>
    </w:p>
    <w:p>
      <w:pPr>
        <w:pStyle w:val="Compact"/>
        <w:numPr>
          <w:ilvl w:val="0"/>
          <w:numId w:val="1002"/>
        </w:numPr>
      </w:pPr>
      <w:r>
        <w:t xml:space="preserve">Hygroscopic: water dissolves into the ester rather than coalescing as free water. The behavior is initially counterintuitive but operationally beneficial: dissolved water is less damaging to insulation than free water, and the ester’s water-binding chemistry slows paper hydrolysis. Saturation moisture content ~1100 ppm at 25°C / 77°F (vs ~55 ppm for mineral oil at the same temperature).</w:t>
      </w:r>
    </w:p>
    <w:p>
      <w:pPr>
        <w:pStyle w:val="Compact"/>
        <w:numPr>
          <w:ilvl w:val="0"/>
          <w:numId w:val="1002"/>
        </w:numPr>
      </w:pPr>
      <w:r>
        <w:t xml:space="preserve">Pour point depends on feedstock: soybean-based products (FR3, MIDEL eN 1215, BIOTEMP) at –18°C to –21°C / 0°F to –6°F; rapeseed-based products (MIDEL eN 1204) at –31°C / –24°F.</w:t>
      </w:r>
    </w:p>
    <w:p>
      <w:pPr>
        <w:pStyle w:val="FirstParagraph"/>
      </w:pPr>
      <w:r>
        <w:t xml:space="preserve">The pour point limitation is addressed in Section 10 through integrated cold-climate engineering rather than dielectric-chemistry substitution.</w:t>
      </w:r>
    </w:p>
    <w:bookmarkEnd w:id="13"/>
    <w:bookmarkStart w:id="14" w:name="X0964e43076ba93575c359e777172275a61c8b9d"/>
    <w:p>
      <w:pPr>
        <w:pStyle w:val="Heading3"/>
      </w:pPr>
      <w:r>
        <w:t xml:space="preserve">Synthetic ester (MIDEL 7131, TRANSOL Synth.100, equivalents) — considered and rejected</w:t>
      </w:r>
    </w:p>
    <w:p>
      <w:pPr>
        <w:pStyle w:val="FirstParagraph"/>
      </w:pPr>
      <w:r>
        <w:t xml:space="preserve">Pentaerythritol-based polyol ester. Manufacturing chain: formaldehyde + acetaldehyde aldol condensation → pentaerythritol → esterification with C5–C10 fatty acids (typically a mixed feed for property tuning). Specification: IEC 61099.</w:t>
      </w:r>
    </w:p>
    <w:p>
      <w:pPr>
        <w:pStyle w:val="BodyText"/>
      </w:pPr>
      <w:r>
        <w:t xml:space="preserve">Key parameters:</w:t>
      </w:r>
    </w:p>
    <w:p>
      <w:pPr>
        <w:pStyle w:val="Compact"/>
        <w:numPr>
          <w:ilvl w:val="0"/>
          <w:numId w:val="1003"/>
        </w:numPr>
      </w:pPr>
      <w:r>
        <w:t xml:space="preserve">Flash point 260°C / 500°F, fire point 316°C / 601°F (Class K).</w:t>
      </w:r>
    </w:p>
    <w:p>
      <w:pPr>
        <w:pStyle w:val="Compact"/>
        <w:numPr>
          <w:ilvl w:val="0"/>
          <w:numId w:val="1003"/>
        </w:numPr>
      </w:pPr>
      <w:r>
        <w:t xml:space="preserve">Biodegradability 89% in 28 days per OECD 301B; classified</w:t>
      </w:r>
      <w:r>
        <w:t xml:space="preserve"> </w:t>
      </w:r>
      <w:r>
        <w:t xml:space="preserve">“readily biodegradable”</w:t>
      </w:r>
      <w:r>
        <w:t xml:space="preserve"> </w:t>
      </w:r>
      <w:r>
        <w:t xml:space="preserve">though somewhat lower than natural ester.</w:t>
      </w:r>
    </w:p>
    <w:p>
      <w:pPr>
        <w:pStyle w:val="Compact"/>
        <w:numPr>
          <w:ilvl w:val="0"/>
          <w:numId w:val="1003"/>
        </w:numPr>
      </w:pPr>
      <w:r>
        <w:t xml:space="preserve">Cost 5–7× mineral oil: $7–14/L / $26–53/gal.</w:t>
      </w:r>
    </w:p>
    <w:p>
      <w:pPr>
        <w:pStyle w:val="Compact"/>
        <w:numPr>
          <w:ilvl w:val="0"/>
          <w:numId w:val="1003"/>
        </w:numPr>
      </w:pPr>
      <w:r>
        <w:t xml:space="preserve">Viscosity 28–30 cSt at 40°C / 104°F — comparable to natural ester.</w:t>
      </w:r>
    </w:p>
    <w:p>
      <w:pPr>
        <w:pStyle w:val="Compact"/>
        <w:numPr>
          <w:ilvl w:val="0"/>
          <w:numId w:val="1003"/>
        </w:numPr>
      </w:pPr>
      <w:r>
        <w:t xml:space="preserve">Pour point –50°C to –57°C / –58°F to –71°F (MIDEL 7131 at –50°C / –58°F; TRANSOL Synth.100 at –57°C / –71°F).</w:t>
      </w:r>
    </w:p>
    <w:p>
      <w:pPr>
        <w:pStyle w:val="Compact"/>
        <w:numPr>
          <w:ilvl w:val="0"/>
          <w:numId w:val="1003"/>
        </w:numPr>
      </w:pPr>
      <w:r>
        <w:t xml:space="preserve">Hygroscopic, with saturation moisture content ~2700 ppm at 25°C / 77°F — even higher than natural ester.</w:t>
      </w:r>
    </w:p>
    <w:p>
      <w:pPr>
        <w:pStyle w:val="FirstParagraph"/>
      </w:pPr>
      <w:r>
        <w:t xml:space="preserve">Synthetic ester matches mineral oil’s cold-weather performance with full ester-class fire safety and biodegradability. On those dimensions, it is a genuinely attractive option.</w:t>
      </w:r>
    </w:p>
    <w:p>
      <w:pPr>
        <w:pStyle w:val="BodyText"/>
      </w:pPr>
      <w:r>
        <w:t xml:space="preserve">The architectural case against synthetic ester rests on supply-chain dependency and architectural redundancy. Pentaerythritol manufacture requires functioning industrial chemistry: methanol oxidation over silver or iron-molybdenum catalysts to formaldehyde, ethylene-oxidation Wacker process or ethanol dehydrogenation for acetaldehyde, base-catalyzed aldol condensation, esterification with petroleum-derived fatty acid distillates. Synthetic ester is not field-buildable in an agricultural economy; its supply chain is roughly comparable in fragility to mineral oil, distinct in kind from natural ester’s agricultural feedstock.</w:t>
      </w:r>
    </w:p>
    <w:p>
      <w:pPr>
        <w:pStyle w:val="BodyText"/>
      </w:pPr>
      <w:r>
        <w:t xml:space="preserve">The architectural redundancy argument is the decisive one. Synthetic ester would only be specified to address an operating envelope where natural ester is functionally disqualified — that is, deep cold below the natural ester pour point. Section 10 develops the engineering stack (insulated cabinets, external-spiral propane heating, graduated cold-start protocol) that resolves the cold-climate problem with rapeseed-based natural ester and the ABB BIOTEMP cold-soak result as the underlying physics. With that stack in place, synthetic ester becomes a redundant dielectric option that introduces a second supply chain, a second analytical lab profile, a second technician training program, and a second procurement specification — for no operational benefit the architecture cannot deliver from natural ester. Synthetic ester is therefore excluded from the architecture’s standard specification. It remains noted here as a survey entry; it would be appropriate for installations that genuinely cannot deploy the cold-climate engineering stack and require a single-fluid solution to deep-cold service.</w:t>
      </w:r>
    </w:p>
    <w:bookmarkEnd w:id="14"/>
    <w:bookmarkStart w:id="15" w:name="sf6-sulfur-hexafluoride"/>
    <w:p>
      <w:pPr>
        <w:pStyle w:val="Heading3"/>
      </w:pPr>
      <w:r>
        <w:t xml:space="preserve">SF6 (sulfur hexafluoride)</w:t>
      </w:r>
    </w:p>
    <w:p>
      <w:pPr>
        <w:pStyle w:val="FirstParagraph"/>
      </w:pPr>
      <w:r>
        <w:t xml:space="preserve">Gaseous dielectric used in gas-insulated switchgear (GIS), gas-insulated transformers (GIT), and high-voltage circuit breakers. Excellent dielectric strength (~3× air at atmospheric pressure, ~6× air at typical operating pressure of 0.4 MPa / 58 psi), excellent arc-quench properties (electronegative gas captures free electrons, accelerates arc extinction at current zero), non-flammable, chemically inert at room temperature.</w:t>
      </w:r>
    </w:p>
    <w:p>
      <w:pPr>
        <w:pStyle w:val="BodyText"/>
      </w:pPr>
      <w:r>
        <w:t xml:space="preserve">Liabilities are severe and multiplying:</w:t>
      </w:r>
    </w:p>
    <w:p>
      <w:pPr>
        <w:pStyle w:val="Compact"/>
        <w:numPr>
          <w:ilvl w:val="0"/>
          <w:numId w:val="1004"/>
        </w:numPr>
      </w:pPr>
      <w:r>
        <w:t xml:space="preserve">Global warming potential of 23,500 (CO2-normalized) over a 100-year horizon, with atmospheric lifetime of ~3,200 years. (The CO2 reference is conventional because CO2 is the dominant anthropogenic greenhouse gas by mass; GWP expresses the radiative forcing of a kilogram of the gas relative to a kilogram of CO2 integrated over a fixed time horizon.) SF6 emissions from electrical infrastructure are the largest single anthropogenic contributor to atmospheric SF6.</w:t>
      </w:r>
    </w:p>
    <w:p>
      <w:pPr>
        <w:pStyle w:val="Compact"/>
        <w:numPr>
          <w:ilvl w:val="0"/>
          <w:numId w:val="1004"/>
        </w:numPr>
      </w:pPr>
      <w:r>
        <w:t xml:space="preserve">Pure SF6 is inert and asphyxiates only by oxygen displacement (air density 5× normal air, settles in low spaces and confined enclosures). Arc-decomposition products are severely toxic: SF4 and SOF2 hydrolyze to HF on contact with moisture; SO2F2 is a potent inhalation toxin; S2F10 has acute toxicity comparable to phosgene (LC50 in animal models ~5 ppm for 1-hour exposure). HF specifically attacks bone calcium and produces deep tissue penetration, with lethal exposures from skin contact possible at concentrations not initially perceived as severe.</w:t>
      </w:r>
    </w:p>
    <w:p>
      <w:pPr>
        <w:pStyle w:val="Compact"/>
        <w:numPr>
          <w:ilvl w:val="0"/>
          <w:numId w:val="1004"/>
        </w:numPr>
      </w:pPr>
      <w:r>
        <w:t xml:space="preserve">Regulatory phase-out is in progress: EU F-gas regulation bans SF6 in new switchgear ≤24 kV from 2026 and ≤52 kV from 2030; California, Massachusetts, and Washington state have aligned schedules; Japan and Korea are tightening restrictions.</w:t>
      </w:r>
    </w:p>
    <w:p>
      <w:pPr>
        <w:pStyle w:val="Compact"/>
        <w:numPr>
          <w:ilvl w:val="0"/>
          <w:numId w:val="1004"/>
        </w:numPr>
      </w:pPr>
      <w:r>
        <w:t xml:space="preserve">Manufacturing dependency chain: fluorspar (CaF2) mining (China supplies ~60% of global production) → hydrogen fluoride production → fluorine gas via electrolysis (specialized cells, anhydrous HF feedstock, requires nickel-alloy electrodes and Monel containment) → SF6 synthesis from elemental sulfur and fluorine → cryogenic purification to remove higher fluorides. Every step requires corrosion-resistant alloys (Monel, Inconel) and specialized infrastructure.</w:t>
      </w:r>
    </w:p>
    <w:p>
      <w:pPr>
        <w:pStyle w:val="FirstParagraph"/>
      </w:pPr>
      <w:r>
        <w:t xml:space="preserve">SF6 is more supply-chain-fragile than semiconductors. The fluorine chemistry chain has no agricultural fallback and no commodity substitute. SF6 is not a viable dielectric for a degraded-infrastructure or self-sufficient grid architecture.</w:t>
      </w:r>
    </w:p>
    <w:bookmarkEnd w:id="15"/>
    <w:bookmarkStart w:id="16" w:name="cast-resin-epoxy-dry-type-transformers"/>
    <w:p>
      <w:pPr>
        <w:pStyle w:val="Heading3"/>
      </w:pPr>
      <w:r>
        <w:t xml:space="preserve">Cast resin (epoxy) dry-type transformers</w:t>
      </w:r>
    </w:p>
    <w:p>
      <w:pPr>
        <w:pStyle w:val="FirstParagraph"/>
      </w:pPr>
      <w:r>
        <w:t xml:space="preserve">Dry-type transformers use solid insulation (cast epoxy, varnish-impregnated paper, or resin-impregnated fiber) with air or forced-air cooling. Cast resin specifically uses bisphenol-A or bisphenol-F epoxy vacuum-cast around the windings, encapsulating the conductor in a void-free resin block.</w:t>
      </w:r>
    </w:p>
    <w:p>
      <w:pPr>
        <w:pStyle w:val="BodyText"/>
      </w:pPr>
      <w:r>
        <w:t xml:space="preserve">Strengths:</w:t>
      </w:r>
    </w:p>
    <w:p>
      <w:pPr>
        <w:pStyle w:val="Compact"/>
        <w:numPr>
          <w:ilvl w:val="0"/>
          <w:numId w:val="1005"/>
        </w:numPr>
      </w:pPr>
      <w:r>
        <w:t xml:space="preserve">Class F1 fire rating (self-extinguishing per IEC 60076-11), no flammable liquid, no oil management infrastructure.</w:t>
      </w:r>
    </w:p>
    <w:p>
      <w:pPr>
        <w:pStyle w:val="Compact"/>
        <w:numPr>
          <w:ilvl w:val="0"/>
          <w:numId w:val="1005"/>
        </w:numPr>
      </w:pPr>
      <w:r>
        <w:t xml:space="preserve">Eliminates fire-rated vault requirements for indoor and urban installations; can be installed in occupied buildings with minimal additional fire engineering.</w:t>
      </w:r>
    </w:p>
    <w:p>
      <w:pPr>
        <w:pStyle w:val="Compact"/>
        <w:numPr>
          <w:ilvl w:val="0"/>
          <w:numId w:val="1005"/>
        </w:numPr>
      </w:pPr>
      <w:r>
        <w:t xml:space="preserve">Theft-resistant: copper conductor is bonded inside the resin block, with no fluid to drain.</w:t>
      </w:r>
    </w:p>
    <w:p>
      <w:pPr>
        <w:pStyle w:val="Compact"/>
        <w:numPr>
          <w:ilvl w:val="0"/>
          <w:numId w:val="1005"/>
        </w:numPr>
      </w:pPr>
      <w:r>
        <w:t xml:space="preserve">30–40 year service life; resin formulation has matured since the 1970s.</w:t>
      </w:r>
    </w:p>
    <w:p>
      <w:pPr>
        <w:pStyle w:val="FirstParagraph"/>
      </w:pPr>
      <w:r>
        <w:t xml:space="preserve">Limitations:</w:t>
      </w:r>
    </w:p>
    <w:p>
      <w:pPr>
        <w:pStyle w:val="Compact"/>
        <w:numPr>
          <w:ilvl w:val="0"/>
          <w:numId w:val="1006"/>
        </w:numPr>
      </w:pPr>
      <w:r>
        <w:t xml:space="preserve">Voltage ceiling 36 kV (some manufacturers offer 52 kV with reduced rating); above this, cast resin’s dielectric-stress envelope and partial-discharge behavior become unfavorable against oil-immersed designs.</w:t>
      </w:r>
    </w:p>
    <w:p>
      <w:pPr>
        <w:pStyle w:val="Compact"/>
        <w:numPr>
          <w:ilvl w:val="0"/>
          <w:numId w:val="1006"/>
        </w:numPr>
      </w:pPr>
      <w:r>
        <w:t xml:space="preserve">Power ceiling 25–30 MVA practical, with 40 MVA achievable in specialized units; cooling is air-limited, not winding-limited, and the air-cooling regime imposes a fundamental constraint at high MVA.</w:t>
      </w:r>
    </w:p>
    <w:p>
      <w:pPr>
        <w:pStyle w:val="Compact"/>
        <w:numPr>
          <w:ilvl w:val="0"/>
          <w:numId w:val="1006"/>
        </w:numPr>
      </w:pPr>
      <w:r>
        <w:t xml:space="preserve">Capital cost 1.5–2.5× equivalent oil-immersed unit.</w:t>
      </w:r>
    </w:p>
    <w:p>
      <w:pPr>
        <w:pStyle w:val="Compact"/>
        <w:numPr>
          <w:ilvl w:val="0"/>
          <w:numId w:val="1006"/>
        </w:numPr>
      </w:pPr>
      <w:r>
        <w:t xml:space="preserve">Manufacturing infrastructure requirement: vacuum casting under &lt;1 mbar / &lt;0.015 psi to eliminate voids in the resin matrix. Voids cause partial discharge under operating voltage stress and progressive electrical treeing; a unit with even small void content fails within months. Vacuum casting requires heated mixing equipment, vacuum chambers sized to the largest unit, and post-cure quality control via partial discharge testing. The infrastructure is mid-industrial, not field-buildable.</w:t>
      </w:r>
    </w:p>
    <w:p>
      <w:pPr>
        <w:pStyle w:val="Compact"/>
        <w:numPr>
          <w:ilvl w:val="0"/>
          <w:numId w:val="1006"/>
        </w:numPr>
      </w:pPr>
      <w:r>
        <w:rPr>
          <w:b/>
          <w:bCs/>
        </w:rPr>
        <w:t xml:space="preserve">Repair-by-replacement only</w:t>
      </w:r>
      <w:r>
        <w:t xml:space="preserve">: no field rewinding, no insulation refurbishment, no internal access without destruction of the unit. This is a categorical resilience disadvantage. A cast-resin unit damaged by hostile action, lightning, or major fault is a total loss with new-unit lead time (6–18 months); an oil-immersed unit damaged equivalently can be rewound, refilled, and recommissioned in 1 day to 10 weeks depending on damage extent (Section 5 quantifies the recovery-time spectrum). The repair asymmetry alone is sufficient to disqualify cast resin from the architecture’s universal specification.</w:t>
      </w:r>
    </w:p>
    <w:p>
      <w:pPr>
        <w:pStyle w:val="Compact"/>
        <w:numPr>
          <w:ilvl w:val="0"/>
          <w:numId w:val="1006"/>
        </w:numPr>
      </w:pPr>
      <w:r>
        <w:t xml:space="preserve">Surface degrades under UV exposure without shading; resin chalks, cracks, and loses dielectric integrity at the surface over years of direct sunlight.</w:t>
      </w:r>
    </w:p>
    <w:p>
      <w:pPr>
        <w:pStyle w:val="Compact"/>
        <w:numPr>
          <w:ilvl w:val="0"/>
          <w:numId w:val="1006"/>
        </w:numPr>
      </w:pPr>
      <w:r>
        <w:t xml:space="preserve">Hygroscopic surface tracking in tropical humidity without proper formulation: condensation on the resin surface combined with airborne pollutants (salt, dust, biological residue) produces tracking paths that progressively erode the surface and reduce withstand voltage. Specify IEC 60076-11 environmental class E2 (frequent condensation) and climatic class C2 (–25°C minimum operation) or appropriate equivalents for the deployment environment.</w:t>
      </w:r>
    </w:p>
    <w:p>
      <w:pPr>
        <w:pStyle w:val="FirstParagraph"/>
      </w:pPr>
      <w:r>
        <w:t xml:space="preserve">Cast resin is the right choice for indoor urban distribution where fire safety dominates and voltage/power class is within the cast-resin envelope. It is not a universal architecture and cannot serve transmission, generation step-up, or large industrial duty.</w:t>
      </w:r>
    </w:p>
    <w:bookmarkEnd w:id="16"/>
    <w:bookmarkStart w:id="17" w:name="vpi-dry-type"/>
    <w:p>
      <w:pPr>
        <w:pStyle w:val="Heading3"/>
      </w:pPr>
      <w:r>
        <w:t xml:space="preserve">VPI dry-type</w:t>
      </w:r>
    </w:p>
    <w:p>
      <w:pPr>
        <w:pStyle w:val="FirstParagraph"/>
      </w:pPr>
      <w:r>
        <w:t xml:space="preserve">Vacuum-pressure-impregnated dry-type transformers, with windings impregnated in solvent-based varnish or resin under vacuum then cured. A cheaper subset of dry-type technology, with lower voltage ceiling (typically ≤15 kV), lower power rating, and indoor-only deployment due to environmental sensitivity. Useful for low-voltage utility and industrial distribution; not relevant to transmission or generation.</w:t>
      </w:r>
    </w:p>
    <w:bookmarkEnd w:id="17"/>
    <w:bookmarkStart w:id="18" w:name="Xf734ab979fd76d2296e55b46e1a20fd28a6199d"/>
    <w:p>
      <w:pPr>
        <w:pStyle w:val="Heading3"/>
      </w:pPr>
      <w:r>
        <w:t xml:space="preserve">SF6-vacuum hybrids and gas-insulated alternatives</w:t>
      </w:r>
    </w:p>
    <w:p>
      <w:pPr>
        <w:pStyle w:val="FirstParagraph"/>
      </w:pPr>
      <w:r>
        <w:t xml:space="preserve">Alternative gases under development: g3 (3M Novec-based blend with reduced GWP), CF3I, hydrofluoroolefins. All retain some level of fluorine chemistry dependency and most retain toxicity concerns from arc decomposition. None has displaced SF6 in commercial deployment at scale; none addresses the supply chain fragility argument. Vacuum interrupters for circuit breakers are mature and SF6-free, but vacuum technology does not extend to bulk dielectric for transformer windings.</w:t>
      </w:r>
    </w:p>
    <w:bookmarkEnd w:id="18"/>
    <w:bookmarkStart w:id="19" w:name="X4a7ecb21e4843adae8c4cef6386c9a7a982ba3e"/>
    <w:p>
      <w:pPr>
        <w:pStyle w:val="Heading3"/>
      </w:pPr>
      <w:r>
        <w:t xml:space="preserve">Pour-point depressant additives — considered and rejected as architectural standard</w:t>
      </w:r>
    </w:p>
    <w:p>
      <w:pPr>
        <w:pStyle w:val="FirstParagraph"/>
      </w:pPr>
      <w:r>
        <w:t xml:space="preserve">Polymethacrylate (PMA) pour-point depressants are not a dielectric but an additive class; they are surveyed here because they are the conventional</w:t>
      </w:r>
      <w:r>
        <w:t xml:space="preserve"> </w:t>
      </w:r>
      <w:r>
        <w:t xml:space="preserve">“easy fix”</w:t>
      </w:r>
      <w:r>
        <w:t xml:space="preserve"> </w:t>
      </w:r>
      <w:r>
        <w:t xml:space="preserve">for the natural-ester pour-point limitation and require explicit treatment.</w:t>
      </w:r>
    </w:p>
    <w:p>
      <w:pPr>
        <w:pStyle w:val="BodyText"/>
      </w:pPr>
      <w:r>
        <w:t xml:space="preserve">PMA depressants (commercial examples: Evonik Viscoplex 10-171, Viscoplex 10-312, Lubrizol PMA additives) are polyalkyl methacrylate copolymers in a base oil carrier, blended into the finished dielectric at 0.1–0.5% by weight. The polymer interferes with wax crystallization at low temperatures, reducing the effective pour point of natural ester by approximately 10°C / 18°F in typical formulations — extending rapeseed-based ester’s effective operating envelope from –31°C / –24°F to roughly –40°C / –40°F. Cost adder is modest (0.3% loading at $10–20/kg / $4.5–9/lb depressant cost adds a few percent to finished fluid cost).</w:t>
      </w:r>
    </w:p>
    <w:p>
      <w:pPr>
        <w:pStyle w:val="BodyText"/>
      </w:pPr>
      <w:r>
        <w:t xml:space="preserve">The case for depressants is operational: small mass loading, simple to add at the refining stage, no change to dielectric or thermal properties, extends the natural-ester envelope without the supply-chain cost of synthetic ester chemistry.</w:t>
      </w:r>
    </w:p>
    <w:p>
      <w:pPr>
        <w:pStyle w:val="BodyText"/>
      </w:pPr>
      <w:r>
        <w:t xml:space="preserve">The case against depressants — the reason they are excluded from the architecture’s standard specification — is environmental, and rests on three observations:</w:t>
      </w:r>
    </w:p>
    <w:p>
      <w:pPr>
        <w:pStyle w:val="Compact"/>
        <w:numPr>
          <w:ilvl w:val="0"/>
          <w:numId w:val="1007"/>
        </w:numPr>
      </w:pPr>
      <w:r>
        <w:rPr>
          <w:i/>
          <w:iCs/>
        </w:rPr>
        <w:t xml:space="preserve">PMA polymers are not readily biodegradable as isolated substances</w:t>
      </w:r>
      <w:r>
        <w:t xml:space="preserve">. Independent OECD 301B testing of polymethacrylate copolymers without base-fluid carrier produces biodegradation percentages well below the 60% threshold for</w:t>
      </w:r>
      <w:r>
        <w:t xml:space="preserve"> </w:t>
      </w:r>
      <w:r>
        <w:t xml:space="preserve">“readily biodegradable”</w:t>
      </w:r>
      <w:r>
        <w:t xml:space="preserve"> </w:t>
      </w:r>
      <w:r>
        <w:t xml:space="preserve">classification. The chemical inertness and high molecular weight (typical degree of polymerization 200–2000) that make PMA effective as wax-crystal modifiers also slow microbial breakdown. The Petro-Canada biodegradable-fluids patent literature explicitly notes</w:t>
      </w:r>
      <w:r>
        <w:t xml:space="preserve"> </w:t>
      </w:r>
      <w:r>
        <w:t xml:space="preserve">“the polymer itself shows low levels of biodegradability.”</w:t>
      </w:r>
    </w:p>
    <w:p>
      <w:pPr>
        <w:pStyle w:val="Compact"/>
        <w:numPr>
          <w:ilvl w:val="0"/>
          <w:numId w:val="1007"/>
        </w:numPr>
      </w:pPr>
      <w:r>
        <w:rPr>
          <w:i/>
          <w:iCs/>
        </w:rPr>
        <w:t xml:space="preserve">Spent fluid containing PMA depressants compromises the land-application end-of-life path</w:t>
      </w:r>
      <w:r>
        <w:t xml:space="preserve">. Section 5 establishes that spent natural ester from non-fault transformers can be filtered and reused, burned as fuel oil substitute, or land-applied as soil amendment under appropriate permitting — a meaningful environmental advantage over mineral oil. Land application requires that the applied material biodegrade through normal soil pathways. PMA depressants do not biodegrade at the same rate as the triglyceride base; the depressant fraction persists, accumulates with repeated application, and contributes to microplastic-class soil and water contamination. PMMA microplastic toxicity to diatoms and marine mussels is documented in recent literature; the chemistry persists and is biologically active at sub-microparticle scale. The architectural environmental case for ester is significantly weakened in any installation where PMA depressants are present in the spent fluid stream.</w:t>
      </w:r>
    </w:p>
    <w:p>
      <w:pPr>
        <w:pStyle w:val="Compact"/>
        <w:numPr>
          <w:ilvl w:val="0"/>
          <w:numId w:val="1007"/>
        </w:numPr>
      </w:pPr>
      <w:r>
        <w:rPr>
          <w:i/>
          <w:iCs/>
        </w:rPr>
        <w:t xml:space="preserve">Synergistic biodegradation in the blended fluid does not resolve the underlying problem</w:t>
      </w:r>
      <w:r>
        <w:t xml:space="preserve">. Recent work on PMA-thickened biodegradable fluids (Petro-Canada, the 2024 ScienceDirect subpolar-transformer study using Viscoplex 10-series in vegetable ester) reports that the</w:t>
      </w:r>
      <w:r>
        <w:t xml:space="preserve"> </w:t>
      </w:r>
      <w:r>
        <w:rPr>
          <w:i/>
          <w:iCs/>
        </w:rPr>
        <w:t xml:space="preserve">blend</w:t>
      </w:r>
      <w:r>
        <w:t xml:space="preserve"> </w:t>
      </w:r>
      <w:r>
        <w:t xml:space="preserve">often passes OECD 301B at the 60% threshold even when the polymer alone does not — a synergistic degradation effect where the polymer is solubilized into a more biodegradable matrix and accessed by microbial enzymes that would not otherwise reach it. This is real, but it is a marginal effect on the 28-day pass/fail threshold rather than a refutation of polymer persistence; the long-tail behavior of the polymer fraction is what produces microplastic-class persistence over years and decades.</w:t>
      </w:r>
    </w:p>
    <w:p>
      <w:pPr>
        <w:pStyle w:val="FirstParagraph"/>
      </w:pPr>
      <w:r>
        <w:t xml:space="preserve">The architecture excludes PMA depressants from its standard specification on these grounds. Where pour-point depressant action is genuinely required — e.g., legacy retrofits, low-priority distribution units in marginal-cold regions without auxiliary power for the integrated cabinet stack —</w:t>
      </w:r>
      <w:r>
        <w:t xml:space="preserve"> </w:t>
      </w:r>
      <w:r>
        <w:rPr>
          <w:i/>
          <w:iCs/>
        </w:rPr>
        <w:t xml:space="preserve">biodegradable polyalpha olefin (PAO) pour-point depressants</w:t>
      </w:r>
      <w:r>
        <w:t xml:space="preserve"> </w:t>
      </w:r>
      <w:r>
        <w:t xml:space="preserve">are specified instead. Biodegradable PAOs (US patent 5658864 chemistry and equivalents) are branched-alkene oligomerization products with average molecular weight and branching specifically tuned to depress pour point in triglyceride base fluids while remaining genuinely biodegradable per OECD 301B. They are more expensive than PMA depressants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of Section 10. Where depressants are necessary as a regional convenience, biodegradable PAO is the correct chemistry; PMA is excluded.</w:t>
      </w:r>
    </w:p>
    <w:p>
      <w:r>
        <w:pict>
          <v:rect style="width:0;height:1.5pt" o:hralign="center" o:hrstd="t" o:hr="t"/>
        </w:pict>
      </w:r>
    </w:p>
    <w:bookmarkEnd w:id="19"/>
    <w:bookmarkEnd w:id="20"/>
    <w:bookmarkStart w:id="27" w:name="section-4-supply-chain-analysis"/>
    <w:p>
      <w:pPr>
        <w:pStyle w:val="Heading2"/>
      </w:pPr>
      <w:r>
        <w:t xml:space="preserve">Section 4 — Supply chain analysis</w:t>
      </w:r>
    </w:p>
    <w:p>
      <w:pPr>
        <w:pStyle w:val="FirstParagraph"/>
      </w:pPr>
      <w:r>
        <w:t xml:space="preserve">This section is the architectural decision point. The 12 Hz grid architecture is designed for resilience under degraded-infrastructure conditions — supply chain disruption from geopolitical conflict, sanctions regimes, pandemic-class production shutdown, or progressive deindustrialization. Each dielectric option is evaluated against a</w:t>
      </w:r>
      <w:r>
        <w:t xml:space="preserve"> </w:t>
      </w:r>
      <w:r>
        <w:t xml:space="preserve">“what survives degraded infrastructure”</w:t>
      </w:r>
      <w:r>
        <w:t xml:space="preserve"> </w:t>
      </w:r>
      <w:r>
        <w:t xml:space="preserve">filter.</w:t>
      </w:r>
    </w:p>
    <w:bookmarkStart w:id="21" w:name="mineral-oil-1"/>
    <w:p>
      <w:pPr>
        <w:pStyle w:val="Heading3"/>
      </w:pPr>
      <w:r>
        <w:t xml:space="preserve">Mineral oil</w:t>
      </w:r>
    </w:p>
    <w:p>
      <w:pPr>
        <w:pStyle w:val="FirstParagraph"/>
      </w:pPr>
      <w:r>
        <w:t xml:space="preserve">Requires petroleum extraction, refining, and distillation to dielectric specifications. The specifications are demanding — low aromatic content for oxidation stability, controlled molecular weight distribution for viscosity, low sulfur content for corrosion control, additive packages requiring specialty chemistry — but the base stock is a commodity product of any functioning oil refinery. The supply chain is:</w:t>
      </w:r>
    </w:p>
    <w:p>
      <w:pPr>
        <w:pStyle w:val="BodyText"/>
      </w:pPr>
      <w:r>
        <w:t xml:space="preserve">petroleum extraction → atmospheric distillation → vacuum distillation → solvent refining or hydrotreating → fractionation to dielectric specification → additive blending.</w:t>
      </w:r>
    </w:p>
    <w:p>
      <w:pPr>
        <w:pStyle w:val="BodyText"/>
      </w:pPr>
      <w:r>
        <w:t xml:space="preserve">Geopolitical concentration: globally distributed extraction (Saudi Arabia, Russia, US, Canada, Iran, Iraq, UAE dominate); refining capacity concentrated in industrial economies (US Gulf Coast, EU, Russia, China, India, Singapore, South Korea). Disruption scenarios: sanctions regimes restrict access to specific refining sources; pandemic-class shutdowns reduce refining capacity globally for multi-month periods; major regional conflict in producing regions (Middle East, Russia/Ukraine) constrains access to specific feedstocks. The base stock is generally available to any economy with diplomatic and financial access to functioning international markets, but the access is contingent on those conditions.</w:t>
      </w:r>
    </w:p>
    <w:p>
      <w:pPr>
        <w:pStyle w:val="BodyText"/>
      </w:pPr>
      <w:r>
        <w:t xml:space="preserve">Environmental constraint compounds geopolitical: regulatory pressure on petroleum products is increasing globally, and progressive carbon-pricing schemes are raising delivered cost. Mineral oil’s cost trajectory is upward over the architectural design horizon (40+ years).</w:t>
      </w:r>
    </w:p>
    <w:bookmarkEnd w:id="21"/>
    <w:bookmarkStart w:id="22" w:name="natural-ester"/>
    <w:p>
      <w:pPr>
        <w:pStyle w:val="Heading3"/>
      </w:pPr>
      <w:r>
        <w:t xml:space="preserve">Natural ester</w:t>
      </w:r>
    </w:p>
    <w:p>
      <w:pPr>
        <w:pStyle w:val="FirstParagraph"/>
      </w:pPr>
      <w:r>
        <w:t xml:space="preserve">Requires only oilseed agriculture, commodity oilseed processing, and a small additional refining stage. The supply chain is:</w:t>
      </w:r>
    </w:p>
    <w:p>
      <w:pPr>
        <w:pStyle w:val="BodyText"/>
      </w:pPr>
      <w:r>
        <w:t xml:space="preserve">oilseed agriculture (soybean, rapeseed/canola, sunflower) → mechanical expeller or hexane extraction → caustic neutralization → bleaching clay treatment → steam deodorization → vacuum dehydration to &lt;50 ppm moisture → sub-micron particulate filtration → additive package blending.</w:t>
      </w:r>
    </w:p>
    <w:p>
      <w:pPr>
        <w:pStyle w:val="BodyText"/>
      </w:pPr>
      <w:r>
        <w:t xml:space="preserve">The first five steps are food-grade edible oil processing, deployed in essentially every agricultural economy at industrial scale. The final three steps require additional capital — vacuum dehydration columns, fine particulate filters, additive blending tanks — but are an incremental extension of edible oil infrastructure rather than a new industrial chain. Capital investment for a 50,000 ton/year dielectric ester refining line is in the $20–50 million range, comparable to a mid-size edible oil refinery.</w:t>
      </w:r>
    </w:p>
    <w:p>
      <w:pPr>
        <w:pStyle w:val="BodyText"/>
      </w:pPr>
      <w:r>
        <w:t xml:space="preserve">Feedstock geographic distribution is broad. High-oleic soybean: US, Brazil, Argentina, India, China. Rapeseed/canola: EU, Canada, Ukraine, China, India, Iran, Russia. Sunflower: Russia, Ukraine, Argentina, EU, sub-Saharan Africa, Turkey. Specifications written by fatty acid profile (&gt;75% oleic, &lt;8% linoleic, &lt;3% linolenic) rather than source crop allow each region to use what it grows.</w:t>
      </w:r>
    </w:p>
    <w:p>
      <w:pPr>
        <w:pStyle w:val="BodyText"/>
      </w:pPr>
      <w:r>
        <w:t xml:space="preserve">The additive package — antioxidants (typically butylated hydroxytoluene, BHT, or mixed hindered phenols) and metal deactivators (typically benzotriazole derivatives) — totals less than 1% by mass of the finished fluid. Both additive classes have established environmental profiles (hindered phenols and benzotriazole chemistry have been studied extensively in food and industrial applications); both are present in spent fluid at low concentration and do not compromise the biodegradability or land-application end-of-life paths. The additive package is shippable as concentrate from any of several global suppliers; a single 20-foot container holds enough additive concentrate for several thousand tons of finished dielectric.</w:t>
      </w:r>
    </w:p>
    <w:p>
      <w:pPr>
        <w:pStyle w:val="BodyText"/>
      </w:pPr>
      <w:r>
        <w:t xml:space="preserve">Note: PMA pour-point depressants are</w:t>
      </w:r>
      <w:r>
        <w:t xml:space="preserve"> </w:t>
      </w:r>
      <w:r>
        <w:rPr>
          <w:i/>
          <w:iCs/>
        </w:rPr>
        <w:t xml:space="preserve">not</w:t>
      </w:r>
      <w:r>
        <w:t xml:space="preserve"> </w:t>
      </w:r>
      <w:r>
        <w:t xml:space="preserve">part of the standard additive package per Section 3. The cold-climate engineering stack of Section 10 eliminates the operational need for depressants. Where depressants are nonetheless used in regional retrofits, the architecture specifies biodegradable PAO chemistry rather than PMA.</w:t>
      </w:r>
    </w:p>
    <w:p>
      <w:pPr>
        <w:pStyle w:val="BodyText"/>
      </w:pPr>
      <w:r>
        <w:t xml:space="preserve">The supply chain survives degraded infrastructure substantially better than mineral oil. An economy with functioning oilseed agriculture and a working edible-oil industry — which describes essentially every populated region of the world — can produce dielectric-grade natural ester with incremental additional capital. The chain has no specialized industrial chemistry, no rare materials, no concentrated geographic dependency.</w:t>
      </w:r>
    </w:p>
    <w:bookmarkEnd w:id="22"/>
    <w:bookmarkStart w:id="23" w:name="synthetic-ester"/>
    <w:p>
      <w:pPr>
        <w:pStyle w:val="Heading3"/>
      </w:pPr>
      <w:r>
        <w:t xml:space="preserve">Synthetic ester</w:t>
      </w:r>
    </w:p>
    <w:p>
      <w:pPr>
        <w:pStyle w:val="FirstParagraph"/>
      </w:pPr>
      <w:r>
        <w:t xml:space="preserve">Pentaerythritol manufacture requires functioning industrial chemistry: formaldehyde from methanol oxidation over silver or iron-molybdenum catalysts; acetaldehyde from ethylene oxidation (Wacker process, palladium catalyst) or ethanol dehydrogenation; aldol condensation of formaldehyde with acetaldehyde under base catalysis; esterification with mixed C5–C10 fatty acids from petrochemical sources or fatty acid distillates.</w:t>
      </w:r>
    </w:p>
    <w:p>
      <w:pPr>
        <w:pStyle w:val="BodyText"/>
      </w:pPr>
      <w:r>
        <w:t xml:space="preserve">Geographic concentration: pentaerythritol production is dominated by China (~55% of global capacity), with secondary production in the US, EU, and India. Synthetic ester finished-product manufacture is concentrated in EU (MIDEL 7131 production by M&amp;I Materials, UK; TRANSOL Synth.100 by NYCO, France). The supply chain is more concentrated than mineral oil and meaningfully more specialized.</w:t>
      </w:r>
    </w:p>
    <w:p>
      <w:pPr>
        <w:pStyle w:val="BodyText"/>
      </w:pPr>
      <w:r>
        <w:t xml:space="preserve">The architecture excludes synthetic ester from its standard specification for the reasons developed in Section 3: redundancy with the cold-climate engineering stack rather than supply-chain failure per se. A well-functioning industrial economy can produce synthetic ester; the architecture’s preference for natural ester is about preserving the agricultural-feedstock supply chain across the entire deployment, not about synthetic ester being unworkable in absolute terms.</w:t>
      </w:r>
    </w:p>
    <w:bookmarkEnd w:id="23"/>
    <w:bookmarkStart w:id="24" w:name="sf6"/>
    <w:p>
      <w:pPr>
        <w:pStyle w:val="Heading3"/>
      </w:pPr>
      <w:r>
        <w:t xml:space="preserve">SF6</w:t>
      </w:r>
    </w:p>
    <w:p>
      <w:pPr>
        <w:pStyle w:val="FirstParagraph"/>
      </w:pPr>
      <w:r>
        <w:t xml:space="preserve">Most fragile of the dielectric options. The supply chain summary from Section 3:</w:t>
      </w:r>
    </w:p>
    <w:p>
      <w:pPr>
        <w:pStyle w:val="BodyText"/>
      </w:pPr>
      <w:r>
        <w:t xml:space="preserve">fluorspar (CaF2) mining → hydrogen fluoride → fluorine gas (electrolysis with Monel cells, anhydrous HF feedstock, specialized nickel-alloy electrodes) → SF6 synthesis (elemental sulfur + F2) → cryogenic purification → handling and transport in pressure cylinders with corrosion-resistant valving.</w:t>
      </w:r>
    </w:p>
    <w:p>
      <w:pPr>
        <w:pStyle w:val="BodyText"/>
      </w:pPr>
      <w:r>
        <w:t xml:space="preserve">China dominates fluorspar mining (~60% global), HF production (~70% global), and SF6 synthesis (~50% global). Every step requires specialized alloys, corrosion-resistant infrastructure, and precise process control. There is no agricultural or commodity substitute for any step. Disruption of any single stage halts the chain.</w:t>
      </w:r>
    </w:p>
    <w:p>
      <w:pPr>
        <w:pStyle w:val="BodyText"/>
      </w:pPr>
      <w:r>
        <w:t xml:space="preserve">If supply chains permit SF6 manufacturing they permit anything; SF6 fragility is a leading indicator of broader industrial-chemistry fragility.</w:t>
      </w:r>
    </w:p>
    <w:bookmarkEnd w:id="24"/>
    <w:bookmarkStart w:id="25" w:name="cast-resin"/>
    <w:p>
      <w:pPr>
        <w:pStyle w:val="Heading3"/>
      </w:pPr>
      <w:r>
        <w:t xml:space="preserve">Cast resin</w:t>
      </w:r>
    </w:p>
    <w:p>
      <w:pPr>
        <w:pStyle w:val="FirstParagraph"/>
      </w:pPr>
      <w:r>
        <w:t xml:space="preserve">Bisphenol-A or bisphenol-F production: phenol + acetone (BPA) or phenol + formaldehyde (BPF), with acid catalysis. Phenol from cumene oxidation (Hock process, requires petroleum aromatics). Acetone from cumene oxidation (co-product) or isopropanol dehydrogenation. Formaldehyde as in synthetic ester chain.</w:t>
      </w:r>
    </w:p>
    <w:p>
      <w:pPr>
        <w:pStyle w:val="BodyText"/>
      </w:pPr>
      <w:r>
        <w:t xml:space="preserve">Vacuum casting infrastructure: heated mixing reactors, vacuum chambers sized to the largest production unit, post-cure ovens, partial discharge test bays.</w:t>
      </w:r>
    </w:p>
    <w:p>
      <w:pPr>
        <w:pStyle w:val="BodyText"/>
      </w:pPr>
      <w:r>
        <w:t xml:space="preserve">Conclusion: cast resin manufacturing is mid-industrial-economy technology. Where supply chains permit cast resin, they permit petroleum products generally; cast resin’s</w:t>
      </w:r>
      <w:r>
        <w:t xml:space="preserve"> </w:t>
      </w:r>
      <w:r>
        <w:t xml:space="preserve">“no oil”</w:t>
      </w:r>
      <w:r>
        <w:t xml:space="preserve"> </w:t>
      </w:r>
      <w:r>
        <w:t xml:space="preserve">advantage doesn’t apply at the supply-chain resilience margin. Cast resin’s appropriate use is fire-safety differentiation in indoor urban deployment, not supply-chain resilience. The repair-by-replacement constraint additionally disqualifies cast resin from any role where damaged units must return to service quickly.</w:t>
      </w:r>
    </w:p>
    <w:bookmarkEnd w:id="25"/>
    <w:bookmarkStart w:id="26" w:name="conclusion-of-supply-chain-analysis"/>
    <w:p>
      <w:pPr>
        <w:pStyle w:val="Heading3"/>
      </w:pPr>
      <w:r>
        <w:t xml:space="preserve">Conclusion of supply chain analysis</w:t>
      </w:r>
    </w:p>
    <w:p>
      <w:pPr>
        <w:pStyle w:val="FirstParagraph"/>
      </w:pPr>
      <w:r>
        <w:t xml:space="preserve">Natural ester is the only dielectric option that is simultaneously fire-safe, environmentally sound, producible by an agricultural economy without specialized industrial chemistry, and field rewindable. The architecture standardizes on natural ester universally. Synthetic ester is excluded from the universal specification through the cold-climate engineering of Section 10; PMA pour-point depressants are excluded for environmental reasons (Section 3); mineral oil, SF6, and cast resin all carry supply-chain dependencies that the 12 Hz architecture is designed to escape.</w:t>
      </w:r>
    </w:p>
    <w:p>
      <w:r>
        <w:pict>
          <v:rect style="width:0;height:1.5pt" o:hralign="center" o:hrstd="t" o:hr="t"/>
        </w:pict>
      </w:r>
    </w:p>
    <w:bookmarkEnd w:id="26"/>
    <w:bookmarkEnd w:id="27"/>
    <w:bookmarkStart w:id="33" w:name="section-5-the-unified-ester-architecture"/>
    <w:p>
      <w:pPr>
        <w:pStyle w:val="Heading2"/>
      </w:pPr>
      <w:r>
        <w:t xml:space="preserve">Section 5 — The unified ester architecture</w:t>
      </w:r>
    </w:p>
    <w:p>
      <w:pPr>
        <w:pStyle w:val="FirstParagraph"/>
      </w:pPr>
      <w:r>
        <w:t xml:space="preserve">The architectural specification: natural ester-filled oil-immersed transformers across all voltage and power classes — generation step-up, transmission backbone, sub-transmission, primary distribution, secondary distribution, pad-mount — as the universal global standard. All transformers in the architecture share a single dielectric chemistry family, a single set of maintenance procedures, a single filtration rig design, a single analytical lab setup, and a single technician training program. No synthetic ester sub-specification; no PMA depressant additives; no climate-dependent dielectric variants; one fluid.</w:t>
      </w:r>
    </w:p>
    <w:p>
      <w:pPr>
        <w:pStyle w:val="BodyText"/>
      </w:pPr>
      <w:r>
        <w:t xml:space="preserve">Architectural simplicity is itself a resilience property. A grid in which every transformer carries the same fluid chemistry, accepts the same processing equipment, and produces diagnostic signals interpretable on the same analytical framework is operationally simpler, faster to repair under stress, and more forgiving of cross-utility resource sharing during emergencies. An ester transformer truck from one utility can service a transformer from another utility without compatibility checks. An analytical laboratory in one region can interpret samples from any region. A technician trained on one unit class is qualified on all. End-of-life spent fluid carries no microplastic-fraction contamination and is genuinely land-applicable in agricultural regions.</w:t>
      </w:r>
    </w:p>
    <w:bookmarkStart w:id="28" w:name="Xcfed5579cbf49f0b90420b4215dd4b161c49160"/>
    <w:p>
      <w:pPr>
        <w:pStyle w:val="Heading3"/>
      </w:pPr>
      <w:r>
        <w:t xml:space="preserve">Field rewindability as architectural foundation</w:t>
      </w:r>
    </w:p>
    <w:p>
      <w:pPr>
        <w:pStyle w:val="FirstParagraph"/>
      </w:pPr>
      <w:r>
        <w:t xml:space="preserve">Oil-immersed transformer construction permits field disassembly: remove the cover, drain the fluid, lift the active part (core and windings) from the tank, replace damaged windings on a winding shop floor or in a substation rewind facility, reinstall, refill, and recommission. The procedure is mature and routinely performed by major utilities and specialist transformer service organizations (such as SPX Transformer Solutions, ABB transformer service centers, Siemens Energy regional service hubs, and equivalent organizations globally).</w:t>
      </w:r>
    </w:p>
    <w:p>
      <w:pPr>
        <w:pStyle w:val="BodyText"/>
      </w:pPr>
      <w:r>
        <w:t xml:space="preserve">Typical field rewind timelines:</w:t>
      </w:r>
    </w:p>
    <w:p>
      <w:pPr>
        <w:pStyle w:val="Compact"/>
        <w:numPr>
          <w:ilvl w:val="0"/>
          <w:numId w:val="1008"/>
        </w:numPr>
      </w:pPr>
      <w:r>
        <w:rPr>
          <w:i/>
          <w:iCs/>
        </w:rPr>
        <w:t xml:space="preserve">Distribution-class transformer</w:t>
      </w:r>
      <w:r>
        <w:t xml:space="preserve"> </w:t>
      </w:r>
      <w:r>
        <w:t xml:space="preserve">(≤25 MVA, ≤36 kV): 2–4 weeks from de-energization to recommissioned service, including teardown, winding fabrication, core inspection, reassembly, and full electrical testing. Mobile rewind facilities can perform the work on-site at large substations.</w:t>
      </w:r>
    </w:p>
    <w:p>
      <w:pPr>
        <w:pStyle w:val="Compact"/>
        <w:numPr>
          <w:ilvl w:val="0"/>
          <w:numId w:val="1008"/>
        </w:numPr>
      </w:pPr>
      <w:r>
        <w:rPr>
          <w:i/>
          <w:iCs/>
        </w:rPr>
        <w:t xml:space="preserve">Sub-transmission and transmission class</w:t>
      </w:r>
      <w:r>
        <w:t xml:space="preserve"> </w:t>
      </w:r>
      <w:r>
        <w:t xml:space="preserve">(25–500 MVA, 69–345 kV): 4–10 weeks at a regional rewind facility, with shipping time added for transport to and from the facility.</w:t>
      </w:r>
    </w:p>
    <w:p>
      <w:pPr>
        <w:pStyle w:val="Compact"/>
        <w:numPr>
          <w:ilvl w:val="0"/>
          <w:numId w:val="1008"/>
        </w:numPr>
      </w:pPr>
      <w:r>
        <w:rPr>
          <w:i/>
          <w:iCs/>
        </w:rPr>
        <w:t xml:space="preserve">High-voltage transmission</w:t>
      </w:r>
      <w:r>
        <w:t xml:space="preserve"> </w:t>
      </w:r>
      <w:r>
        <w:t xml:space="preserve">(500–765 kV, 500–1000+ MVA): 8–16 weeks at a major rewind facility, with the active part transported by specialized heavy-haul.</w:t>
      </w:r>
    </w:p>
    <w:p>
      <w:pPr>
        <w:pStyle w:val="FirstParagraph"/>
      </w:pPr>
      <w:r>
        <w:t xml:space="preserve">A rewound transformer returns to service at original specifications, with insulation system new and remaining life reset essentially to a new-unit baseline. Rewinding is not a temporary repair; it is a service-life extension that typically pays back the rewind cost (40–60% of new-unit cost) through 20+ additional years of service.</w:t>
      </w:r>
    </w:p>
    <w:p>
      <w:pPr>
        <w:pStyle w:val="BodyText"/>
      </w:pPr>
      <w:r>
        <w:t xml:space="preserve">The categorical asymmetry relative to cast resin is that cast resin offers no equivalent procedure: a damaged cast-resin unit goes to disposal and is replaced, with new-unit lead time. Oil-immersed transformers offer four recovery paths against damage:</w:t>
      </w:r>
    </w:p>
    <w:p>
      <w:pPr>
        <w:pStyle w:val="Compact"/>
        <w:numPr>
          <w:ilvl w:val="0"/>
          <w:numId w:val="1009"/>
        </w:numPr>
      </w:pPr>
      <w:r>
        <w:rPr>
          <w:i/>
          <w:iCs/>
        </w:rPr>
        <w:t xml:space="preserve">Coolant-loss event with windings preserved</w:t>
      </w:r>
      <w:r>
        <w:t xml:space="preserve"> </w:t>
      </w:r>
      <w:r>
        <w:t xml:space="preserve">(radiator monitoring alarmed the loss; site response transferred load and de-energized the unit, or thermal protection tripped on confirmed winding heat rise before insulation damage accumulated): casing patch, ester refill, recommissioning.</w:t>
      </w:r>
      <w:r>
        <w:t xml:space="preserve"> </w:t>
      </w:r>
      <w:r>
        <w:rPr>
          <w:b/>
          <w:bCs/>
        </w:rPr>
        <w:t xml:space="preserve">1–3 days.</w:t>
      </w:r>
    </w:p>
    <w:p>
      <w:pPr>
        <w:pStyle w:val="Compact"/>
        <w:numPr>
          <w:ilvl w:val="0"/>
          <w:numId w:val="1009"/>
        </w:numPr>
      </w:pPr>
      <w:r>
        <w:rPr>
          <w:i/>
          <w:iCs/>
        </w:rPr>
        <w:t xml:space="preserve">Coolant-loss event with partial winding insulation damage</w:t>
      </w:r>
      <w:r>
        <w:t xml:space="preserve">: limited rewind of affected windings or insulation overhaul.</w:t>
      </w:r>
      <w:r>
        <w:t xml:space="preserve"> </w:t>
      </w:r>
      <w:r>
        <w:rPr>
          <w:b/>
          <w:bCs/>
        </w:rPr>
        <w:t xml:space="preserve">1–3 weeks.</w:t>
      </w:r>
    </w:p>
    <w:p>
      <w:pPr>
        <w:pStyle w:val="Compact"/>
        <w:numPr>
          <w:ilvl w:val="0"/>
          <w:numId w:val="1009"/>
        </w:numPr>
      </w:pPr>
      <w:r>
        <w:rPr>
          <w:i/>
          <w:iCs/>
        </w:rPr>
        <w:t xml:space="preserve">Direct winding damage</w:t>
      </w:r>
      <w:r>
        <w:t xml:space="preserve"> </w:t>
      </w:r>
      <w:r>
        <w:t xml:space="preserve">(round through windings, severe through-fault, internal arc fault contained by ester): full rewind.</w:t>
      </w:r>
      <w:r>
        <w:t xml:space="preserve"> </w:t>
      </w:r>
      <w:r>
        <w:rPr>
          <w:b/>
          <w:bCs/>
        </w:rPr>
        <w:t xml:space="preserve">3–10 weeks</w:t>
      </w:r>
      <w:r>
        <w:t xml:space="preserve"> </w:t>
      </w:r>
      <w:r>
        <w:t xml:space="preserve">depending on class.</w:t>
      </w:r>
    </w:p>
    <w:p>
      <w:pPr>
        <w:pStyle w:val="Compact"/>
        <w:numPr>
          <w:ilvl w:val="0"/>
          <w:numId w:val="1009"/>
        </w:numPr>
      </w:pPr>
      <w:r>
        <w:rPr>
          <w:i/>
          <w:iCs/>
        </w:rPr>
        <w:t xml:space="preserve">Catastrophic loss</w:t>
      </w:r>
      <w:r>
        <w:t xml:space="preserve"> </w:t>
      </w:r>
      <w:r>
        <w:t xml:space="preserve">(total tank rupture, structural damage, extreme fault): replacement with new unit. 6–18 months. This case is rare in ester service because ester does not propagate fire; the catastrophic-loss scenario typical of mineral-oil arc fault becomes a contained fault in ester service.</w:t>
      </w:r>
    </w:p>
    <w:p>
      <w:pPr>
        <w:pStyle w:val="FirstParagraph"/>
      </w:pPr>
      <w:r>
        <w:t xml:space="preserve">The ester architecture combined with the layered protection scheme of Section 8 (radiator and Buchholz sensors as alarm signals; trip authority on direct damage measurement at the active part) makes case (1) the dominant outcome for hostile-action and accidental coolant-loss scenarios, with case (2) or (3) for more severe events. Case (4) is essentially eliminated.</w:t>
      </w:r>
    </w:p>
    <w:bookmarkEnd w:id="28"/>
    <w:bookmarkStart w:id="29" w:name="feedstock-flexibility"/>
    <w:p>
      <w:pPr>
        <w:pStyle w:val="Heading3"/>
      </w:pPr>
      <w:r>
        <w:t xml:space="preserve">Feedstock flexibility</w:t>
      </w:r>
    </w:p>
    <w:p>
      <w:pPr>
        <w:pStyle w:val="FirstParagraph"/>
      </w:pPr>
      <w:r>
        <w:t xml:space="preserve">The specification is written by fatty acid profile, not by source crop:</w:t>
      </w:r>
    </w:p>
    <w:p>
      <w:pPr>
        <w:pStyle w:val="Compact"/>
        <w:numPr>
          <w:ilvl w:val="0"/>
          <w:numId w:val="1010"/>
        </w:numPr>
      </w:pPr>
      <w:r>
        <w:t xml:space="preserve">Oleic acid (C18:1, monounsaturated) ≥75% by weight</w:t>
      </w:r>
    </w:p>
    <w:p>
      <w:pPr>
        <w:pStyle w:val="Compact"/>
        <w:numPr>
          <w:ilvl w:val="0"/>
          <w:numId w:val="1010"/>
        </w:numPr>
      </w:pPr>
      <w:r>
        <w:t xml:space="preserve">Linoleic acid (C18:2, diunsaturated) ≤8% by weight</w:t>
      </w:r>
    </w:p>
    <w:p>
      <w:pPr>
        <w:pStyle w:val="Compact"/>
        <w:numPr>
          <w:ilvl w:val="0"/>
          <w:numId w:val="1010"/>
        </w:numPr>
      </w:pPr>
      <w:r>
        <w:t xml:space="preserve">Linolenic acid (C18:3, triunsaturated) ≤3% by weight</w:t>
      </w:r>
    </w:p>
    <w:p>
      <w:pPr>
        <w:pStyle w:val="Compact"/>
        <w:numPr>
          <w:ilvl w:val="0"/>
          <w:numId w:val="1010"/>
        </w:numPr>
      </w:pPr>
      <w:r>
        <w:t xml:space="preserve">Saturated fatty acids (palmitic, stearic) balance to 100%</w:t>
      </w:r>
    </w:p>
    <w:p>
      <w:pPr>
        <w:pStyle w:val="FirstParagraph"/>
      </w:pPr>
      <w:r>
        <w:t xml:space="preserve">This profile is achievable from:</w:t>
      </w:r>
    </w:p>
    <w:p>
      <w:pPr>
        <w:pStyle w:val="Compact"/>
        <w:numPr>
          <w:ilvl w:val="0"/>
          <w:numId w:val="1011"/>
        </w:numPr>
      </w:pPr>
      <w:r>
        <w:rPr>
          <w:i/>
          <w:iCs/>
        </w:rPr>
        <w:t xml:space="preserve">High-oleic soybean</w:t>
      </w:r>
      <w:r>
        <w:t xml:space="preserve">: dominant US production (commodity hybrid varieties from Pioneer, Monsanto, others), Brazilian and Argentine production growing. Yields a soft pour point (~–18°C / 0°F) but excellent oxidative stability and broad feedstock availability.</w:t>
      </w:r>
    </w:p>
    <w:p>
      <w:pPr>
        <w:pStyle w:val="Compact"/>
        <w:numPr>
          <w:ilvl w:val="0"/>
          <w:numId w:val="1011"/>
        </w:numPr>
      </w:pPr>
      <w:r>
        <w:rPr>
          <w:i/>
          <w:iCs/>
        </w:rPr>
        <w:t xml:space="preserve">Rapeseed/canola</w:t>
      </w:r>
      <w:r>
        <w:t xml:space="preserve">: EU, Canada, China, India, Ukraine, Russia (the major producers); Iran has rapeseed production capacity but is a minor producer at current scales (~200,000 tonnes/year vs Canada’s 20 million, EU’s 17 million, China’s 14 million). The high-oleic varieties (HOLLi, Nexera) hit specification. Pour point advantage (~–31°C / –24°F) makes rapeseed the preferred feedstock for the global default specification.</w:t>
      </w:r>
    </w:p>
    <w:p>
      <w:pPr>
        <w:pStyle w:val="Compact"/>
        <w:numPr>
          <w:ilvl w:val="0"/>
          <w:numId w:val="1011"/>
        </w:numPr>
      </w:pPr>
      <w:r>
        <w:rPr>
          <w:i/>
          <w:iCs/>
        </w:rPr>
        <w:t xml:space="preserve">Sunflower</w:t>
      </w:r>
      <w:r>
        <w:t xml:space="preserve">: Russia, Ukraine, Argentina, EU, Turkey, sub-Saharan Africa (significant production in Tanzania, Ethiopia, South Africa). High-oleic varieties (NuSun, Sunola) meet specification. Pour point comparable to rapeseed.</w:t>
      </w:r>
    </w:p>
    <w:p>
      <w:pPr>
        <w:pStyle w:val="Compact"/>
        <w:numPr>
          <w:ilvl w:val="0"/>
          <w:numId w:val="1011"/>
        </w:numPr>
      </w:pPr>
      <w:r>
        <w:rPr>
          <w:i/>
          <w:iCs/>
        </w:rPr>
        <w:t xml:space="preserve">Other high-oleic feedstocks</w:t>
      </w:r>
      <w:r>
        <w:t xml:space="preserve"> </w:t>
      </w:r>
      <w:r>
        <w:t xml:space="preserve">(safflower, peanut where available): regional supplements.</w:t>
      </w:r>
    </w:p>
    <w:p>
      <w:pPr>
        <w:pStyle w:val="FirstParagraph"/>
      </w:pPr>
      <w:r>
        <w:t xml:space="preserve">Each region uses what it grows. The dielectric-grade refining line is identical across feedstocks; the specification is on the finished fluid, not the source.</w:t>
      </w:r>
    </w:p>
    <w:p>
      <w:pPr>
        <w:pStyle w:val="BodyText"/>
      </w:pPr>
      <w:r>
        <w:t xml:space="preserve">Rapeseed-based natural ester is the architecture’s preferred default specification globally, including for cold-climate deployment, on the basis of its –31°C / –24°F pour point combined with the cold-climate engineering stack of Section 10.</w:t>
      </w:r>
    </w:p>
    <w:bookmarkEnd w:id="29"/>
    <w:bookmarkStart w:id="30" w:name="refining-chain-detail"/>
    <w:p>
      <w:pPr>
        <w:pStyle w:val="Heading3"/>
      </w:pPr>
      <w:r>
        <w:t xml:space="preserve">Refining chain detail</w:t>
      </w:r>
    </w:p>
    <w:p>
      <w:pPr>
        <w:pStyle w:val="FirstParagraph"/>
      </w:pPr>
      <w:r>
        <w:t xml:space="preserve">The first five processing steps are existing food-grade oilseed processing, present in any agricultural economy at industrial scale:</w:t>
      </w:r>
    </w:p>
    <w:p>
      <w:pPr>
        <w:pStyle w:val="Compact"/>
        <w:numPr>
          <w:ilvl w:val="0"/>
          <w:numId w:val="1012"/>
        </w:numPr>
      </w:pPr>
      <w:r>
        <w:rPr>
          <w:b/>
          <w:bCs/>
        </w:rPr>
        <w:t xml:space="preserve">Mechanical expeller or hexane extraction</w:t>
      </w:r>
      <w:r>
        <w:t xml:space="preserve"> </w:t>
      </w:r>
      <w:r>
        <w:t xml:space="preserve">of oil from cleaned, dehulled seed.</w:t>
      </w:r>
    </w:p>
    <w:p>
      <w:pPr>
        <w:pStyle w:val="Compact"/>
        <w:numPr>
          <w:ilvl w:val="0"/>
          <w:numId w:val="1012"/>
        </w:numPr>
      </w:pPr>
      <w:r>
        <w:rPr>
          <w:b/>
          <w:bCs/>
        </w:rPr>
        <w:t xml:space="preserve">Caustic neutralization</w:t>
      </w:r>
      <w:r>
        <w:t xml:space="preserve"> </w:t>
      </w:r>
      <w:r>
        <w:t xml:space="preserve">of free fatty acids with NaOH solution; soapstock removed by centrifugation.</w:t>
      </w:r>
    </w:p>
    <w:p>
      <w:pPr>
        <w:pStyle w:val="Compact"/>
        <w:numPr>
          <w:ilvl w:val="0"/>
          <w:numId w:val="1012"/>
        </w:numPr>
      </w:pPr>
      <w:r>
        <w:rPr>
          <w:b/>
          <w:bCs/>
        </w:rPr>
        <w:t xml:space="preserve">Bleaching clay treatment</w:t>
      </w:r>
      <w:r>
        <w:t xml:space="preserve"> </w:t>
      </w:r>
      <w:r>
        <w:t xml:space="preserve">at 80–110°C / 176–230°F under vacuum; activated bleaching earth removes color bodies, residual phosphatides, and trace metals.</w:t>
      </w:r>
    </w:p>
    <w:p>
      <w:pPr>
        <w:pStyle w:val="Compact"/>
        <w:numPr>
          <w:ilvl w:val="0"/>
          <w:numId w:val="1012"/>
        </w:numPr>
      </w:pPr>
      <w:r>
        <w:rPr>
          <w:b/>
          <w:bCs/>
        </w:rPr>
        <w:t xml:space="preserve">Steam deodorization</w:t>
      </w:r>
      <w:r>
        <w:t xml:space="preserve"> </w:t>
      </w:r>
      <w:r>
        <w:t xml:space="preserve">at 220–260°C / 428–500°F under &lt;5 mbar / &lt;0.075 psi; volatile flavor and odor compounds stripped.</w:t>
      </w:r>
    </w:p>
    <w:p>
      <w:pPr>
        <w:pStyle w:val="FirstParagraph"/>
      </w:pPr>
      <w:r>
        <w:t xml:space="preserve">Three additional steps differentiate dielectric-grade from edible-grade:</w:t>
      </w:r>
    </w:p>
    <w:p>
      <w:pPr>
        <w:pStyle w:val="Compact"/>
        <w:numPr>
          <w:ilvl w:val="0"/>
          <w:numId w:val="1013"/>
        </w:numPr>
      </w:pPr>
      <w:r>
        <w:rPr>
          <w:b/>
          <w:bCs/>
        </w:rPr>
        <w:t xml:space="preserve">Vacuum dehydration</w:t>
      </w:r>
      <w:r>
        <w:t xml:space="preserve"> </w:t>
      </w:r>
      <w:r>
        <w:t xml:space="preserve">to &lt;50 ppm moisture, typically by spray-into-vacuum deaerator at 60–80°C / 140–176°F under &lt;1 mbar / &lt;0.015 psi.</w:t>
      </w:r>
    </w:p>
    <w:p>
      <w:pPr>
        <w:pStyle w:val="Compact"/>
        <w:numPr>
          <w:ilvl w:val="0"/>
          <w:numId w:val="1013"/>
        </w:numPr>
      </w:pPr>
      <w:r>
        <w:rPr>
          <w:b/>
          <w:bCs/>
        </w:rPr>
        <w:t xml:space="preserve">Sub-micron particulate filtration</w:t>
      </w:r>
      <w:r>
        <w:t xml:space="preserve"> </w:t>
      </w:r>
      <w:r>
        <w:t xml:space="preserve">through 0.5 μm absolute filter; iterative passes until particle count meets IEEE C57.147 limits.</w:t>
      </w:r>
    </w:p>
    <w:p>
      <w:pPr>
        <w:pStyle w:val="Compact"/>
        <w:numPr>
          <w:ilvl w:val="0"/>
          <w:numId w:val="1013"/>
        </w:numPr>
      </w:pPr>
      <w:r>
        <w:rPr>
          <w:b/>
          <w:bCs/>
        </w:rPr>
        <w:t xml:space="preserve">Additive package blending</w:t>
      </w:r>
      <w:r>
        <w:t xml:space="preserve">: antioxidants (BHT or mixed hindered phenols, typically 0.3–0.5%), metal deactivators (benzotriazole derivatives, 0.05–0.1%). No PMA depressants.</w:t>
      </w:r>
    </w:p>
    <w:p>
      <w:pPr>
        <w:pStyle w:val="FirstParagraph"/>
      </w:pPr>
      <w:r>
        <w:t xml:space="preserve">Reference specifications:</w:t>
      </w:r>
    </w:p>
    <w:p>
      <w:pPr>
        <w:pStyle w:val="Compact"/>
        <w:numPr>
          <w:ilvl w:val="0"/>
          <w:numId w:val="1014"/>
        </w:numPr>
      </w:pPr>
      <w:r>
        <w:t xml:space="preserve">IEEE C57.147 — Guide for Acceptance and Maintenance of Natural Ester Fluids in Transformers</w:t>
      </w:r>
    </w:p>
    <w:p>
      <w:pPr>
        <w:pStyle w:val="Compact"/>
        <w:numPr>
          <w:ilvl w:val="0"/>
          <w:numId w:val="1014"/>
        </w:numPr>
      </w:pPr>
      <w:r>
        <w:t xml:space="preserve">IEC 62770 — Natural ester fluids for transformers and similar electrical equipment</w:t>
      </w:r>
    </w:p>
    <w:p>
      <w:pPr>
        <w:pStyle w:val="Compact"/>
        <w:numPr>
          <w:ilvl w:val="0"/>
          <w:numId w:val="1014"/>
        </w:numPr>
      </w:pPr>
      <w:r>
        <w:t xml:space="preserve">ASTM D6871 — Standard Specification for Natural (Vegetable Oil) Ester Fluids Used in Electrical Apparatus</w:t>
      </w:r>
    </w:p>
    <w:p>
      <w:pPr>
        <w:pStyle w:val="Compact"/>
        <w:numPr>
          <w:ilvl w:val="0"/>
          <w:numId w:val="1014"/>
        </w:numPr>
      </w:pPr>
      <w:r>
        <w:t xml:space="preserve">ASTM D6866 — Standard Test Methods for Determining the Biobased Content (relevant for verification of agricultural feedstock)</w:t>
      </w:r>
    </w:p>
    <w:bookmarkEnd w:id="30"/>
    <w:bookmarkStart w:id="31" w:name="voltage-and-power-class-coverage"/>
    <w:p>
      <w:pPr>
        <w:pStyle w:val="Heading3"/>
      </w:pPr>
      <w:r>
        <w:t xml:space="preserve">Voltage and power class coverage</w:t>
      </w:r>
    </w:p>
    <w:p>
      <w:pPr>
        <w:pStyle w:val="FirstParagraph"/>
      </w:pPr>
      <w:r>
        <w:t xml:space="preserve">Natural ester has been qualified and deployed across the full transformer voltage and power range:</w:t>
      </w:r>
    </w:p>
    <w:p>
      <w:pPr>
        <w:pStyle w:val="Compact"/>
        <w:numPr>
          <w:ilvl w:val="0"/>
          <w:numId w:val="1015"/>
        </w:numPr>
      </w:pPr>
      <w:r>
        <w:t xml:space="preserve">Distribution class: ≤36 kV, ≤25 MVA — broadly deployed since 2000, mature.</w:t>
      </w:r>
    </w:p>
    <w:p>
      <w:pPr>
        <w:pStyle w:val="Compact"/>
        <w:numPr>
          <w:ilvl w:val="0"/>
          <w:numId w:val="1015"/>
        </w:numPr>
      </w:pPr>
      <w:r>
        <w:t xml:space="preserve">Sub-transmission class: 69–138 kV, 25–100 MVA — extensive deployment since 2010.</w:t>
      </w:r>
    </w:p>
    <w:p>
      <w:pPr>
        <w:pStyle w:val="Compact"/>
        <w:numPr>
          <w:ilvl w:val="0"/>
          <w:numId w:val="1015"/>
        </w:numPr>
      </w:pPr>
      <w:r>
        <w:t xml:space="preserve">Transmission class: 230–345 kV, 100–500 MVA — multiple successful deployments since 2014; FR3 and MIDEL eN qualified to 420 kV in IEC and ANSI service.</w:t>
      </w:r>
    </w:p>
    <w:p>
      <w:pPr>
        <w:pStyle w:val="Compact"/>
        <w:numPr>
          <w:ilvl w:val="0"/>
          <w:numId w:val="1015"/>
        </w:numPr>
      </w:pPr>
      <w:r>
        <w:t xml:space="preserve">High-voltage transmission: 500–765 kV, 500–1000 MVA — qualified deployments since 2018; MIDEL eN 1204 successfully tested in 765 kV applications by major utilities (Eskom, others).</w:t>
      </w:r>
    </w:p>
    <w:p>
      <w:pPr>
        <w:pStyle w:val="FirstParagraph"/>
      </w:pPr>
      <w:r>
        <w:t xml:space="preserve">The voltage-class limitation that historically restricted ester to distribution has been retired by qualification testing and field experience. The 12 Hz architecture’s reduced dV/dt (Section 7) further relaxes the dielectric stress envelope.</w:t>
      </w:r>
    </w:p>
    <w:bookmarkEnd w:id="31"/>
    <w:bookmarkStart w:id="32" w:name="end-of-life-handling"/>
    <w:p>
      <w:pPr>
        <w:pStyle w:val="Heading3"/>
      </w:pPr>
      <w:r>
        <w:t xml:space="preserve">End-of-life handling</w:t>
      </w:r>
    </w:p>
    <w:p>
      <w:pPr>
        <w:pStyle w:val="FirstParagraph"/>
      </w:pPr>
      <w:r>
        <w:t xml:space="preserve">Natural ester at end of service life:</w:t>
      </w:r>
    </w:p>
    <w:p>
      <w:pPr>
        <w:pStyle w:val="Compact"/>
        <w:numPr>
          <w:ilvl w:val="0"/>
          <w:numId w:val="1016"/>
        </w:numPr>
      </w:pPr>
      <w:r>
        <w:rPr>
          <w:b/>
          <w:bCs/>
        </w:rPr>
        <w:t xml:space="preserve">Filtration and reuse</w:t>
      </w:r>
      <w:r>
        <w:t xml:space="preserve">: spent ester from a transformer that has not experienced major fault is recoverable to original specification through vacuum dehydration, particulate filtration, and additive package replenishment. The same processing equipment used in commissioning serves the recovery cycle.</w:t>
      </w:r>
    </w:p>
    <w:p>
      <w:pPr>
        <w:pStyle w:val="Compact"/>
        <w:numPr>
          <w:ilvl w:val="0"/>
          <w:numId w:val="1016"/>
        </w:numPr>
      </w:pPr>
      <w:r>
        <w:rPr>
          <w:b/>
          <w:bCs/>
        </w:rPr>
        <w:t xml:space="preserve">Energy recovery</w:t>
      </w:r>
      <w:r>
        <w:t xml:space="preserve">: ester is biodegradable but combustible at appropriate temperatures; spent fluid that fails recovery specification is acceptable as fuel oil substitute in industrial boilers, with calorific value comparable to fuel oil and combustion behavior cleaner due to absence of sulfur and aromatics.</w:t>
      </w:r>
    </w:p>
    <w:p>
      <w:pPr>
        <w:pStyle w:val="Compact"/>
        <w:numPr>
          <w:ilvl w:val="0"/>
          <w:numId w:val="1016"/>
        </w:numPr>
      </w:pPr>
      <w:r>
        <w:rPr>
          <w:b/>
          <w:bCs/>
        </w:rPr>
        <w:t xml:space="preserve">Land application</w:t>
      </w:r>
      <w:r>
        <w:t xml:space="preserve">: in agricultural regions where permitting allows, biodegradable ester from non-fault transformers may be land-applied as a soil amendment; the triglyceride structure breaks down through normal biological pathways. This path is genuinely available because the architecture excludes PMA depressants from the standard fluid specification — there is no microplastic-class polymer fraction in the spent fluid stream.</w:t>
      </w:r>
    </w:p>
    <w:p>
      <w:pPr>
        <w:pStyle w:val="Compact"/>
        <w:numPr>
          <w:ilvl w:val="0"/>
          <w:numId w:val="1016"/>
        </w:numPr>
      </w:pPr>
      <w:r>
        <w:rPr>
          <w:b/>
          <w:bCs/>
        </w:rPr>
        <w:t xml:space="preserve">Spill response</w:t>
      </w:r>
      <w:r>
        <w:t xml:space="preserve">: dramatically simpler than mineral oil. Containment booms, absorbent media, and biological remediation handle ester spills on timescales of weeks rather than years; no PCB-equivalent regulatory legacy will accumulate around ester management.</w:t>
      </w:r>
    </w:p>
    <w:p>
      <w:pPr>
        <w:pStyle w:val="FirstParagraph"/>
      </w:pPr>
      <w:r>
        <w:t xml:space="preserve">The end-of-life chain is not just easier than mineral oil — it is qualitatively different in regulatory class. An ester transformer at end-of-service-life is a cellulose-and-copper recovery problem with a biodegradable fluid byproduct, not a hazardous-waste disposal problem.</w:t>
      </w:r>
    </w:p>
    <w:p>
      <w:r>
        <w:pict>
          <v:rect style="width:0;height:1.5pt" o:hralign="center" o:hrstd="t" o:hr="t"/>
        </w:pict>
      </w:r>
    </w:p>
    <w:bookmarkEnd w:id="32"/>
    <w:bookmarkEnd w:id="33"/>
    <w:bookmarkStart w:id="43" w:name="Xf3533aedc1488a2245402ecd368cc3a0a2ee291"/>
    <w:p>
      <w:pPr>
        <w:pStyle w:val="Heading2"/>
      </w:pPr>
      <w:r>
        <w:t xml:space="preserve">Section 6 — Failure mitigation: protection engineering despite ester</w:t>
      </w:r>
    </w:p>
    <w:p>
      <w:pPr>
        <w:pStyle w:val="FirstParagraph"/>
      </w:pPr>
      <w:r>
        <w:t xml:space="preserve">Ester does not eliminate the need for protection engineering. The failure mode is</w:t>
      </w:r>
      <w:r>
        <w:t xml:space="preserve"> </w:t>
      </w:r>
      <w:r>
        <w:rPr>
          <w:i/>
          <w:iCs/>
        </w:rPr>
        <w:t xml:space="preserve">less catastrophic</w:t>
      </w:r>
      <w:r>
        <w:t xml:space="preserve"> </w:t>
      </w:r>
      <w:r>
        <w:t xml:space="preserve">— localized smoldering instead of fireball-class explosion, contained tank rupture instead of substation-loss event — but every protection element specified for mineral-oil practice is specified for ester practice. What ester</w:t>
      </w:r>
      <w:r>
        <w:t xml:space="preserve"> </w:t>
      </w:r>
      <w:r>
        <w:rPr>
          <w:i/>
          <w:iCs/>
        </w:rPr>
        <w:t xml:space="preserve">does</w:t>
      </w:r>
      <w:r>
        <w:t xml:space="preserve"> </w:t>
      </w:r>
      <w:r>
        <w:t xml:space="preserve">change is the protection philosophy. Mineral oil’s seconds-timescale fire-propagation risk forces protection schemes toward hair-trigger trip-on-first-indication logic; ester’s 330°C / 626°F flash point converts the relevant timescale from seconds (fire risk) to minutes-to-hours (thermal aging risk), and the protection scheme can use that margin.</w:t>
      </w:r>
    </w:p>
    <w:bookmarkStart w:id="34" w:name="Xafc458e8e5719decfaef6e552f47a92d2ed5424"/>
    <w:p>
      <w:pPr>
        <w:pStyle w:val="Heading3"/>
      </w:pPr>
      <w:r>
        <w:t xml:space="preserve">Protection philosophy: alarm tier and trip tier</w:t>
      </w:r>
    </w:p>
    <w:p>
      <w:pPr>
        <w:pStyle w:val="FirstParagraph"/>
      </w:pPr>
      <w:r>
        <w:t xml:space="preserve">The architecture splits protection signals into two tiers with distinct authority:</w:t>
      </w:r>
    </w:p>
    <w:p>
      <w:pPr>
        <w:pStyle w:val="BodyText"/>
      </w:pPr>
      <w:r>
        <w:rPr>
          <w:b/>
          <w:bCs/>
        </w:rPr>
        <w:t xml:space="preserve">Alarm tier</w:t>
      </w:r>
      <w:r>
        <w:t xml:space="preserve"> </w:t>
      </w:r>
      <w:r>
        <w:t xml:space="preserve">— detects events upstream of damage. These signals tell the site supervisor that something is happening and roughly where, dispatching investigation but not (in themselves) tripping the breaker. Includes per-radiator coolant level switches, the Buchholz upper float, slow-drift dissolved gas analysis, and main-tank level indication. False signals in this tier produce maintenance tickets, not service interruptions; the operational cost of a false alarm is a site visit, not lost load.</w:t>
      </w:r>
    </w:p>
    <w:p>
      <w:pPr>
        <w:pStyle w:val="BodyText"/>
      </w:pPr>
      <w:r>
        <w:rPr>
          <w:b/>
          <w:bCs/>
        </w:rPr>
        <w:t xml:space="preserve">Trip tier</w:t>
      </w:r>
      <w:r>
        <w:t xml:space="preserve"> </w:t>
      </w:r>
      <w:r>
        <w:t xml:space="preserve">— measures damage actually occurring at the active part. These signals carry breaker authority because they indicate the transformer is past the warning stage. Includes winding hot-spot temperature (RTD or fiber-optic sensors embedded in the winding insulation, or calculated from top-oil temperature plus load current per IEC 60076-7), top-oil temperature (direct RTD in the upper tank region), the Buchholz lower float (significant fluid loss confirmed at the main tank), the Buchholz baffle plate (sudden internal pressure event), and the sudden-pressure relay. Trip-tier signals operate on confirmed damage indication and do not require voting or time delays — by the time hot-spot temperature has risen abnormally, action is warranted regardless of what alarm-tier signals are saying.</w:t>
      </w:r>
    </w:p>
    <w:p>
      <w:pPr>
        <w:pStyle w:val="BodyText"/>
      </w:pPr>
      <w:r>
        <w:t xml:space="preserve">This split is the architectural payoff of ester chemistry. With mineral oil, alarm-tier signals must trip because the time available between alarm and fire is shorter than the time required for human response. With ester, alarm signals can route to investigation because the fire mode that justifies hair-trigger trip is absent; the only remaining trip justification is direct damage measurement.</w:t>
      </w:r>
    </w:p>
    <w:p>
      <w:pPr>
        <w:pStyle w:val="BodyText"/>
      </w:pPr>
      <w:r>
        <w:t xml:space="preserve">The false-trip failure mode — overly aggressive protection that gets disabled by frustrated operators after repeated nuisance trips — is structurally avoided. Alarm signals may be noisy without consequence; trip signals are downstream of physics that doesn’t fluctuate.</w:t>
      </w:r>
    </w:p>
    <w:bookmarkEnd w:id="34"/>
    <w:bookmarkStart w:id="35" w:name="Xf406a653492ab0cf19ba438bba49c7415dea50e"/>
    <w:p>
      <w:pPr>
        <w:pStyle w:val="Heading3"/>
      </w:pPr>
      <w:r>
        <w:t xml:space="preserve">Cooling regime: ONAN as architectural standard</w:t>
      </w:r>
    </w:p>
    <w:p>
      <w:pPr>
        <w:pStyle w:val="FirstParagraph"/>
      </w:pPr>
      <w:r>
        <w:t xml:space="preserve">The architecture specifies natural-convection cooling (ONAN — Oil Natural Air Natural) as the universal cooling mode across all power classes. No oil pumps, no forced-air fans, no auxiliary cooling systems beyond the radiators themselves. The 12 Hz architecture’s larger thermal mass per kVA, larger natural radiator area (Section 7), and the broader operating temperature margin afforded by ester combine to make ONAN sufficient at ratings where 50/60 Hz mineral-oil designs require ONAF (Oil Natural Air Forced) or ONAN/OFAF (Oil Forced) cooling.</w:t>
      </w:r>
    </w:p>
    <w:p>
      <w:pPr>
        <w:pStyle w:val="BodyText"/>
      </w:pPr>
      <w:r>
        <w:t xml:space="preserve">The architectural advantage of ONAN-only cooling is the elimination of auxiliary cooling failure modes. Pump failure, fan failure, control-power loss, and motor controller faults do not exist if the cooling regime does not depend on them. The transformer cooling capacity is what the radiators dissipate by buoyancy-driven flow, full stop. Capacity is reduced under low-air-density conditions (high altitude, very high ambient temperature), but the reduction is gradual and predictable rather than step-function from auxiliary equipment failure.</w:t>
      </w:r>
    </w:p>
    <w:p>
      <w:pPr>
        <w:pStyle w:val="BodyText"/>
      </w:pPr>
      <w:r>
        <w:t xml:space="preserve">ONAN cooling also provides natural reserve: a typical transformer at 60% nameplate load has substantial cooling margin. Loss of one or two radiator banks (out of 8–12 typical) reduces cooling capacity by a corresponding fraction, raising top-oil temperature by a few degrees but remaining within the thermal envelope that ester chemistry tolerates indefinitely. This reserve is what makes the alarm-tier-then-investigate protection logic operationally sound: the unit continues serving load while the alarm is investigated, and trip occurs only if temperatures actually rise to damage thresholds.</w:t>
      </w:r>
    </w:p>
    <w:bookmarkEnd w:id="35"/>
    <w:bookmarkStart w:id="36" w:name="X0a3491749829c18e7af602ea41611fd319daefe"/>
    <w:p>
      <w:pPr>
        <w:pStyle w:val="Heading3"/>
      </w:pPr>
      <w:r>
        <w:t xml:space="preserve">Alarm tier: signals routed to operator investigation</w:t>
      </w:r>
    </w:p>
    <w:p>
      <w:pPr>
        <w:pStyle w:val="FirstParagraph"/>
      </w:pPr>
      <w:r>
        <w:rPr>
          <w:b/>
          <w:bCs/>
        </w:rPr>
        <w:t xml:space="preserve">Per-radiator coolant level switches</w:t>
      </w:r>
      <w:r>
        <w:t xml:space="preserve"> </w:t>
      </w:r>
      <w:r>
        <w:t xml:space="preserve">in each radiator header. Mechanical float-and-magnetic-reed-switch assemblies (or differential temperature sensors comparing radiator inlet/outlet ΔT) detect coolant loss in any individual radiator, dispatching a maintenance alarm to the substation control room and supervisory dispatch. The signal does not trip the breaker; it tells the operator that one radiator has lost fluid and the unit’s cooling capacity is reduced. Implementation detail and per-unit cost developed in Section 8.</w:t>
      </w:r>
    </w:p>
    <w:p>
      <w:pPr>
        <w:pStyle w:val="BodyText"/>
      </w:pPr>
      <w:r>
        <w:rPr>
          <w:b/>
          <w:bCs/>
        </w:rPr>
        <w:t xml:space="preserve">Buchholz upper float (alarm float)</w:t>
      </w:r>
      <w:r>
        <w:t xml:space="preserve">. Drops on slow gas accumulation in the relay chamber from incipient internal fault, or on slow main-tank level fall from leakage. Routes to operator alarm. Provides early warning of partial discharge, low-energy thermal fault, and slow leaks long before any of these reach trip-tier severity.</w:t>
      </w:r>
    </w:p>
    <w:p>
      <w:pPr>
        <w:pStyle w:val="BodyText"/>
      </w:pPr>
      <w:r>
        <w:rPr>
          <w:b/>
          <w:bCs/>
        </w:rPr>
        <w:t xml:space="preserve">Slow-drift dissolved gas analysis (DGA)</w:t>
      </w:r>
      <w:r>
        <w:t xml:space="preserve">. Periodic oil sampling with gas chromatography for hydrogen, methane, ethane, ethylene, acetylene, carbon monoxide, carbon dioxide, oxygen, and nitrogen. Diagnostic interpretation per IEEE C57.155 — and this is where ester service differs significantly from mineral oil practice. Natural ester produces dramatically different baseline gas levels under normal operation:</w:t>
      </w:r>
    </w:p>
    <w:p>
      <w:pPr>
        <w:pStyle w:val="Compact"/>
        <w:numPr>
          <w:ilvl w:val="0"/>
          <w:numId w:val="1017"/>
        </w:numPr>
      </w:pPr>
      <w:r>
        <w:rPr>
          <w:i/>
          <w:iCs/>
        </w:rPr>
        <w:t xml:space="preserve">Carbon monoxide / carbon dioxide</w:t>
      </w:r>
      <w:r>
        <w:t xml:space="preserve">: ester baseline is 5–10× higher than mineral oil due to slow ester oxidation chemistry. Levels that would indicate cellulose insulation breakdown in mineral-oil DGA are normal in ester DGA.</w:t>
      </w:r>
    </w:p>
    <w:p>
      <w:pPr>
        <w:pStyle w:val="Compact"/>
        <w:numPr>
          <w:ilvl w:val="0"/>
          <w:numId w:val="1017"/>
        </w:numPr>
      </w:pPr>
      <w:r>
        <w:rPr>
          <w:i/>
          <w:iCs/>
        </w:rPr>
        <w:t xml:space="preserve">Hydrogen</w:t>
      </w:r>
      <w:r>
        <w:t xml:space="preserve">: ester baseline is 2–3× higher.</w:t>
      </w:r>
    </w:p>
    <w:p>
      <w:pPr>
        <w:pStyle w:val="Compact"/>
        <w:numPr>
          <w:ilvl w:val="0"/>
          <w:numId w:val="1017"/>
        </w:numPr>
      </w:pPr>
      <w:r>
        <w:rPr>
          <w:i/>
          <w:iCs/>
        </w:rPr>
        <w:t xml:space="preserve">Acetylene</w:t>
      </w:r>
      <w:r>
        <w:t xml:space="preserve">: ester baseline is comparable to mineral oil; acetylene above trace level (typically &gt;5 ppm) still indicates electrical fault and warrants investigation.</w:t>
      </w:r>
    </w:p>
    <w:p>
      <w:pPr>
        <w:pStyle w:val="Compact"/>
        <w:numPr>
          <w:ilvl w:val="0"/>
          <w:numId w:val="1017"/>
        </w:numPr>
      </w:pPr>
      <w:r>
        <w:rPr>
          <w:i/>
          <w:iCs/>
        </w:rPr>
        <w:t xml:space="preserve">Ethylene / ethane ratios</w:t>
      </w:r>
      <w:r>
        <w:t xml:space="preserve">: thermal-fault discrimination thresholds differ; lower ethylene/ethane ratios are characteristic of ester normal operation than would be acceptable in mineral oil.</w:t>
      </w:r>
    </w:p>
    <w:p>
      <w:pPr>
        <w:pStyle w:val="FirstParagraph"/>
      </w:pPr>
      <w:r>
        <w:t xml:space="preserve">A maintenance engineer trained on mineral oil DGA who applies mineral-oil thresholds to an ester sample will</w:t>
      </w:r>
      <w:r>
        <w:t xml:space="preserve"> </w:t>
      </w:r>
      <w:r>
        <w:rPr>
          <w:i/>
          <w:iCs/>
        </w:rPr>
        <w:t xml:space="preserve">miss real faults</w:t>
      </w:r>
      <w:r>
        <w:t xml:space="preserve"> </w:t>
      </w:r>
      <w:r>
        <w:t xml:space="preserve">(because ester baseline gases are high and may mask developing fault gases) and</w:t>
      </w:r>
      <w:r>
        <w:t xml:space="preserve"> </w:t>
      </w:r>
      <w:r>
        <w:rPr>
          <w:i/>
          <w:iCs/>
        </w:rPr>
        <w:t xml:space="preserve">generate false alarms</w:t>
      </w:r>
      <w:r>
        <w:t xml:space="preserve"> </w:t>
      </w:r>
      <w:r>
        <w:t xml:space="preserve">(because ester thermal-aging gas signatures can resemble incipient faults under mineral-oil interpretation). DGA interpretation in ester service therefore requires fluid-specific training per IEEE C57.155, even though the analytical equipment (gas chromatograph, sample handling, calibration) is identical to mineral-oil practice. Section 5’s</w:t>
      </w:r>
      <w:r>
        <w:t xml:space="preserve"> </w:t>
      </w:r>
      <w:r>
        <w:t xml:space="preserve">“single training program”</w:t>
      </w:r>
      <w:r>
        <w:t xml:space="preserve"> </w:t>
      </w:r>
      <w:r>
        <w:t xml:space="preserve">claim must be read with this caveat: the analytical training is unified across the architecture, but the diagnostic interpretation training is fluid-specific.</w:t>
      </w:r>
    </w:p>
    <w:p>
      <w:pPr>
        <w:pStyle w:val="BodyText"/>
      </w:pPr>
      <w:r>
        <w:t xml:space="preserve">DGA results are reviewed on a maintenance schedule (monthly for transmission, quarterly for distribution) and inform asset-management decisions including unscheduled de-energization for inspection — but the DGA chromatograph itself does not trip the breaker.</w:t>
      </w:r>
    </w:p>
    <w:p>
      <w:pPr>
        <w:pStyle w:val="BodyText"/>
      </w:pPr>
      <w:r>
        <w:rPr>
          <w:b/>
          <w:bCs/>
        </w:rPr>
        <w:t xml:space="preserve">Main-tank level indication</w:t>
      </w:r>
      <w:r>
        <w:t xml:space="preserve">. Magnetic level gauge on the main tank, alarming on deviation from expected level for current temperature. Confirms or denies radiator-loss alarms (radiator drain below the gate valve does not lower main-tank level; main-tank wall puncture does).</w:t>
      </w:r>
    </w:p>
    <w:p>
      <w:pPr>
        <w:pStyle w:val="BodyText"/>
      </w:pPr>
      <w:r>
        <w:rPr>
          <w:b/>
          <w:bCs/>
        </w:rPr>
        <w:t xml:space="preserve">Bushing condition monitoring</w:t>
      </w:r>
      <w:r>
        <w:t xml:space="preserve">. Capacitance and tan-delta monitoring on bushing taps where instrumented; partial discharge sensors on transmission-class units. Alarms on parameter drift indicating developing bushing degradation.</w:t>
      </w:r>
    </w:p>
    <w:bookmarkEnd w:id="36"/>
    <w:bookmarkStart w:id="37" w:name="iec-61850-integration-of-alarm-tier"/>
    <w:p>
      <w:pPr>
        <w:pStyle w:val="Heading3"/>
      </w:pPr>
      <w:r>
        <w:t xml:space="preserve">IEC 61850 integration of alarm tier</w:t>
      </w:r>
    </w:p>
    <w:p>
      <w:pPr>
        <w:pStyle w:val="FirstParagraph"/>
      </w:pPr>
      <w:r>
        <w:t xml:space="preserve">All alarm-tier signals must integrate with the substation’s protection and control system per IEC 61850. The dry-contact outputs from per-radiator float switches, Buchholz upper float, main-tank level gauge, and bushing condition monitors connect to a station-level multifunction relay or remote terminal unit (RTU), which publishes alarms to the SCADA system via IEC 61850 MMS messaging. Suitable RTU/IED platforms include:</w:t>
      </w:r>
    </w:p>
    <w:p>
      <w:pPr>
        <w:pStyle w:val="Compact"/>
        <w:numPr>
          <w:ilvl w:val="0"/>
          <w:numId w:val="1018"/>
        </w:numPr>
      </w:pPr>
      <w:r>
        <w:rPr>
          <w:i/>
          <w:iCs/>
        </w:rPr>
        <w:t xml:space="preserve">SEL-2407 Satellite-Synchronized Clock &amp; RTU</w:t>
      </w:r>
      <w:r>
        <w:t xml:space="preserve"> </w:t>
      </w:r>
      <w:r>
        <w:t xml:space="preserve">(Schweitzer Engineering Laboratories): IEC 61850 native, supports dry-contact alarm aggregation, hardened for substation environments.</w:t>
      </w:r>
    </w:p>
    <w:p>
      <w:pPr>
        <w:pStyle w:val="Compact"/>
        <w:numPr>
          <w:ilvl w:val="0"/>
          <w:numId w:val="1018"/>
        </w:numPr>
      </w:pPr>
      <w:r>
        <w:rPr>
          <w:i/>
          <w:iCs/>
        </w:rPr>
        <w:t xml:space="preserve">GE Multilin RTU and IED platforms</w:t>
      </w:r>
      <w:r>
        <w:t xml:space="preserve">: similarly capable.</w:t>
      </w:r>
    </w:p>
    <w:p>
      <w:pPr>
        <w:pStyle w:val="Compact"/>
        <w:numPr>
          <w:ilvl w:val="0"/>
          <w:numId w:val="1018"/>
        </w:numPr>
      </w:pPr>
      <w:r>
        <w:rPr>
          <w:i/>
          <w:iCs/>
        </w:rPr>
        <w:t xml:space="preserve">ABB RTU560</w:t>
      </w:r>
      <w:r>
        <w:t xml:space="preserve"> </w:t>
      </w:r>
      <w:r>
        <w:t xml:space="preserve">and successor platforms: similarly capable.</w:t>
      </w:r>
    </w:p>
    <w:p>
      <w:pPr>
        <w:pStyle w:val="Compact"/>
        <w:numPr>
          <w:ilvl w:val="0"/>
          <w:numId w:val="1018"/>
        </w:numPr>
      </w:pPr>
      <w:r>
        <w:rPr>
          <w:i/>
          <w:iCs/>
        </w:rPr>
        <w:t xml:space="preserve">Siemens SICAM</w:t>
      </w:r>
      <w:r>
        <w:t xml:space="preserve">: similarly capable.</w:t>
      </w:r>
    </w:p>
    <w:p>
      <w:pPr>
        <w:pStyle w:val="FirstParagraph"/>
      </w:pPr>
      <w:r>
        <w:t xml:space="preserve">The integration requirement is non-negotiable for unmanned substations. Most distribution substations and many sub-transmission sites operate without on-site operators; the alarm tier’s</w:t>
      </w:r>
      <w:r>
        <w:t xml:space="preserve"> </w:t>
      </w:r>
      <w:r>
        <w:t xml:space="preserve">“operator investigates”</w:t>
      </w:r>
      <w:r>
        <w:t xml:space="preserve"> </w:t>
      </w:r>
      <w:r>
        <w:t xml:space="preserve">function depends entirely on remote alarm visibility through SCADA. A dry-contact float switch wired only to a local annunciator panel produces no investigation at an unmanned site, and the alarm-investigate-trip-on-damage architecture collapses to alarm-do-nothing-trip-on-damage. The latter is</w:t>
      </w:r>
      <w:r>
        <w:t xml:space="preserve"> </w:t>
      </w:r>
      <w:r>
        <w:rPr>
          <w:i/>
          <w:iCs/>
        </w:rPr>
        <w:t xml:space="preserve">less safe</w:t>
      </w:r>
      <w:r>
        <w:t xml:space="preserve"> </w:t>
      </w:r>
      <w:r>
        <w:t xml:space="preserve">than trip-on-first-loss for unmanned sites because the unit continues operating with reduced cooling until thermal-tier trip fires (which may take hours), accumulating insulation damage that the architecture’s alarm-investigate logic was designed to prevent.</w:t>
      </w:r>
    </w:p>
    <w:p>
      <w:pPr>
        <w:pStyle w:val="BodyText"/>
      </w:pPr>
      <w:r>
        <w:t xml:space="preserve">Manned substations may use simpler local annunciation in addition to SCADA, but SCADA integration is required regardless of staffing. The architectural commitment is: every alarm-tier signal at every installation reaches a control center capable of dispatching response within the alarm-tier-relevant timescale (minutes to hours).</w:t>
      </w:r>
    </w:p>
    <w:p>
      <w:pPr>
        <w:pStyle w:val="BodyText"/>
      </w:pPr>
      <w:r>
        <w:t xml:space="preserve">For installations in regions with limited SCADA infrastructure, the architectural requirement falls back to one of two options: (a) man the substation with local operators capable of monitoring local annunciators and authorizing manual de-energization, or (b) accept reduced protection and run alarm-tier signals to local annunciators only, with operational risk acknowledged. Neither option is preferred; SCADA buildout is the architectural target, with the supporting industrial buildout addressed in Section 11 and the parent grid proposal.</w:t>
      </w:r>
    </w:p>
    <w:bookmarkEnd w:id="37"/>
    <w:bookmarkStart w:id="38" w:name="trip-tier-thermal-path-and-fault-path"/>
    <w:p>
      <w:pPr>
        <w:pStyle w:val="Heading3"/>
      </w:pPr>
      <w:r>
        <w:t xml:space="preserve">Trip tier: thermal path and fault path</w:t>
      </w:r>
    </w:p>
    <w:p>
      <w:pPr>
        <w:pStyle w:val="FirstParagraph"/>
      </w:pPr>
      <w:r>
        <w:t xml:space="preserve">The trip tier divides into two paths with fundamentally different timescales and causation. Both are necessary; conflating them produces protection design errors.</w:t>
      </w:r>
    </w:p>
    <w:p>
      <w:pPr>
        <w:pStyle w:val="BodyText"/>
      </w:pPr>
      <w:r>
        <w:rPr>
          <w:b/>
          <w:bCs/>
        </w:rPr>
        <w:t xml:space="preserve">Thermal trip path</w:t>
      </w:r>
      <w:r>
        <w:t xml:space="preserve"> </w:t>
      </w:r>
      <w:r>
        <w:t xml:space="preserve">— minutes-to-hours response, appropriate for cooling-loss and overload causation.</w:t>
      </w:r>
    </w:p>
    <w:p>
      <w:pPr>
        <w:pStyle w:val="BodyText"/>
      </w:pPr>
      <w:r>
        <w:t xml:space="preserve">The thermal path responds to temperature rise from any cause that produces gradual heating: coolant loss, sustained overload, ambient temperature exceedance, blocked airflow, or progressive insulation degradation. Sensor response times are seconds-to-minutes due to thermal time constants of the sensor sheaths and the bulk fluid; the path’s overall response time is set by the time-to-temperature-threshold under the prevailing fault condition, typically minutes to hours. This is the path that ester’s flash-point margin makes operationally safe to handle through alarm-investigate-trip-on-confirmed-damage logic.</w:t>
      </w:r>
    </w:p>
    <w:p>
      <w:pPr>
        <w:pStyle w:val="Compact"/>
        <w:numPr>
          <w:ilvl w:val="0"/>
          <w:numId w:val="1019"/>
        </w:numPr>
      </w:pPr>
      <w:r>
        <w:rPr>
          <w:i/>
          <w:iCs/>
        </w:rPr>
        <w:t xml:space="preserve">Winding hot-spot temperature</w:t>
      </w:r>
      <w:r>
        <w:t xml:space="preserve">. Fiber-optic temperature sensors embedded in the winding insulation at the calculated hot-spot location during manufacture, or RTD measurement of top-oil temperature combined with load-current calculation per IEC 60076-7 hot-spot model. Trip threshold typically set at 140°C / 284°F for natural ester service (vs 110°C / 230°F for mineral oil — ester’s higher temperature tolerance is itself an architectural advantage), with alarm pre-warning at 130°C / 266°F to dispatch operator response before trip.</w:t>
      </w:r>
    </w:p>
    <w:p>
      <w:pPr>
        <w:pStyle w:val="Compact"/>
        <w:numPr>
          <w:ilvl w:val="0"/>
          <w:numId w:val="1019"/>
        </w:numPr>
      </w:pPr>
      <w:r>
        <w:rPr>
          <w:i/>
          <w:iCs/>
        </w:rPr>
        <w:t xml:space="preserve">Top-oil temperature</w:t>
      </w:r>
      <w:r>
        <w:t xml:space="preserve">. Direct RTD measurement of upper-tank fluid temperature. Trip threshold typically 95°C / 203°F for natural ester (vs 85°C / 185°F for mineral oil). Provides redundant thermal protection independent of hot-spot calculation; backstop for cases where hot-spot sensors fail or are not installed.</w:t>
      </w:r>
    </w:p>
    <w:p>
      <w:pPr>
        <w:pStyle w:val="Compact"/>
        <w:numPr>
          <w:ilvl w:val="0"/>
          <w:numId w:val="1019"/>
        </w:numPr>
      </w:pPr>
      <w:r>
        <w:rPr>
          <w:i/>
          <w:iCs/>
        </w:rPr>
        <w:t xml:space="preserve">Buchholz lower float (trip float)</w:t>
      </w:r>
      <w:r>
        <w:t xml:space="preserve">. Drops on confirmed significant fluid loss at the main-tank-to-conservator interface. The lower float is downstream of the upper float in event sequence: by the time the lower float trips, the upper float has been alarming for some period, the operator has been notified, and the fluid loss has progressed to confirmed-major-loss severity.</w:t>
      </w:r>
    </w:p>
    <w:p>
      <w:pPr>
        <w:pStyle w:val="FirstParagraph"/>
      </w:pPr>
      <w:r>
        <w:t xml:space="preserve">A unit losing cooling capacity from any cause — radiator drain, ambient excursion, blocked vent, sustained overload — will rise to thermal-path alarm threshold and then trip threshold over a span of minutes to hours, giving the operator time to investigate alarm-tier signals, transfer load where redundancy allows, and intervene before automated trip.</w:t>
      </w:r>
    </w:p>
    <w:p>
      <w:pPr>
        <w:pStyle w:val="BodyText"/>
      </w:pPr>
      <w:r>
        <w:rPr>
          <w:b/>
          <w:bCs/>
        </w:rPr>
        <w:t xml:space="preserve">Fault trip path</w:t>
      </w:r>
      <w:r>
        <w:t xml:space="preserve"> </w:t>
      </w:r>
      <w:r>
        <w:t xml:space="preserve">— millisecond-to-cycles response, appropriate for arc-fault causation.</w:t>
      </w:r>
    </w:p>
    <w:p>
      <w:pPr>
        <w:pStyle w:val="BodyText"/>
      </w:pPr>
      <w:r>
        <w:t xml:space="preserve">Internal arc fault produces winding damage in milliseconds-to-cycles; thermal sensors</w:t>
      </w:r>
      <w:r>
        <w:t xml:space="preserve"> </w:t>
      </w:r>
      <w:r>
        <w:rPr>
          <w:i/>
          <w:iCs/>
        </w:rPr>
        <w:t xml:space="preserve">do not see this</w:t>
      </w:r>
      <w:r>
        <w:t xml:space="preserve"> </w:t>
      </w:r>
      <w:r>
        <w:t xml:space="preserve">because:</w:t>
      </w:r>
    </w:p>
    <w:p>
      <w:pPr>
        <w:pStyle w:val="Compact"/>
        <w:numPr>
          <w:ilvl w:val="0"/>
          <w:numId w:val="1020"/>
        </w:numPr>
      </w:pPr>
      <w:r>
        <w:t xml:space="preserve">RTD or fiber-optic sensor sheaths have thermal time constants of seconds-to-minutes due to sheath thermal inertia.</w:t>
      </w:r>
    </w:p>
    <w:p>
      <w:pPr>
        <w:pStyle w:val="Compact"/>
        <w:numPr>
          <w:ilvl w:val="0"/>
          <w:numId w:val="1020"/>
        </w:numPr>
      </w:pPr>
      <w:r>
        <w:t xml:space="preserve">Winding temperature averaging across a sensor location does not capture localized arc fault hot spots that may be centimeters from the sensor.</w:t>
      </w:r>
    </w:p>
    <w:p>
      <w:pPr>
        <w:pStyle w:val="Compact"/>
        <w:numPr>
          <w:ilvl w:val="0"/>
          <w:numId w:val="1020"/>
        </w:numPr>
      </w:pPr>
      <w:r>
        <w:t xml:space="preserve">The sensor measures bulk insulation temperature; arc fault destroys insulation at the arc location before bulk temperature has noticeably risen.</w:t>
      </w:r>
    </w:p>
    <w:p>
      <w:pPr>
        <w:pStyle w:val="FirstParagraph"/>
      </w:pPr>
      <w:r>
        <w:t xml:space="preserve">The fault path therefore relies on different physics — current imbalance, sudden gas evolution, sudden pressure rise — and operates on millisecond automation. There is no operator-in-the-loop on this path; by the time a human could respond, the damage has already been done.</w:t>
      </w:r>
    </w:p>
    <w:p>
      <w:pPr>
        <w:pStyle w:val="Compact"/>
        <w:numPr>
          <w:ilvl w:val="0"/>
          <w:numId w:val="1021"/>
        </w:numPr>
      </w:pPr>
      <w:r>
        <w:rPr>
          <w:i/>
          <w:iCs/>
        </w:rPr>
        <w:t xml:space="preserve">Differential current protection (87T)</w:t>
      </w:r>
      <w:r>
        <w:t xml:space="preserve">. Standard transformer differential relay measuring current imbalance between primary and secondary windings (and tertiary where applicable). Trips on internal fault current that would otherwise melt windings before any thermal sensor responds. Operates in 1–4 cycles (16–80 ms at 50/60 Hz). The 12 Hz architecture’s specific 87T requirements are detailed in subsection 6.5 below.</w:t>
      </w:r>
    </w:p>
    <w:p>
      <w:pPr>
        <w:pStyle w:val="Compact"/>
        <w:numPr>
          <w:ilvl w:val="0"/>
          <w:numId w:val="1021"/>
        </w:numPr>
      </w:pPr>
      <w:r>
        <w:rPr>
          <w:i/>
          <w:iCs/>
        </w:rPr>
        <w:t xml:space="preserve">Buchholz baffle plate</w:t>
      </w:r>
      <w:r>
        <w:t xml:space="preserve">. Trips on high-velocity oil flow toward the conservator from sudden internal pressure event (arc fault, tank rupture). Operates in 50–150 ms.</w:t>
      </w:r>
    </w:p>
    <w:p>
      <w:pPr>
        <w:pStyle w:val="Compact"/>
        <w:numPr>
          <w:ilvl w:val="0"/>
          <w:numId w:val="1021"/>
        </w:numPr>
      </w:pPr>
      <w:r>
        <w:rPr>
          <w:i/>
          <w:iCs/>
        </w:rPr>
        <w:t xml:space="preserve">Sudden-pressure relay (SPR)</w:t>
      </w:r>
      <w:r>
        <w:t xml:space="preserve">. Diaphragm or piston-actuated dP/dt detection independent of the Buchholz baffle. Operates in 5–20 ms on pressure rise rates above a calibrated threshold (typically 10–50 kPa/ms / 1.5–7 psi/ms). Redundant protection for rapid arc-driven pressure events.</w:t>
      </w:r>
    </w:p>
    <w:p>
      <w:pPr>
        <w:pStyle w:val="Compact"/>
        <w:numPr>
          <w:ilvl w:val="0"/>
          <w:numId w:val="1021"/>
        </w:numPr>
      </w:pPr>
      <w:r>
        <w:rPr>
          <w:i/>
          <w:iCs/>
        </w:rPr>
        <w:t xml:space="preserve">Restricted earth fault (REF) protection</w:t>
      </w:r>
      <w:r>
        <w:t xml:space="preserve">. Differential current measurement on the neutral leg, detecting ground faults that may not produce sufficient phase-to-phase current imbalance to operate the main 87T. Trip authority on confirmed ground fault inside the protected zone.</w:t>
      </w:r>
    </w:p>
    <w:p>
      <w:pPr>
        <w:pStyle w:val="FirstParagraph"/>
      </w:pPr>
      <w:r>
        <w:t xml:space="preserve">The fault path is fast, automated, and not subject to the alarm-investigate-confirm logic that governs the thermal path. This is correct: ester chemistry does not change the timescale on which arc fault damages insulation, only the timescale on which fire propagates after damage occurs. The fault path operates exactly as it does in mineral-oil practice.</w:t>
      </w:r>
    </w:p>
    <w:p>
      <w:pPr>
        <w:pStyle w:val="BodyText"/>
      </w:pPr>
      <w:r>
        <w:t xml:space="preserve">The two paths together cover the full failure space: thermal path catches gradual events using ester’s thermal margin to support thoughtful response; fault path catches sudden events using conventional millisecond automation.</w:t>
      </w:r>
    </w:p>
    <w:bookmarkEnd w:id="38"/>
    <w:bookmarkStart w:id="39" w:name="differential-protection-at-12-hz"/>
    <w:p>
      <w:pPr>
        <w:pStyle w:val="Heading3"/>
      </w:pPr>
      <w:r>
        <w:t xml:space="preserve">6.5 — Differential protection at 12 Hz</w:t>
      </w:r>
    </w:p>
    <w:p>
      <w:pPr>
        <w:pStyle w:val="FirstParagraph"/>
      </w:pPr>
      <w:r>
        <w:t xml:space="preserve">The 12 Hz operating frequency requires the transformer differential relay (87T) to be reconfigured for the new fundamental and harmonic content. Standard 50/60 Hz 87T relays implement two principal restraint mechanisms to prevent false trips during normal switching transients:</w:t>
      </w:r>
    </w:p>
    <w:p>
      <w:pPr>
        <w:pStyle w:val="Compact"/>
        <w:numPr>
          <w:ilvl w:val="0"/>
          <w:numId w:val="1022"/>
        </w:numPr>
      </w:pPr>
      <w:r>
        <w:rPr>
          <w:i/>
          <w:iCs/>
        </w:rPr>
        <w:t xml:space="preserve">Second-harmonic restraint</w:t>
      </w:r>
      <w:r>
        <w:t xml:space="preserve">: prevents false trip on energization inrush. Magnetizing inrush current is rich in second harmonic of the fundamental (100 Hz at 50 Hz mains, 120 Hz at 60 Hz mains). The relay detects second-harmonic content above a threshold (typically 15–20% of fundamental) and blocks tripping on the assumption that the current imbalance is inrush, not internal fault.</w:t>
      </w:r>
    </w:p>
    <w:p>
      <w:pPr>
        <w:pStyle w:val="Compact"/>
        <w:numPr>
          <w:ilvl w:val="0"/>
          <w:numId w:val="1022"/>
        </w:numPr>
      </w:pPr>
      <w:r>
        <w:rPr>
          <w:i/>
          <w:iCs/>
        </w:rPr>
        <w:t xml:space="preserve">Fifth-harmonic restraint</w:t>
      </w:r>
      <w:r>
        <w:t xml:space="preserve">: prevents false trip on transformer overexcitation (overvoltage or underfrequency). Overexcitation produces strong fifth-harmonic content (250 Hz at 50 Hz, 300 Hz at 60 Hz) due to core saturation; the relay blocks on this signature.</w:t>
      </w:r>
    </w:p>
    <w:p>
      <w:pPr>
        <w:pStyle w:val="FirstParagraph"/>
      </w:pPr>
      <w:r>
        <w:t xml:space="preserve">At 12 Hz fundamental, these harmonics shift to 24 Hz (second) and 60 Hz (fifth). The shift is not a problem in principle — the harmonic restraint logic is fundamentally sound at any operating frequency — but the</w:t>
      </w:r>
      <w:r>
        <w:t xml:space="preserve"> </w:t>
      </w:r>
      <w:r>
        <w:rPr>
          <w:i/>
          <w:iCs/>
        </w:rPr>
        <w:t xml:space="preserve">filter design</w:t>
      </w:r>
      <w:r>
        <w:t xml:space="preserve"> </w:t>
      </w:r>
      <w:r>
        <w:t xml:space="preserve">in legacy 87T relays is hard-coded to specific harmonic frequencies. A 60 Hz 87T relay applied to a 12 Hz transformer will see the 24 Hz second-harmonic of inrush as approximately the</w:t>
      </w:r>
      <w:r>
        <w:t xml:space="preserve"> </w:t>
      </w:r>
      <w:r>
        <w:rPr>
          <w:i/>
          <w:iCs/>
        </w:rPr>
        <w:t xml:space="preserve">fifth</w:t>
      </w:r>
      <w:r>
        <w:t xml:space="preserve"> </w:t>
      </w:r>
      <w:r>
        <w:t xml:space="preserve">harmonic of its expected 60 Hz fundamental and</w:t>
      </w:r>
      <w:r>
        <w:t xml:space="preserve"> </w:t>
      </w:r>
      <w:r>
        <w:rPr>
          <w:i/>
          <w:iCs/>
        </w:rPr>
        <w:t xml:space="preserve">attempt fifth-harmonic restraint logic on inrush data</w:t>
      </w:r>
      <w:r>
        <w:t xml:space="preserve">, producing nondeterministic behavior. False trips on every energization are likely; false non-trip on actual fault is also possible.</w:t>
      </w:r>
    </w:p>
    <w:p>
      <w:pPr>
        <w:pStyle w:val="BodyText"/>
      </w:pPr>
      <w:r>
        <w:t xml:space="preserve">The architectural answer is software-reconfigurable digital relay platforms that can be retuned to 12 Hz operation. Modern microprocessor-based relays implement harmonic restraint in DSP firmware rather than analog filters; recalibration is a firmware reconfiguration plus harmonic-content validation testing, not hardware redesign. Suitable platforms include:</w:t>
      </w:r>
    </w:p>
    <w:p>
      <w:pPr>
        <w:pStyle w:val="Compact"/>
        <w:numPr>
          <w:ilvl w:val="0"/>
          <w:numId w:val="1023"/>
        </w:numPr>
      </w:pPr>
      <w:r>
        <w:rPr>
          <w:i/>
          <w:iCs/>
        </w:rPr>
        <w:t xml:space="preserve">SEL-487E</w:t>
      </w:r>
      <w:r>
        <w:t xml:space="preserve"> </w:t>
      </w:r>
      <w:r>
        <w:t xml:space="preserve">(Schweitzer Engineering Laboratories): software-configurable for non-standard fundamental frequencies with vendor support; SEL has confirmed informally that 12 Hz reconfiguration is within the platform’s capability subject to validation testing.</w:t>
      </w:r>
    </w:p>
    <w:p>
      <w:pPr>
        <w:pStyle w:val="Compact"/>
        <w:numPr>
          <w:ilvl w:val="0"/>
          <w:numId w:val="1023"/>
        </w:numPr>
      </w:pPr>
      <w:r>
        <w:rPr>
          <w:i/>
          <w:iCs/>
        </w:rPr>
        <w:t xml:space="preserve">Hitachi Energy RET670</w:t>
      </w:r>
      <w:r>
        <w:t xml:space="preserve"> </w:t>
      </w:r>
      <w:r>
        <w:t xml:space="preserve">(formerly ABB): the IED-based architecture supports custom protection logic via configurable function blocks; 12 Hz operation requires firmware adaptation but no hardware redesign.</w:t>
      </w:r>
    </w:p>
    <w:p>
      <w:pPr>
        <w:pStyle w:val="Compact"/>
        <w:numPr>
          <w:ilvl w:val="0"/>
          <w:numId w:val="1023"/>
        </w:numPr>
      </w:pPr>
      <w:r>
        <w:rPr>
          <w:i/>
          <w:iCs/>
        </w:rPr>
        <w:t xml:space="preserve">GE Multilin T60 / B30</w:t>
      </w:r>
      <w:r>
        <w:t xml:space="preserve">: similar capability profile; reconfiguration feasible.</w:t>
      </w:r>
    </w:p>
    <w:p>
      <w:pPr>
        <w:pStyle w:val="Compact"/>
        <w:numPr>
          <w:ilvl w:val="0"/>
          <w:numId w:val="1023"/>
        </w:numPr>
      </w:pPr>
      <w:r>
        <w:rPr>
          <w:i/>
          <w:iCs/>
        </w:rPr>
        <w:t xml:space="preserve">Siemens SIPROTEC 7UT</w:t>
      </w:r>
      <w:r>
        <w:t xml:space="preserve">: similar.</w:t>
      </w:r>
    </w:p>
    <w:p>
      <w:pPr>
        <w:pStyle w:val="FirstParagraph"/>
      </w:pPr>
      <w:r>
        <w:t xml:space="preserve">The 12 Hz relay reconfiguration is a Phase 0 pilot deliverable per the parent grid proposal Section 5.2, with validation testing on the Sandia pilot transformer providing the empirical data needed to certify settings for production deployment. The reconfiguration cost per relay platform is in the engineering range ($100K–500K for firmware development and certification per vendor); per-unit incremental cost over standard 87T deployment is negligible once the platform is qualified.</w:t>
      </w:r>
    </w:p>
    <w:p>
      <w:pPr>
        <w:pStyle w:val="BodyText"/>
      </w:pPr>
      <w:r>
        <w:t xml:space="preserve">REF protection and overcurrent protection (50/51) follow the same pattern: digital relays adapt; analog relays do not. The 12 Hz architecture standardizes on digital relay platforms across the protection stack, with analog relays excluded from new installations. Existing analog protection is acceptable on retrofit installations being converted to ester service if the conversion does not also include frequency conversion to 12 Hz.</w:t>
      </w:r>
    </w:p>
    <w:bookmarkEnd w:id="39"/>
    <w:bookmarkStart w:id="40" w:name="X9359b1a11821075e88346d40c422554666089d9"/>
    <w:p>
      <w:pPr>
        <w:pStyle w:val="Heading3"/>
      </w:pPr>
      <w:r>
        <w:t xml:space="preserve">Site policy: load preservation versus asset preservation</w:t>
      </w:r>
    </w:p>
    <w:p>
      <w:pPr>
        <w:pStyle w:val="FirstParagraph"/>
      </w:pPr>
      <w:r>
        <w:t xml:space="preserve">The trip-tier thresholds above are the architectural baseline — the temperatures and signals at which the unit is genuinely about to sustain damage. Within the alarm tier, the question of whether operator response prioritizes load preservation (keep the unit running while investigating) or asset preservation (de-energize on alarm, accept service interruption) is a</w:t>
      </w:r>
      <w:r>
        <w:t xml:space="preserve"> </w:t>
      </w:r>
      <w:r>
        <w:rPr>
          <w:i/>
          <w:iCs/>
        </w:rPr>
        <w:t xml:space="preserve">site policy decision</w:t>
      </w:r>
      <w:r>
        <w:t xml:space="preserve"> </w:t>
      </w:r>
      <w:r>
        <w:t xml:space="preserve">set per installation, not a universal architectural rule.</w:t>
      </w:r>
    </w:p>
    <w:p>
      <w:pPr>
        <w:pStyle w:val="BodyText"/>
      </w:pPr>
      <w:r>
        <w:t xml:space="preserve">Sites where load preservation outranks asset preservation:</w:t>
      </w:r>
    </w:p>
    <w:p>
      <w:pPr>
        <w:pStyle w:val="Compact"/>
        <w:numPr>
          <w:ilvl w:val="0"/>
          <w:numId w:val="1024"/>
        </w:numPr>
      </w:pPr>
      <w:r>
        <w:rPr>
          <w:i/>
          <w:iCs/>
        </w:rPr>
        <w:t xml:space="preserve">Single-feeder critical load</w:t>
      </w:r>
      <w:r>
        <w:t xml:space="preserve">: hospital, water treatment plant, cold-climate residential heating in deep winter, isolated industrial process. Loss of power produces immediate harm; the unit may be allowed to continue operating with reduced cooling capacity while load is transferred or repair crews dispatched, even at meaningful risk to the transformer. Trip occurs only on trip-tier signals indicating actual damage.</w:t>
      </w:r>
    </w:p>
    <w:p>
      <w:pPr>
        <w:pStyle w:val="Compact"/>
        <w:numPr>
          <w:ilvl w:val="0"/>
          <w:numId w:val="1024"/>
        </w:numPr>
      </w:pPr>
      <w:r>
        <w:rPr>
          <w:i/>
          <w:iCs/>
        </w:rPr>
        <w:t xml:space="preserve">Generation step-up units</w:t>
      </w:r>
      <w:r>
        <w:t xml:space="preserve">: tripping disconnects the generator from the grid and may produce a frequency event on a stressed system. Operator authority over de-energization is preferred.</w:t>
      </w:r>
    </w:p>
    <w:p>
      <w:pPr>
        <w:pStyle w:val="FirstParagraph"/>
      </w:pPr>
      <w:r>
        <w:t xml:space="preserve">Sites where asset preservation outranks load preservation:</w:t>
      </w:r>
    </w:p>
    <w:p>
      <w:pPr>
        <w:pStyle w:val="Compact"/>
        <w:numPr>
          <w:ilvl w:val="0"/>
          <w:numId w:val="1025"/>
        </w:numPr>
      </w:pPr>
      <w:r>
        <w:rPr>
          <w:i/>
          <w:iCs/>
        </w:rPr>
        <w:t xml:space="preserve">Meshed transmission with N+1 or better redundancy</w:t>
      </w:r>
      <w:r>
        <w:t xml:space="preserve">: load reroutes seamlessly; the unit can be taken offline on alarm-tier signals without service interruption. Tighter trip thresholds and lower-confidence alarm-to-trip escalation are appropriate.</w:t>
      </w:r>
    </w:p>
    <w:p>
      <w:pPr>
        <w:pStyle w:val="Compact"/>
        <w:numPr>
          <w:ilvl w:val="0"/>
          <w:numId w:val="1025"/>
        </w:numPr>
      </w:pPr>
      <w:r>
        <w:rPr>
          <w:i/>
          <w:iCs/>
        </w:rPr>
        <w:t xml:space="preserve">Urban distribution with parallel feeders</w:t>
      </w:r>
      <w:r>
        <w:t xml:space="preserve">: similar to above at lower voltage class.</w:t>
      </w:r>
    </w:p>
    <w:p>
      <w:pPr>
        <w:pStyle w:val="FirstParagraph"/>
      </w:pPr>
      <w:r>
        <w:t xml:space="preserve">The architecture provides the sensor stack and the protection-relay logic; the per-site configuration sets the thresholds for transitioning from alarm to trip, the time delays on alarm-tier signals, and the operator authority for manual intervention. Default thresholds suitable for most installations are documented above; site-specific tuning is part of commissioning.</w:t>
      </w:r>
    </w:p>
    <w:bookmarkEnd w:id="40"/>
    <w:bookmarkStart w:id="41" w:name="other-protection-stack-elements"/>
    <w:p>
      <w:pPr>
        <w:pStyle w:val="Heading3"/>
      </w:pPr>
      <w:r>
        <w:t xml:space="preserve">Other protection-stack elements</w:t>
      </w:r>
    </w:p>
    <w:p>
      <w:pPr>
        <w:pStyle w:val="FirstParagraph"/>
      </w:pPr>
      <w:r>
        <w:rPr>
          <w:b/>
          <w:bCs/>
        </w:rPr>
        <w:t xml:space="preserve">Surge arresters (MOV, metal-oxide varistor)</w:t>
      </w:r>
      <w:r>
        <w:t xml:space="preserve"> </w:t>
      </w:r>
      <w:r>
        <w:t xml:space="preserve">on every bushing terminal. ZnO varistor blocks clip lightning impulse and switching transient overvoltages before they reach windings. Coordinated to operate below transformer BIL with margin; specified per IEEE C62.22 or IEC 60099-5. In tropical deployment with high lightning flash density (Section 9), arrester sizing and lead-length minimization are critical.</w:t>
      </w:r>
    </w:p>
    <w:p>
      <w:pPr>
        <w:pStyle w:val="BodyText"/>
      </w:pPr>
      <w:r>
        <w:rPr>
          <w:b/>
          <w:bCs/>
        </w:rPr>
        <w:t xml:space="preserve">Rapid-depressurization systems</w:t>
      </w:r>
      <w:r>
        <w:t xml:space="preserve"> </w:t>
      </w:r>
      <w:r>
        <w:t xml:space="preserve">for critical units. Sergi-class systems and equivalents combine a calibrated rupture disk with inert-gas (typically nitrogen) injection within 0.5–2 ms / 500–2,000 μs of pressure-wave detection. The rupture disk vents arc-cracking gases through a sized stack to a remote location; nitrogen injection displaces oxygen from the headspace, suppressing fire in any residual oil mist. Specified for transmission and generation step-up units where fire-suppression failure would have grid-level consequence. Note that ester’s high flash point makes this much less critical than for mineral oil; the rapid-depressurization system is retained for transmission-class units as defense-in-depth.</w:t>
      </w:r>
    </w:p>
    <w:p>
      <w:pPr>
        <w:pStyle w:val="BodyText"/>
      </w:pPr>
      <w:r>
        <w:rPr>
          <w:b/>
          <w:bCs/>
        </w:rPr>
        <w:t xml:space="preserve">Vacuum oil processing during commissioning</w:t>
      </w:r>
      <w:r>
        <w:t xml:space="preserve"> </w:t>
      </w:r>
      <w:r>
        <w:t xml:space="preserve">to &lt;10 ppm moisture. Critical for ester service due to ester’s high water-saturation capacity: a poorly processed ester transformer can accumulate dissolved moisture without obvious symptoms until paper insulation hydrolysis is well advanced. Field commissioning protocol: vacuum dehydration to &lt;10 ppm at 80°C / 176°F, hold under vacuum for 24+ hours, sample for moisture and dielectric breakdown voltage before energization.</w:t>
      </w:r>
    </w:p>
    <w:p>
      <w:pPr>
        <w:pStyle w:val="BodyText"/>
      </w:pPr>
      <w:r>
        <w:rPr>
          <w:b/>
          <w:bCs/>
        </w:rPr>
        <w:t xml:space="preserve">Corrugated tank construction</w:t>
      </w:r>
      <w:r>
        <w:t xml:space="preserve"> </w:t>
      </w:r>
      <w:r>
        <w:t xml:space="preserve">with predetermined rupture paths venting away from personnel. Ester tank rupture under fault is rare and lower-energy than mineral oil rupture, but should be designed for. Tank wall corrugation provides expansion volume for pressure transients; rupture should occur at engineered weak points (typically top-side seams) directing any vented material upward and away from access paths. Standard practice in modern transformer design; preserved in the architecture.</w:t>
      </w:r>
    </w:p>
    <w:p>
      <w:pPr>
        <w:pStyle w:val="BodyText"/>
      </w:pPr>
      <w:r>
        <w:rPr>
          <w:b/>
          <w:bCs/>
        </w:rPr>
        <w:t xml:space="preserve">Conservator with thermal-expansion headroom sized for full operating range</w:t>
      </w:r>
      <w:r>
        <w:t xml:space="preserve">. The conservator must accommodate ester thermal expansion from the lowest design winter temperature (cold-soak with fluid solid in the radiators) to peak operating temperature (full load on hot day), plus operating headroom for breathing volume during normal load cycling.</w:t>
      </w:r>
    </w:p>
    <w:p>
      <w:pPr>
        <w:pStyle w:val="BodyText"/>
      </w:pPr>
      <w:r>
        <w:t xml:space="preserve">Volume-temperature derivation for natural ester (high-oleic rapeseed):</w:t>
      </w:r>
    </w:p>
    <w:p>
      <w:pPr>
        <w:pStyle w:val="Compact"/>
        <w:numPr>
          <w:ilvl w:val="0"/>
          <w:numId w:val="1026"/>
        </w:numPr>
      </w:pPr>
      <w:r>
        <w:t xml:space="preserve">Liquid-phase coefficient of cubical thermal expansion: α ≈ 7.5 × 10⁻⁴ /°C (vs 7.0 × 10⁻⁴ /°C for naphthenic mineral oil — within 7%, comparable behavior).</w:t>
      </w:r>
    </w:p>
    <w:p>
      <w:pPr>
        <w:pStyle w:val="Compact"/>
        <w:numPr>
          <w:ilvl w:val="0"/>
          <w:numId w:val="1026"/>
        </w:numPr>
      </w:pPr>
      <w:r>
        <w:t xml:space="preserve">Liquid-phase volume change from –20°C / –4°F (above pour point, lowest practical liquid-phase operating temperature) to +90°C / +194°F (peak operating top-oil temperature): ΔV/V = α × ΔT = 7.5 × 10⁻⁴ × 110 ≈ 8.3%.</w:t>
      </w:r>
    </w:p>
    <w:p>
      <w:pPr>
        <w:pStyle w:val="Compact"/>
        <w:numPr>
          <w:ilvl w:val="0"/>
          <w:numId w:val="1026"/>
        </w:numPr>
      </w:pPr>
      <w:r>
        <w:t xml:space="preserve">Solid-phase volume change for triglycerides: triglycerides solidify with</w:t>
      </w:r>
      <w:r>
        <w:t xml:space="preserve"> </w:t>
      </w:r>
      <w:r>
        <w:rPr>
          <w:i/>
          <w:iCs/>
        </w:rPr>
        <w:t xml:space="preserve">decrease</w:t>
      </w:r>
      <w:r>
        <w:t xml:space="preserve"> </w:t>
      </w:r>
      <w:r>
        <w:t xml:space="preserve">in volume (opposite of water), typically 3–5% volume contraction at the liquid-to-solid transition due to molecular packing in the crystalline phase. This is operationally favorable: solid-phase fluid occupies less volume than liquid-phase, leaving the conservator with extra headroom rather than risking burst pressure during cold-soak.</w:t>
      </w:r>
    </w:p>
    <w:p>
      <w:pPr>
        <w:pStyle w:val="Compact"/>
        <w:numPr>
          <w:ilvl w:val="0"/>
          <w:numId w:val="1026"/>
        </w:numPr>
      </w:pPr>
      <w:r>
        <w:t xml:space="preserve">The bounding case for conservator sizing is therefore the</w:t>
      </w:r>
      <w:r>
        <w:t xml:space="preserve"> </w:t>
      </w:r>
      <w:r>
        <w:rPr>
          <w:i/>
          <w:iCs/>
        </w:rPr>
        <w:t xml:space="preserve">liquid-phase operating range</w:t>
      </w:r>
      <w:r>
        <w:t xml:space="preserve"> </w:t>
      </w:r>
      <w:r>
        <w:t xml:space="preserve">(–20°C to +90°C, ~8.3%), not the cold-soak excursion.</w:t>
      </w:r>
    </w:p>
    <w:p>
      <w:pPr>
        <w:pStyle w:val="Compact"/>
        <w:numPr>
          <w:ilvl w:val="0"/>
          <w:numId w:val="1026"/>
        </w:numPr>
      </w:pPr>
      <w:r>
        <w:t xml:space="preserve">Operating breathing volume for normal load cycling (typical 25°C diurnal swing on top oil under variable load): an additional 1.7% volume.</w:t>
      </w:r>
    </w:p>
    <w:p>
      <w:pPr>
        <w:pStyle w:val="Compact"/>
        <w:numPr>
          <w:ilvl w:val="0"/>
          <w:numId w:val="1026"/>
        </w:numPr>
      </w:pPr>
      <w:r>
        <w:t xml:space="preserve">Margin for installation tolerance, partial conservator filling, and oil-level gauge dead-band: 2–3%.</w:t>
      </w:r>
    </w:p>
    <w:p>
      <w:pPr>
        <w:pStyle w:val="FirstParagraph"/>
      </w:pPr>
      <w:r>
        <w:t xml:space="preserve">Total required conservator volume: 8.3 + 1.7 + 2-3 =</w:t>
      </w:r>
      <w:r>
        <w:t xml:space="preserve"> </w:t>
      </w:r>
      <w:r>
        <w:rPr>
          <w:b/>
          <w:bCs/>
        </w:rPr>
        <w:t xml:space="preserve">12–13% of total fluid volume</w:t>
      </w:r>
      <w:r>
        <w:t xml:space="preserve">. The architecture specifies 12–15% to accommodate the upper end of installation variance and to align with the standard cold-climate practice that already uses this range for mineral oil. The standard IEC 60076-1 specification of 8–12% for mineral oil reflects warmer operating-range assumptions; ester service in cold-climate deployment requires the upper end of the range with modest additional margin.</w:t>
      </w:r>
    </w:p>
    <w:p>
      <w:pPr>
        <w:pStyle w:val="BodyText"/>
      </w:pPr>
      <w:r>
        <w:t xml:space="preserve">The ester expansion ratio is comparable to mineral oil within ~7% on the cubical expansion coefficient, and the cold-soak case is operationally favorable (volume contraction during solidification rather than expansion). The conservator design is straightforward engineering, well-handled by existing conservator design practice; the architectural implication is that conservator sizing for ester service follows mineral-oil cold-climate practice without modification.</w:t>
      </w:r>
    </w:p>
    <w:p>
      <w:pPr>
        <w:pStyle w:val="BodyText"/>
      </w:pPr>
      <w:r>
        <w:rPr>
          <w:b/>
          <w:bCs/>
        </w:rPr>
        <w:t xml:space="preserve">Compartmentalized on-load tap changer (OLTC)</w:t>
      </w:r>
      <w:r>
        <w:t xml:space="preserve"> </w:t>
      </w:r>
      <w:r>
        <w:t xml:space="preserve">where applicable. The OLTC is the most arc-prone subassembly; isolating it in a separate oil chamber from the main winding tank prevents OLTC fault from propagating to the main tank. Standard in modern transmission designs; carried forward in the ester specification. Note that OLTC contacts arc through ester at every tap change (this is true of any oil-filled OLTC); ester’s higher flash point reduces the fire-propagation risk from contact arcing but does not eliminate the gas-evolution and contact-erosion phenomena. Vacuum-interrupter OLTCs (such as Reinhausen Vacutap) eliminate oil arcing entirely and are preferred for new installations.</w:t>
      </w:r>
    </w:p>
    <w:bookmarkEnd w:id="41"/>
    <w:bookmarkStart w:id="42" w:name="hz-protection-considerations"/>
    <w:p>
      <w:pPr>
        <w:pStyle w:val="Heading3"/>
      </w:pPr>
      <w:r>
        <w:t xml:space="preserve">12 Hz protection considerations</w:t>
      </w:r>
    </w:p>
    <w:p>
      <w:pPr>
        <w:pStyle w:val="FirstParagraph"/>
      </w:pPr>
      <w:r>
        <w:t xml:space="preserve">The 12 Hz operating frequency requires breaker arc-quench design suited to the longer zero-crossing interval. At 60 Hz, current zeros occur every 8.3 ms; at 50 Hz, every 10 ms; at 12 Hz, every 41.7 ms / approximately 42 ms. The roughly 4–5× longer interval between zero crossings makes legacy air-magnetic and air-blast circuit breakers — which depend on rapid recovery between zeros — unsuitable. Vacuum interrupters perform identically across the frequency range (vacuum arc extinction is current-zero-driven but does not depend on rapid recovery rate); SF6 puffer breakers are suitable but carry the supply-chain dependencies discussed in Sections 3 and 4. The 12 Hz architecture specifies vacuum interrupters as the primary breaker technology, with appropriate sizing for the longer arcing interval and slightly higher single-shot energy requirement.</w:t>
      </w:r>
    </w:p>
    <w:p>
      <w:pPr>
        <w:pStyle w:val="BodyText"/>
      </w:pPr>
      <w:r>
        <w:t xml:space="preserve">The 12 Hz architecture’s lower flux density also relaxes the protection envelope in two ways: insulation operates further from breakdown stress, reducing the rate of incipient fault development; and the magnetic time constant of the transformer is longer, slowing the rate at which fault current rises during external short circuit. The longer rise time gives protection relays more reliable operating margin against false trips on energization inrush and load-change transients.</w:t>
      </w:r>
    </w:p>
    <w:p>
      <w:r>
        <w:pict>
          <v:rect style="width:0;height:1.5pt" o:hralign="center" o:hrstd="t" o:hr="t"/>
        </w:pict>
      </w:r>
    </w:p>
    <w:bookmarkEnd w:id="42"/>
    <w:bookmarkEnd w:id="43"/>
    <w:bookmarkStart w:id="51" w:name="X70599f9b3ac75ca04a2bb82480f70f5bc05dd91"/>
    <w:p>
      <w:pPr>
        <w:pStyle w:val="Heading2"/>
      </w:pPr>
      <w:r>
        <w:t xml:space="preserve">Section 7 — Synergies with the 12 Hz architecture</w:t>
      </w:r>
    </w:p>
    <w:p>
      <w:pPr>
        <w:pStyle w:val="FirstParagraph"/>
      </w:pPr>
      <w:r>
        <w:t xml:space="preserve">The 12 Hz architecture’s lower operating frequency produces several physical effects that compound favorably with ester selection. Each synergy is presented with its physical basis.</w:t>
      </w:r>
    </w:p>
    <w:bookmarkStart w:id="44" w:name="magnetostriction-and-acoustic-emissions"/>
    <w:p>
      <w:pPr>
        <w:pStyle w:val="Heading3"/>
      </w:pPr>
      <w:r>
        <w:t xml:space="preserve">Magnetostriction and acoustic emissions</w:t>
      </w:r>
    </w:p>
    <w:p>
      <w:pPr>
        <w:pStyle w:val="FirstParagraph"/>
      </w:pPr>
      <w:r>
        <w:t xml:space="preserve">Transformer audible noise originates in magnetostrictive deformation of the core laminations under cyclic magnetic flux. Magnetostriction is a quadratic phenomenon: the strain is symmetric in flux direction (positive and negative B produce the same direction of strain), so mechanical excitation occurs at twice the electrical frequency. Strain magnitude scales with B²; for grain-oriented silicon steel the magnetostrictive strain is on the order of 1–10 ppm at typical operating flux densities (1.5–1.7 T) — for a 1-meter-tall core, a few microns of dimensional change per cycle.</w:t>
      </w:r>
    </w:p>
    <w:p>
      <w:pPr>
        <w:pStyle w:val="BodyText"/>
      </w:pPr>
      <w:r>
        <w:t xml:space="preserve">The microscopic mechanism is worth understanding because it produces a useful intuition. Magnetic domains in the iron lamination realign under the applied field; the realignment involves domain-wall motion across the crystalline lattice, with each wall transit producing a small mechanical rearrangement. The acoustic emission is the bulk consequence of millions of these atomic-scale rearrangements happening cyclically.</w:t>
      </w:r>
    </w:p>
    <w:p>
      <w:pPr>
        <w:pStyle w:val="BodyText"/>
      </w:pPr>
      <w:r>
        <w:t xml:space="preserve">The physics is in the same family as a less-familiar phenomenon called</w:t>
      </w:r>
      <w:r>
        <w:t xml:space="preserve"> </w:t>
      </w:r>
      <w:r>
        <w:rPr>
          <w:i/>
          <w:iCs/>
        </w:rPr>
        <w:t xml:space="preserve">tin cry</w:t>
      </w:r>
      <w:r>
        <w:t xml:space="preserve"> </w:t>
      </w:r>
      <w:r>
        <w:t xml:space="preserve">— worth a short description, because most engineering and policy readers will not have encountered it directly. If you take a clean bar of pure tin (or indium, or zinc, or to a lesser extent cadmium) and bend it slowly with your hands, the metal emits an audible crackling, somewhat pitched sound — close to a wooden door creaking on its hinges, or a frog calling, with a discrete and organic quality that is surprising coming from a metal bar. The sound stops when you stop bending; it resumes when you bend further. Pure tin produces it most clearly; tin alloys (pewter, solder) produce it less distinctly because alloying disrupts the underlying mechanism. The phenomenon was documented in the 19th century, has been used as a quick purity check by metalworkers for nearly that long, and remains familiar to materials science students, organ-pipe restorers (who work with high-tin alloys), and pewterers. Most other people go their entire lives without hearing it, because pure tin is uncommon in everyday objects.</w:t>
      </w:r>
    </w:p>
    <w:p>
      <w:pPr>
        <w:pStyle w:val="BodyText"/>
      </w:pPr>
      <w:r>
        <w:t xml:space="preserve">What you are hearing when tin cries is</w:t>
      </w:r>
      <w:r>
        <w:t xml:space="preserve"> </w:t>
      </w:r>
      <w:r>
        <w:rPr>
          <w:i/>
          <w:iCs/>
        </w:rPr>
        <w:t xml:space="preserve">twin-boundary motion</w:t>
      </w:r>
      <w:r>
        <w:t xml:space="preserve"> </w:t>
      </w:r>
      <w:r>
        <w:t xml:space="preserve">in the metal lattice. Tin’s crystal structure can rearrange under stress through a mechanism called twinning — adjacent regions of the lattice flip their orientation along a shared boundary, accommodating the imposed strain by reorganizing rather than by deforming continuously. Each twin event releases a tiny acoustic pulse; the audible crackle is the integrated emission from millions of these events as the bar bends. Transformer hum is the same thermodynamics with a different driving force: magnetic-domain wall motion in iron under cyclic field stress, instead of twin-boundary motion in tin under mechanical stress. Both are crystal-lattice rearrangements producing acoustic emission. A transformer running at 50/60 Hz is, in a meaningful physical sense, a piece of iron continuously being</w:t>
      </w:r>
      <w:r>
        <w:t xml:space="preserve"> </w:t>
      </w:r>
      <w:r>
        <w:t xml:space="preserve">“rearranged”</w:t>
      </w:r>
      <w:r>
        <w:t xml:space="preserve"> </w:t>
      </w:r>
      <w:r>
        <w:t xml:space="preserve">100 to 120 times per second by its own magnetic field, with the radiated noise being the bulk acoustic consequence of millions of atomic-scale events per cycle.</w:t>
      </w:r>
    </w:p>
    <w:p>
      <w:pPr>
        <w:pStyle w:val="BodyText"/>
      </w:pPr>
      <w:r>
        <w:t xml:space="preserve">The 12 Hz architecture’s relevance is that the</w:t>
      </w:r>
      <w:r>
        <w:t xml:space="preserve"> </w:t>
      </w:r>
      <w:r>
        <w:t xml:space="preserve">“bending rate”</w:t>
      </w:r>
      <w:r>
        <w:t xml:space="preserve"> </w:t>
      </w:r>
      <w:r>
        <w:t xml:space="preserve">drops from 100–120 Hz to 24 Hz, and the strain magnitude (depending quadratically on flux density) drops with the architecture’s reduced operating B. Both effects compound to reduce the radiated acoustic power.</w:t>
      </w:r>
    </w:p>
    <w:p>
      <w:pPr>
        <w:pStyle w:val="BodyText"/>
      </w:pPr>
      <w:r>
        <w:t xml:space="preserve">Frequency consequences:</w:t>
      </w:r>
    </w:p>
    <w:p>
      <w:pPr>
        <w:pStyle w:val="Compact"/>
        <w:numPr>
          <w:ilvl w:val="0"/>
          <w:numId w:val="1027"/>
        </w:numPr>
      </w:pPr>
      <w:r>
        <w:t xml:space="preserve">50 Hz operation produces 100 Hz fundamental excitation, with harmonics at 200, 300, 400, 500 Hz.</w:t>
      </w:r>
    </w:p>
    <w:p>
      <w:pPr>
        <w:pStyle w:val="Compact"/>
        <w:numPr>
          <w:ilvl w:val="0"/>
          <w:numId w:val="1027"/>
        </w:numPr>
      </w:pPr>
      <w:r>
        <w:t xml:space="preserve">60 Hz operation produces 120 Hz fundamental, harmonics at 240, 360, 480, 600 Hz.</w:t>
      </w:r>
    </w:p>
    <w:p>
      <w:pPr>
        <w:pStyle w:val="Compact"/>
        <w:numPr>
          <w:ilvl w:val="0"/>
          <w:numId w:val="1027"/>
        </w:numPr>
      </w:pPr>
      <w:r>
        <w:t xml:space="preserve">12 Hz operation produces 24 Hz fundamental, harmonics at 48, 72, 96, 120, 144 Hz.</w:t>
      </w:r>
    </w:p>
    <w:p>
      <w:pPr>
        <w:pStyle w:val="FirstParagraph"/>
      </w:pPr>
      <w:r>
        <w:t xml:space="preserve">Human hearing sensitivity peaks in the 2–5 kHz range and falls off rapidly below 200 Hz; the 100/120 Hz fundamentals of 50/60 Hz transformer operation lie in a region of moderate sensitivity, with the harmonic series reaching well into the peak sensitivity region. The 24 Hz fundamental of 12 Hz operation lies at the absolute threshold of human audibility per the Fletcher-Munson equal-loudness contours; at typical sound pressure levels from transformer operation, 24 Hz is perceived as chest-cavity pressure rather than audible tone.</w:t>
      </w:r>
    </w:p>
    <w:p>
      <w:pPr>
        <w:pStyle w:val="BodyText"/>
      </w:pPr>
      <w:r>
        <w:t xml:space="preserve">Magnetostrictive strain magnitude depends on operating flux density. The 12 Hz architecture’s mild-steel cores are run at flux densities well below the 1.5–1.7 T typical of GOES designs — a necessity for keeping core losses acceptable in commodity steel — and the reduced operating B lowers magnetostrictive strain proportionally to B². Total radiated acoustic power scales roughly as B⁴ for magnetostrictive sources (strain² × frequency² × area).</w:t>
      </w:r>
    </w:p>
    <w:p>
      <w:pPr>
        <w:pStyle w:val="BodyText"/>
      </w:pPr>
      <w:r>
        <w:t xml:space="preserve">Aggregate effect (theoretical estimate based on B² → B⁴ scaling, frequency-shift, and Fletcher-Munson dB(A) weighting; empirical validation pending Phase 0 pilot acoustic testing per the parent grid proposal Section 5.2): 12 Hz ester transformers project to run an estimated 15–25 dB(A) below conventional 50/60 Hz mineral-oil transformers of equivalent rating. The reduction, if validated at the projected magnitude, is large enough to qualitatively change the deployment envelope: transformers that conventionally require setback distance from residential property lines for noise reasons could be sited closer; urban substations that conventionally require sound-attenuating enclosures might operate without additional treatment. Architectural decisions that depend on this acoustic improvement (urban siting, residential-proximity allowance) should be deferred until empirical validation establishes the actual reduction magnitude on a Phase 0 pilot transformer.</w:t>
      </w:r>
    </w:p>
    <w:bookmarkEnd w:id="44"/>
    <w:bookmarkStart w:id="45" w:name="X2c631725f7c286e38337a3fd3da13e8b029fb7b"/>
    <w:p>
      <w:pPr>
        <w:pStyle w:val="Heading3"/>
      </w:pPr>
      <w:r>
        <w:t xml:space="preserve">Thermal mass and natural-convection cooling</w:t>
      </w:r>
    </w:p>
    <w:p>
      <w:pPr>
        <w:pStyle w:val="FirstParagraph"/>
      </w:pPr>
      <w:r>
        <w:t xml:space="preserve">Larger core cross-section is a geometric consequence of low-frequency operation: the induced voltage per turn scales as f × B × A, so for a given V/turn at fixed B, A scales as 1/f. The 12 Hz architecture therefore uses cores with cross-section approximately 4–5× larger than 50/60 Hz units of equivalent voltage rating. The mass of the core (and the surrounding tank, oil, and auxiliary structures) scales similarly. Thermal capacity per kVA — the heat capacity of the unit divided by its power rating — is correspondingly larger.</w:t>
      </w:r>
    </w:p>
    <w:p>
      <w:pPr>
        <w:pStyle w:val="BodyText"/>
      </w:pPr>
      <w:r>
        <w:t xml:space="preserve">The radiator surface area scales similarly upward. Larger units carry more radiator banks; natural convection flow rate scales with the radiator’s vertical height and temperature differential (Grashof and Rayleigh number scaling); the convective cooling capacity per unit of nameplate rating is materially better than for an equivalent 50/60 Hz design. This is what makes ONAN cooling sufficient at all power classes in the architecture: the geometry that 12 Hz operation requires for its electromagnetic function happens to also deliver excellent natural-convection cooling, with no need for forced air or pumped oil.</w:t>
      </w:r>
    </w:p>
    <w:p>
      <w:pPr>
        <w:pStyle w:val="BodyText"/>
      </w:pPr>
      <w:r>
        <w:t xml:space="preserve">Operationally, the larger thermal mass delivers slower temperature rise during overload conditions and slower thermal fault propagation. A 12 Hz transformer with larger thermal mass tolerates partial cooling loss for longer before reaching critical insulation temperature; operator response time after coolant-loss events (Sections 8 and 10) is extended; emergency overload capability is enhanced. The thermal mass is a passive resilience property requiring no additional equipment.</w:t>
      </w:r>
    </w:p>
    <w:bookmarkEnd w:id="45"/>
    <w:bookmarkStart w:id="46" w:name="insulation-stress-headroom"/>
    <w:p>
      <w:pPr>
        <w:pStyle w:val="Heading3"/>
      </w:pPr>
      <w:r>
        <w:t xml:space="preserve">Insulation stress headroom</w:t>
      </w:r>
    </w:p>
    <w:p>
      <w:pPr>
        <w:pStyle w:val="FirstParagraph"/>
      </w:pPr>
      <w:r>
        <w:t xml:space="preserve">Lower flux density operates the magnetic circuit further from saturation and the insulation system further from dielectric breakdown. The transformer designer’s working margin is wider; partial discharge inception voltage is further from operating voltage; cumulative insulation aging proceeds more slowly. The combined effect is extended service life and reduced rate of incipient fault development. Quantification depends on specific designs, but a service-life extension of 20–40% is plausible relative to a 50/60 Hz unit of equivalent rating with equivalent insulation systems.</w:t>
      </w:r>
    </w:p>
    <w:bookmarkEnd w:id="46"/>
    <w:bookmarkStart w:id="47" w:name="switching-transient-envelope"/>
    <w:p>
      <w:pPr>
        <w:pStyle w:val="Heading3"/>
      </w:pPr>
      <w:r>
        <w:t xml:space="preserve">Switching transient envelope</w:t>
      </w:r>
    </w:p>
    <w:p>
      <w:pPr>
        <w:pStyle w:val="FirstParagraph"/>
      </w:pPr>
      <w:r>
        <w:t xml:space="preserve">dV/dt during fault clearing scales with operating frequency: a transformer interrupting fault current at 12 Hz experiences slower voltage transients than one interrupting at 50/60 Hz, by approximately the frequency ratio. Capacitive stress on winding insulation during protection events is proportionally reduced; the rate of insulation degradation from switching transients (which is significant in conventional transformers, particularly for distribution units exposed to frequent capacitor switching) is correspondingly lower.</w:t>
      </w:r>
    </w:p>
    <w:bookmarkEnd w:id="47"/>
    <w:bookmarkStart w:id="48" w:name="cooling-regime-extension-to-dry-type"/>
    <w:p>
      <w:pPr>
        <w:pStyle w:val="Heading3"/>
      </w:pPr>
      <w:r>
        <w:t xml:space="preserve">Cooling regime extension to dry-type</w:t>
      </w:r>
    </w:p>
    <w:p>
      <w:pPr>
        <w:pStyle w:val="FirstParagraph"/>
      </w:pPr>
      <w:r>
        <w:t xml:space="preserve">The dry-type viability extension at lower frequency is real and deserves note, though not the path chosen for the universal architecture. Reduced core loss per kg at lower frequency means dry-type transformers — which are cooling-limited at high MVA ratings in 50/60 Hz operation — may achieve higher MVA ratings at 12 Hz. A 12 Hz dry-type at 50 MVA / 25 kV may be feasible where the same rating at 60 Hz is not. Indoor urban substations particularly may benefit from extending the dry-type envelope, eliminating dielectric fluid management entirely for those applications. This is identified as a future-work area; ester-immersed designs remain the universal architecture choice for the reasons developed in Sections 3 through 5, foremost among them field rewindability.</w:t>
      </w:r>
    </w:p>
    <w:bookmarkEnd w:id="48"/>
    <w:bookmarkStart w:id="49" w:name="X34863623af8b7983c87665ae94b5eadff4b4f7f"/>
    <w:p>
      <w:pPr>
        <w:pStyle w:val="Heading3"/>
      </w:pPr>
      <w:r>
        <w:t xml:space="preserve">Ground vibration coupling: a real concern, not an</w:t>
      </w:r>
      <w:r>
        <w:t xml:space="preserve"> </w:t>
      </w:r>
      <w:r>
        <w:t xml:space="preserve">“earthquake machine”</w:t>
      </w:r>
    </w:p>
    <w:p>
      <w:pPr>
        <w:pStyle w:val="FirstParagraph"/>
      </w:pPr>
      <w:r>
        <w:t xml:space="preserve">The 12 Hz architecture’s mechanical excitation frequency is 24 Hz (twice the electrical fundamental, because magnetostriction is symmetric in flux direction so both half-cycles drive the same direction of strain). This places the excitation in a frequency band where ground vibration coupling is non-trivial: soil resonant frequency in coupled foundation-soil systems for vibratory compaction is approximately 17 Hz with optimum compaction near 18 Hz, and traffic-and-construction-induced ground vibrations in the 5–50 Hz range are the band most relevant to building damage and structural-vibration concerns. The architecture’s 24 Hz excitation sits squarely within this band, in contrast to conventional 50/60 Hz architecture’s 100/120 Hz excitation which sits well above the soil-resonance regime.</w:t>
      </w:r>
    </w:p>
    <w:p>
      <w:pPr>
        <w:pStyle w:val="BodyText"/>
      </w:pPr>
      <w:r>
        <w:t xml:space="preserve">The intuition that this could turn substations into</w:t>
      </w:r>
      <w:r>
        <w:t xml:space="preserve"> </w:t>
      </w:r>
      <w:r>
        <w:t xml:space="preserve">“earthquake machines”</w:t>
      </w:r>
      <w:r>
        <w:t xml:space="preserve"> </w:t>
      </w:r>
      <w:r>
        <w:t xml:space="preserve">is wrong by orders of magnitude, but the underlying concern is real and deserves direct treatment.</w:t>
      </w:r>
    </w:p>
    <w:p>
      <w:pPr>
        <w:pStyle w:val="BodyText"/>
      </w:pPr>
      <w:r>
        <w:t xml:space="preserve">The intuition is wrong because the</w:t>
      </w:r>
      <w:r>
        <w:t xml:space="preserve"> </w:t>
      </w:r>
      <w:r>
        <w:rPr>
          <w:i/>
          <w:iCs/>
        </w:rPr>
        <w:t xml:space="preserve">energy</w:t>
      </w:r>
      <w:r>
        <w:t xml:space="preserve"> </w:t>
      </w:r>
      <w:r>
        <w:t xml:space="preserve">radiated by a transformer is many orders of magnitude smaller than the energy delivered by a vibratory roller into the soil column. Magnetostrictive strain in transformer cores is on the order of 1–10 ppm at typical operating flux densities; for a 1-meter-tall core, this corresponds to a few microns of dimensional change per cycle. The total acoustic power radiated by a transformer is in the watts-to-kilowatts range. A vibratory roller’s eccentric mass delivers tens to hundreds of kilonewtons of dynamic force at the soil interface, with the machine</w:t>
      </w:r>
      <w:r>
        <w:t xml:space="preserve"> </w:t>
      </w:r>
      <w:r>
        <w:rPr>
          <w:i/>
          <w:iCs/>
        </w:rPr>
        <w:t xml:space="preserve">designed</w:t>
      </w:r>
      <w:r>
        <w:t xml:space="preserve"> </w:t>
      </w:r>
      <w:r>
        <w:t xml:space="preserve">to inject vibrational energy efficiently into the soil column for compaction work. The energy ratio between transformer ground-borne vibration and vibratory roller ground-borne vibration is roughly 10⁻⁴ to 10⁻⁶ — four to six orders of magnitude, depending on transformer size and roller class. The architectural concern is not that 12 Hz substations behave like compactors; it is that the</w:t>
      </w:r>
      <w:r>
        <w:t xml:space="preserve"> </w:t>
      </w:r>
      <w:r>
        <w:rPr>
          <w:i/>
          <w:iCs/>
        </w:rPr>
        <w:t xml:space="preserve">coupling regime</w:t>
      </w:r>
      <w:r>
        <w:t xml:space="preserve"> </w:t>
      </w:r>
      <w:r>
        <w:t xml:space="preserve">shifts into a band where what little vibration the transformer does produce couples more efficiently than at 50/60 Hz.</w:t>
      </w:r>
    </w:p>
    <w:p>
      <w:pPr>
        <w:pStyle w:val="BodyText"/>
      </w:pPr>
      <w:r>
        <w:t xml:space="preserve">The legitimate architectural concerns that result:</w:t>
      </w:r>
    </w:p>
    <w:p>
      <w:pPr>
        <w:numPr>
          <w:ilvl w:val="0"/>
          <w:numId w:val="1028"/>
        </w:numPr>
      </w:pPr>
      <w:r>
        <w:rPr>
          <w:i/>
          <w:iCs/>
        </w:rPr>
        <w:t xml:space="preserve">Building-foundation coupling for substations sited near vibration-sensitive structures</w:t>
      </w:r>
      <w:r>
        <w:t xml:space="preserve">. Hospitals with MRI installations, semiconductor fabrication facilities, optical telescope installations, precision metrology laboratories, and certain research facilities have ground-vibration tolerances specified in the 10–50 Hz band that the architecture’s 24 Hz excitation intersects more directly than 50/60 Hz designs do. Substation siting near such structures may require additional vibration isolation (resilient mounts, foundation isolation pads, increased setback distance) that 50/60 Hz substations would not require.</w:t>
      </w:r>
    </w:p>
    <w:p>
      <w:pPr>
        <w:numPr>
          <w:ilvl w:val="0"/>
          <w:numId w:val="1028"/>
        </w:numPr>
      </w:pPr>
      <w:r>
        <w:rPr>
          <w:i/>
          <w:iCs/>
        </w:rPr>
        <w:t xml:space="preserve">Cumulative fatigue on substation civil works</w:t>
      </w:r>
      <w:r>
        <w:t xml:space="preserve">. Foundation-pad concrete, bolted steel mounting frames, and underground cable conduits experience 24 Hz cyclic loading throughout the transformer’s service life. Over 30–50 year service horizons, the cumulative fatigue contribution from 24 Hz loading is greater than from 100/120 Hz loading at equivalent acoustic power, because lower-frequency cyclic loading produces larger amplitude per cycle (for equivalent radiated acoustic power) and integrates differently in fatigue calculations. Substation civil engineering for 12 Hz architecture should include fatigue analysis for the foundation system, with possible specification of higher-grade concrete, additional reinforcement, or resilient mounting interfaces between transformer and pad.</w:t>
      </w:r>
    </w:p>
    <w:p>
      <w:pPr>
        <w:numPr>
          <w:ilvl w:val="0"/>
          <w:numId w:val="1028"/>
        </w:numPr>
      </w:pPr>
      <w:r>
        <w:rPr>
          <w:i/>
          <w:iCs/>
        </w:rPr>
        <w:t xml:space="preserve">Resonance with adjacent equipment</w:t>
      </w:r>
      <w:r>
        <w:t xml:space="preserve">. Other substation equipment (switchgear, control cabinets, instrument transformers) may have natural frequencies in the 20–30 Hz band; mechanical coupling through shared foundations or steel structures could excite resonances that don’t occur in 50/60 Hz substations. Equipment qualification testing for 12 Hz substations should include modal analysis of mechanical assemblies near the 24 Hz excitation.</w:t>
      </w:r>
    </w:p>
    <w:p>
      <w:pPr>
        <w:pStyle w:val="FirstParagraph"/>
      </w:pPr>
      <w:r>
        <w:t xml:space="preserve">The architectural mitigation: standard vibration-isolation engineering practice. Resilient mounting pads under transformers (rubber-in-shear or wire-mesh isolators sized for the 24 Hz frequency band), increased foundation mass to lower the foundation natural frequency below the excitation, shock-isolation interfaces between transformer and rigid civil works, and modal testing of secondary equipment during commissioning. None of these require new technology; vibration isolation engineering is mature and commodity. They do require explicit consideration during substation civil design rather than the standard 50/60 Hz assumption that ground-vibration coupling is negligible.</w:t>
      </w:r>
    </w:p>
    <w:p>
      <w:pPr>
        <w:pStyle w:val="BodyText"/>
      </w:pPr>
      <w:r>
        <w:t xml:space="preserve">Phase 0 pilot deliverable: ground-vibration measurement at the Sandia (or analog) pilot transformer to validate the coupling-regime analysis. Measured ground vibration spectral content at 1 m, 10 m, 50 m, and 100 m from the pilot transformer establishes empirical baselines for substation siting near vibration-sensitive structures.</w:t>
      </w:r>
    </w:p>
    <w:bookmarkEnd w:id="49"/>
    <w:bookmarkStart w:id="50" w:name="Xd4b058828d09110155bd95bad4859005f9fa17e"/>
    <w:p>
      <w:pPr>
        <w:pStyle w:val="Heading3"/>
      </w:pPr>
      <w:r>
        <w:t xml:space="preserve">Tesla’s frequency preferences and the design space they assumed</w:t>
      </w:r>
    </w:p>
    <w:p>
      <w:pPr>
        <w:pStyle w:val="FirstParagraph"/>
      </w:pPr>
      <w:r>
        <w:t xml:space="preserve">Nikola Tesla’s historical preferences on grid frequency are sometimes invoked in modern grid-architecture conversations, and deserve serious engagement. The historical record:</w:t>
      </w:r>
    </w:p>
    <w:p>
      <w:pPr>
        <w:pStyle w:val="Compact"/>
        <w:numPr>
          <w:ilvl w:val="0"/>
          <w:numId w:val="1029"/>
        </w:numPr>
      </w:pPr>
      <w:r>
        <w:t xml:space="preserve">Tesla’s induction motor required a lower frequency than the 133 Hz common for lighting systems in the late 1880s. The first Westinghouse-Tesla collaboration involved adapting the lighting frequency downward to support motor operation.</w:t>
      </w:r>
    </w:p>
    <w:p>
      <w:pPr>
        <w:pStyle w:val="Compact"/>
        <w:numPr>
          <w:ilvl w:val="0"/>
          <w:numId w:val="1029"/>
        </w:numPr>
      </w:pPr>
      <w:r>
        <w:t xml:space="preserve">Tesla’s calculations and testing concluded that 60 cycles per second was the most efficient power supply frequency for the materials and applications available in the 1890s. He preferred 60 Hz over the higher lighting frequencies and over the 25 Hz that Niagara Falls eventually adopted.</w:t>
      </w:r>
    </w:p>
    <w:p>
      <w:pPr>
        <w:pStyle w:val="Compact"/>
        <w:numPr>
          <w:ilvl w:val="0"/>
          <w:numId w:val="1029"/>
        </w:numPr>
      </w:pPr>
      <w:r>
        <w:t xml:space="preserve">The original Niagara Falls plant used 25 Hz to accommodate Westinghouse turbine-generator limitations established before AC was definitively selected; Tesla worked within this constraint rather than choosing it.</w:t>
      </w:r>
    </w:p>
    <w:p>
      <w:pPr>
        <w:pStyle w:val="Compact"/>
        <w:numPr>
          <w:ilvl w:val="0"/>
          <w:numId w:val="1029"/>
        </w:numPr>
      </w:pPr>
      <w:r>
        <w:t xml:space="preserve">Westinghouse settled on 60 Hz partly because existing arc-lighting equipment operated marginally better at 60 Hz than at 50 Hz, and the higher frequency allowed slightly smaller and lighter transformers within the materials available.</w:t>
      </w:r>
    </w:p>
    <w:p>
      <w:pPr>
        <w:pStyle w:val="Compact"/>
        <w:numPr>
          <w:ilvl w:val="0"/>
          <w:numId w:val="1029"/>
        </w:numPr>
      </w:pPr>
      <w:r>
        <w:t xml:space="preserve">A General Electric study concluded that 40 Hz would have been a better compromise between lighting, motor, and transmission needs given materials and equipment available in the first quarter of the 20th century. This conclusion was reached after the 60 / 50 / 25 Hz choices had already locked in regional standards.</w:t>
      </w:r>
    </w:p>
    <w:p>
      <w:pPr>
        <w:pStyle w:val="Compact"/>
        <w:numPr>
          <w:ilvl w:val="0"/>
          <w:numId w:val="1029"/>
        </w:numPr>
      </w:pPr>
      <w:r>
        <w:t xml:space="preserve">Tesla explored</w:t>
      </w:r>
      <w:r>
        <w:t xml:space="preserve"> </w:t>
      </w:r>
      <w:r>
        <w:rPr>
          <w:i/>
          <w:iCs/>
        </w:rPr>
        <w:t xml:space="preserve">higher</w:t>
      </w:r>
      <w:r>
        <w:t xml:space="preserve"> </w:t>
      </w:r>
      <w:r>
        <w:t xml:space="preserve">frequencies extensively in his later research (the Colorado Springs experiments and related work). His high-frequency interests were oriented toward wireless transmission and resonant coupling, not toward optimum power-distribution frequency.</w:t>
      </w:r>
    </w:p>
    <w:p>
      <w:pPr>
        <w:pStyle w:val="FirstParagraph"/>
      </w:pPr>
      <w:r>
        <w:t xml:space="preserve">Three observations worth making in the context of this architecture:</w:t>
      </w:r>
    </w:p>
    <w:p>
      <w:pPr>
        <w:numPr>
          <w:ilvl w:val="0"/>
          <w:numId w:val="1030"/>
        </w:numPr>
      </w:pPr>
      <w:r>
        <w:rPr>
          <w:i/>
          <w:iCs/>
        </w:rPr>
        <w:t xml:space="preserve">Tesla optimized within the constraints of his time</w:t>
      </w:r>
      <w:r>
        <w:t xml:space="preserve">. His 60 Hz conclusion was reached using 1890s materials science — the silicon-steel core compositions available, the copper alloy specifications, the cotton-wrapped and oil-paper insulation systems, the manufacturing processes for laminated cores and wound coils. Materials and manufacturing constraints Tesla faced are not the constraints of the 21st century. Ester dielectrics, modern core options (and the 12 Hz architecture’s mild-steel approach which exploits low flux density rather than premium core material), polymer insulation systems, vacuum interrupters, semiconductor-based protection — all expand the design space beyond what was available in 1890. Tesla’s</w:t>
      </w:r>
      <w:r>
        <w:t xml:space="preserve"> </w:t>
      </w:r>
      <w:r>
        <w:t xml:space="preserve">“most efficient”</w:t>
      </w:r>
      <w:r>
        <w:t xml:space="preserve"> </w:t>
      </w:r>
      <w:r>
        <w:t xml:space="preserve">was a constrained optimum; the architecture’s choice optimizes over a different feasible region.</w:t>
      </w:r>
    </w:p>
    <w:p>
      <w:pPr>
        <w:numPr>
          <w:ilvl w:val="0"/>
          <w:numId w:val="1030"/>
        </w:numPr>
      </w:pPr>
      <w:r>
        <w:rPr>
          <w:i/>
          <w:iCs/>
        </w:rPr>
        <w:t xml:space="preserve">Tesla argued for lower frequency than the dominant standard of his time</w:t>
      </w:r>
      <w:r>
        <w:t xml:space="preserve">. The dominant lighting frequency when Tesla entered the field was 133 Hz; he argued down to 60 Hz against the prevailing standard. The pattern is that frequency standards reflect specific technological eras and can be revisited when the underlying technology shifts. The 12 Hz / 12.5 Hz architecture follows the same pattern at a different scale, with different supporting technology.</w:t>
      </w:r>
    </w:p>
    <w:p>
      <w:pPr>
        <w:numPr>
          <w:ilvl w:val="0"/>
          <w:numId w:val="1030"/>
        </w:numPr>
      </w:pPr>
      <w:r>
        <w:rPr>
          <w:i/>
          <w:iCs/>
        </w:rPr>
        <w:t xml:space="preserve">Tesla treated frequency as a profound architectural choice, not a free parameter</w:t>
      </w:r>
      <w:r>
        <w:t xml:space="preserve">. He understood that operating frequency has consequences across many physical regimes — magnetic, mechanical, acoustic, biological, and what he called</w:t>
      </w:r>
      <w:r>
        <w:t xml:space="preserve"> </w:t>
      </w:r>
      <w:r>
        <w:t xml:space="preserve">“vibrational”</w:t>
      </w:r>
      <w:r>
        <w:t xml:space="preserve"> </w:t>
      </w:r>
      <w:r>
        <w:t xml:space="preserve">in his broader thinking. Whether he would endorse the specific 12 Hz / 12.5 Hz choice cannot be known. What can be said is that the architectural posture — treating frequency as a primary design variable rather than as a historical given — is consistent with the engineering attitude Tesla brought to his own design work, even if the specific outcome differs from what he settled on within the technology of his era.</w:t>
      </w:r>
    </w:p>
    <w:p>
      <w:pPr>
        <w:pStyle w:val="FirstParagraph"/>
      </w:pPr>
      <w:r>
        <w:t xml:space="preserve">This paper does not invoke Tesla as authority for the 12 Hz / 12.5 Hz choice. It does treat the historical record accurately: Tesla preferred lower frequency than the dominant standard of his time, optimized within technology constraints that no longer apply, and would likely recognize the architectural posture even if he might not endorse the specific destination.</w:t>
      </w:r>
    </w:p>
    <w:p>
      <w:r>
        <w:pict>
          <v:rect style="width:0;height:1.5pt" o:hralign="center" o:hrstd="t" o:hr="t"/>
        </w:pict>
      </w:r>
    </w:p>
    <w:bookmarkEnd w:id="50"/>
    <w:bookmarkEnd w:id="51"/>
    <w:bookmarkStart w:id="61" w:name="section-8-hostile-action-survivability"/>
    <w:p>
      <w:pPr>
        <w:pStyle w:val="Heading2"/>
      </w:pPr>
      <w:r>
        <w:t xml:space="preserve">Section 8 — Hostile-action survivability</w:t>
      </w:r>
    </w:p>
    <w:p>
      <w:pPr>
        <w:pStyle w:val="FirstParagraph"/>
      </w:pPr>
      <w:r>
        <w:t xml:space="preserve">Treat the transformer as a target. The threat is real, low-skill, low-cost, and asymmetric — a single rifle round costs less than a dollar and historically has produced tens to hundreds of millions of dollars in load-shed economic damage with a 6–18 month replacement lead time on large units. Substations are attractive targets for several reasons: high-value infrastructure, often remote and lightly secured, single-point-of-failure characteristics, and disproportionate downstream impact on the populations served. The 2013 Metcalf substation attack in California demonstrated the lone-gunman scenario in detail: rifle fire from a perimeter position, seventeen transformers knocked out of service by oil drainage from coolant radiator punctures leading to thermal failure, no perpetrators identified, load served by emergency reroutes for weeks. The 2022 Moore County, North Carolina attacks repeated the pattern with similar outcomes. Investigative reporting through 2025 documents continued substation attacks at lower intensity but higher frequency than pre-Metcalf baseline. The threat is not theoretical and is not declining.</w:t>
      </w:r>
    </w:p>
    <w:p>
      <w:pPr>
        <w:pStyle w:val="BodyText"/>
      </w:pPr>
      <w:r>
        <w:t xml:space="preserve">The architectural objective is to break the asymmetric warfare math. A rifle round costs nothing; the defender’s response per round must be reduced to a comparable order of magnitude. Four architectural elements working together accomplish this:</w:t>
      </w:r>
    </w:p>
    <w:p>
      <w:pPr>
        <w:pStyle w:val="Compact"/>
        <w:numPr>
          <w:ilvl w:val="0"/>
          <w:numId w:val="1031"/>
        </w:numPr>
      </w:pPr>
      <w:r>
        <w:rPr>
          <w:i/>
          <w:iCs/>
        </w:rPr>
        <w:t xml:space="preserve">Per-radiator coolant sensors</w:t>
      </w:r>
      <w:r>
        <w:t xml:space="preserve"> </w:t>
      </w:r>
      <w:r>
        <w:t xml:space="preserve">(alarm tier) detect coolant loss within seconds of damage, dispatching site response and informing the operator that cooling capacity has been reduced.</w:t>
      </w:r>
    </w:p>
    <w:p>
      <w:pPr>
        <w:pStyle w:val="Compact"/>
        <w:numPr>
          <w:ilvl w:val="0"/>
          <w:numId w:val="1031"/>
        </w:numPr>
      </w:pPr>
      <w:r>
        <w:rPr>
          <w:i/>
          <w:iCs/>
        </w:rPr>
        <w:t xml:space="preserve">Damage-driven trip authority</w:t>
      </w:r>
      <w:r>
        <w:t xml:space="preserve"> </w:t>
      </w:r>
      <w:r>
        <w:t xml:space="preserve">(winding hot-spot temperature, top-oil temperature, Buchholz lower float, baffle plate, sudden-pressure relay) takes the unit offline when actual damage progression is confirmed — preserving windings without sacrificing load on every false signal or non-malicious cause.</w:t>
      </w:r>
    </w:p>
    <w:p>
      <w:pPr>
        <w:pStyle w:val="Compact"/>
        <w:numPr>
          <w:ilvl w:val="0"/>
          <w:numId w:val="1031"/>
        </w:numPr>
      </w:pPr>
      <w:r>
        <w:rPr>
          <w:i/>
          <w:iCs/>
        </w:rPr>
        <w:t xml:space="preserve">Ester dielectric</w:t>
      </w:r>
      <w:r>
        <w:t xml:space="preserve"> </w:t>
      </w:r>
      <w:r>
        <w:t xml:space="preserve">prevents fire propagation, containing the failure to the unit attacked. This is the architectural pivot: ester removes the seconds-timescale fire risk that would otherwise force trip-on-first-signal logic, allowing the alarm-investigate-trip-on-confirmed-damage scheme to operate safely.</w:t>
      </w:r>
    </w:p>
    <w:p>
      <w:pPr>
        <w:pStyle w:val="Compact"/>
        <w:numPr>
          <w:ilvl w:val="0"/>
          <w:numId w:val="1031"/>
        </w:numPr>
      </w:pPr>
      <w:r>
        <w:rPr>
          <w:i/>
          <w:iCs/>
        </w:rPr>
        <w:t xml:space="preserve">Field rewindability</w:t>
      </w:r>
      <w:r>
        <w:t xml:space="preserve"> </w:t>
      </w:r>
      <w:r>
        <w:t xml:space="preserve">of oil-immersed construction allows the recovered unit to return to service in days (refill case) to weeks (rewind case), not the 6–18 month replacement cycle.</w:t>
      </w:r>
    </w:p>
    <w:p>
      <w:pPr>
        <w:pStyle w:val="FirstParagraph"/>
      </w:pPr>
      <w:r>
        <w:t xml:space="preserve">The combination changes the per-round consequence by 2–3 orders of magnitude. Rifle attacks remain asymmetric in the attacker’s favor (rounds are still cheap), but the attrition cost no longer rises to grid-level economic damage per round expended. Substation attacks shift from strategic-impact events to nuisance events.</w:t>
      </w:r>
    </w:p>
    <w:bookmarkStart w:id="52" w:name="failure-mode-analysis"/>
    <w:p>
      <w:pPr>
        <w:pStyle w:val="Heading3"/>
      </w:pPr>
      <w:r>
        <w:t xml:space="preserve">Failure mode analysis</w:t>
      </w:r>
    </w:p>
    <w:p>
      <w:pPr>
        <w:pStyle w:val="FirstParagraph"/>
      </w:pPr>
      <w:r>
        <w:t xml:space="preserve">The damage mechanism is rarely direct destruction of windings. Rifle rounds (typical threat: .308 Winchester / 7.62×51mm NATO, .50 BMG / 12.7×99mm in the worst case) defeat radiator fins and thinner tank sections trivially. A .308 round at 100 m / 330 ft retains roughly 2,700 J / 2,000 ft·lbf of kinetic energy and penetrates on the order of 10–15 mm / 0.4–0.6 in of mild steel with ball ammunition — more with armor-piercing loads; .50 BMG penetrates 25+ mm / 1 in. Radiator penetration is therefore never in question, and thinner tank walls can be holed as well.</w:t>
      </w:r>
    </w:p>
    <w:p>
      <w:pPr>
        <w:pStyle w:val="BodyText"/>
      </w:pPr>
      <w:r>
        <w:t xml:space="preserve">The damage mechanism is coolant loss through punctured radiator fins or tank wall, leading to thermal runaway over minutes to hours as cooling capacity drops below dissipation requirement</w:t>
      </w:r>
      <w:r>
        <w:t xml:space="preserve"> </w:t>
      </w:r>
      <w:r>
        <w:rPr>
          <w:i/>
          <w:iCs/>
        </w:rPr>
        <w:t xml:space="preserve">if the unit remains energized at high load with sustained coolant loss</w:t>
      </w:r>
      <w:r>
        <w:t xml:space="preserve">. The radiators are the primary attack surface: large flat panels of thin steel (typically 1.2–2.5 mm / 0.05–0.10 in fin thickness, with 3–6 mm / 0.12–0.24 in header pipes) presenting hundreds of square feet of vulnerable area arrayed around the unit’s perimeter. A round through a radiator fin produces a leak path that drains coolant under hydrostatic head plus residual operating pressure; the radiator empties below the radiator-tank gate valve over 10–30 minutes for mineral oil, somewhat longer for higher-viscosity ester. Multiple radiator hits compound the cooling-loss rate.</w:t>
      </w:r>
    </w:p>
    <w:p>
      <w:pPr>
        <w:pStyle w:val="BodyText"/>
      </w:pPr>
      <w:r>
        <w:t xml:space="preserve">Critical observation about the timescale: thermal runaway from cooling loss is a</w:t>
      </w:r>
      <w:r>
        <w:t xml:space="preserve"> </w:t>
      </w:r>
      <w:r>
        <w:rPr>
          <w:i/>
          <w:iCs/>
        </w:rPr>
        <w:t xml:space="preserve">minutes-to-hours</w:t>
      </w:r>
      <w:r>
        <w:t xml:space="preserve"> </w:t>
      </w:r>
      <w:r>
        <w:t xml:space="preserve">phenomenon, not a</w:t>
      </w:r>
      <w:r>
        <w:t xml:space="preserve"> </w:t>
      </w:r>
      <w:r>
        <w:rPr>
          <w:i/>
          <w:iCs/>
        </w:rPr>
        <w:t xml:space="preserve">seconds</w:t>
      </w:r>
      <w:r>
        <w:t xml:space="preserve"> </w:t>
      </w:r>
      <w:r>
        <w:t xml:space="preserve">phenomenon. A unit at 60% nameplate load that loses one radiator out of ten has reduced cooling by 10%; top-oil and hot-spot temperatures rise by a few degrees and stabilize. A unit that loses three radiators sees cooling reduced by 30%; temperatures rise more significantly but still not to damage thresholds for 30 minutes to several hours, depending on starting conditions and load. This timescale is what makes alarm-investigate-confirm-trip protection logic operationally sound: the operator has time to respond, transfer load where redundancy exists, and de-energize manually before automated trip-tier signals fire.</w:t>
      </w:r>
    </w:p>
    <w:p>
      <w:pPr>
        <w:pStyle w:val="BodyText"/>
      </w:pPr>
      <w:r>
        <w:t xml:space="preserve">The architectural protection logic: alarm immediately on radiator loss, dispatch operator response, allow load transfer or manual de-energization where appropriate, and trip automatically only when damage is actually progressing as measured at the active part. Ester chemistry prevents fire propagation throughout this window, preserving the option to keep load on the unit while investigation occurs.</w:t>
      </w:r>
    </w:p>
    <w:bookmarkEnd w:id="52"/>
    <w:bookmarkStart w:id="53" w:name="X633bfbd2861643c3c17e85d9fe6041cc7406797"/>
    <w:p>
      <w:pPr>
        <w:pStyle w:val="Heading3"/>
      </w:pPr>
      <w:r>
        <w:t xml:space="preserve">Per-radiator coolant sensors as alarm tier</w:t>
      </w:r>
    </w:p>
    <w:p>
      <w:pPr>
        <w:pStyle w:val="FirstParagraph"/>
      </w:pPr>
      <w:r>
        <w:t xml:space="preserve">The Buchholz relay described in Section 6 monitors the main-tank-to-conservator interface, not the radiators. Radiators are bolted to the main tank through gate valves and contain perhaps 30–40% of the unit’s total coolant inventory in surface-area-maximized fin assemblies. A round through a radiator fin drains that radiator below the radiator-tank gate valve before main tank level drops detectably; the Buchholz upper float remains satisfied while cooling capacity quietly degrades.</w:t>
      </w:r>
    </w:p>
    <w:p>
      <w:pPr>
        <w:pStyle w:val="BodyText"/>
      </w:pPr>
      <w:r>
        <w:t xml:space="preserve">The architectural addition is per-radiator level monitoring with</w:t>
      </w:r>
      <w:r>
        <w:t xml:space="preserve"> </w:t>
      </w:r>
      <w:r>
        <w:rPr>
          <w:b/>
          <w:bCs/>
        </w:rPr>
        <w:t xml:space="preserve">alarm authority</w:t>
      </w:r>
      <w:r>
        <w:t xml:space="preserve">, dispatching site supervisor and operator response on first detected loss. The per-radiator sensors are alarm-tier, not trip-tier — false signals from a stuck float, a corroded reed switch, or thermal sensor drift in cold weather produce maintenance tickets, not service interruptions. The trip authority for actual damage rests with the winding hot-spot temperature sensor and the other trip-tier signals enumerated in Section 6.</w:t>
      </w:r>
    </w:p>
    <w:p>
      <w:pPr>
        <w:pStyle w:val="BodyText"/>
      </w:pPr>
      <w:r>
        <w:t xml:space="preserve">Operator response on per-radiator alarm:</w:t>
      </w:r>
    </w:p>
    <w:p>
      <w:pPr>
        <w:pStyle w:val="Compact"/>
        <w:numPr>
          <w:ilvl w:val="0"/>
          <w:numId w:val="1032"/>
        </w:numPr>
      </w:pPr>
      <w:r>
        <w:rPr>
          <w:i/>
          <w:iCs/>
        </w:rPr>
        <w:t xml:space="preserve">Acknowledge alarm</w:t>
      </w:r>
      <w:r>
        <w:t xml:space="preserve">; dispatch site personnel for visual investigation.</w:t>
      </w:r>
    </w:p>
    <w:p>
      <w:pPr>
        <w:pStyle w:val="Compact"/>
        <w:numPr>
          <w:ilvl w:val="0"/>
          <w:numId w:val="1032"/>
        </w:numPr>
      </w:pPr>
      <w:r>
        <w:rPr>
          <w:i/>
          <w:iCs/>
        </w:rPr>
        <w:t xml:space="preserve">Check correlated indicators</w:t>
      </w:r>
      <w:r>
        <w:t xml:space="preserve">: Buchholz upper float, main-tank level, top-oil temperature, hot-spot temperature, dissolved gas trends. Multiple correlated alarms confirm sustained drain; isolated radiator alarm with no other indicator confirms either localized leak or sensor fault.</w:t>
      </w:r>
    </w:p>
    <w:p>
      <w:pPr>
        <w:pStyle w:val="Compact"/>
        <w:numPr>
          <w:ilvl w:val="0"/>
          <w:numId w:val="1032"/>
        </w:numPr>
      </w:pPr>
      <w:r>
        <w:rPr>
          <w:i/>
          <w:iCs/>
        </w:rPr>
        <w:t xml:space="preserve">If sustained drain confirmed</w:t>
      </w:r>
      <w:r>
        <w:t xml:space="preserve">, evaluate options based on site-specific load policy: transfer load to redundant unit if available, schedule controlled de-energization, or — for sites where load preservation outranks asset preservation (Section 6) — continue running with reduced cooling capacity while repair crews dispatch, accepting moderate transformer aging in exchange for service continuity.</w:t>
      </w:r>
    </w:p>
    <w:p>
      <w:pPr>
        <w:pStyle w:val="Compact"/>
        <w:numPr>
          <w:ilvl w:val="0"/>
          <w:numId w:val="1032"/>
        </w:numPr>
      </w:pPr>
      <w:r>
        <w:rPr>
          <w:i/>
          <w:iCs/>
        </w:rPr>
        <w:t xml:space="preserve">If sensor fault suspected</w:t>
      </w:r>
      <w:r>
        <w:t xml:space="preserve">, schedule maintenance; no trip required.</w:t>
      </w:r>
    </w:p>
    <w:p>
      <w:pPr>
        <w:pStyle w:val="Compact"/>
        <w:numPr>
          <w:ilvl w:val="0"/>
          <w:numId w:val="1032"/>
        </w:numPr>
      </w:pPr>
      <w:r>
        <w:rPr>
          <w:i/>
          <w:iCs/>
        </w:rPr>
        <w:t xml:space="preserve">Trip-tier protection runs in parallel</w:t>
      </w:r>
      <w:r>
        <w:t xml:space="preserve">: if temperatures rise to confirmed-damage thresholds during operator response, automated trip occurs regardless of operator decision.</w:t>
      </w:r>
    </w:p>
    <w:p>
      <w:pPr>
        <w:pStyle w:val="FirstParagraph"/>
      </w:pPr>
      <w:r>
        <w:t xml:space="preserve">The recovered transformer needs (after de-energization, regardless of whether automated or manual):</w:t>
      </w:r>
    </w:p>
    <w:p>
      <w:pPr>
        <w:pStyle w:val="Compact"/>
        <w:numPr>
          <w:ilvl w:val="0"/>
          <w:numId w:val="1033"/>
        </w:numPr>
      </w:pPr>
      <w:r>
        <w:t xml:space="preserve">Casing patch at the round entry (and exit, if applicable) — straightforward steel weld repair at substation, 1–4 hours per hole.</w:t>
      </w:r>
    </w:p>
    <w:p>
      <w:pPr>
        <w:pStyle w:val="Compact"/>
        <w:numPr>
          <w:ilvl w:val="0"/>
          <w:numId w:val="1033"/>
        </w:numPr>
      </w:pPr>
      <w:r>
        <w:t xml:space="preserve">Ester refill of the affected radiator(s) and topup of main tank — equivalent to commissioning fluid handling, 4–12 hours including vacuum dehydration.</w:t>
      </w:r>
    </w:p>
    <w:p>
      <w:pPr>
        <w:pStyle w:val="Compact"/>
        <w:numPr>
          <w:ilvl w:val="0"/>
          <w:numId w:val="1033"/>
        </w:numPr>
      </w:pPr>
      <w:r>
        <w:t xml:space="preserve">Visual inspection of bushings, radiator headers, and tank for collateral damage — 2–4 hours.</w:t>
      </w:r>
    </w:p>
    <w:p>
      <w:pPr>
        <w:pStyle w:val="Compact"/>
        <w:numPr>
          <w:ilvl w:val="0"/>
          <w:numId w:val="1033"/>
        </w:numPr>
      </w:pPr>
      <w:r>
        <w:t xml:space="preserve">Standard recommissioning electrical tests (insulation resistance, turns ratio, winding resistance, dielectric breakdown voltage on samples) — 4–8 hours.</w:t>
      </w:r>
    </w:p>
    <w:p>
      <w:pPr>
        <w:pStyle w:val="Compact"/>
        <w:numPr>
          <w:ilvl w:val="0"/>
          <w:numId w:val="1033"/>
        </w:numPr>
      </w:pPr>
      <w:r>
        <w:t xml:space="preserve">Re-energization with load ramp.</w:t>
      </w:r>
    </w:p>
    <w:p>
      <w:pPr>
        <w:pStyle w:val="FirstParagraph"/>
      </w:pPr>
      <w:r>
        <w:t xml:space="preserve">Total recovery time: 1–3 days from attack to back-in-service for the dominant single-radiator-hit case. Recovery cost: $20K–80K per unit (steel work, labor, ester refill, testing), against $2M+ for replacement.</w:t>
      </w:r>
    </w:p>
    <w:p>
      <w:pPr>
        <w:pStyle w:val="BodyText"/>
      </w:pPr>
      <w:r>
        <w:t xml:space="preserve">Implementation options for per-radiator monitoring:</w:t>
      </w:r>
    </w:p>
    <w:p>
      <w:pPr>
        <w:pStyle w:val="Compact"/>
        <w:numPr>
          <w:ilvl w:val="0"/>
          <w:numId w:val="1034"/>
        </w:numPr>
      </w:pPr>
      <w:r>
        <w:rPr>
          <w:i/>
          <w:iCs/>
        </w:rPr>
        <w:t xml:space="preserve">Mechanical float switches in each radiator header</w:t>
      </w:r>
      <w:r>
        <w:t xml:space="preserve"> </w:t>
      </w:r>
      <w:r>
        <w:t xml:space="preserve">— preferred. Simple float-and-magnetic-reed-switch assembly mounted in the upper header pipe of each radiator bank; switch state changes when fluid level falls below the header-to-tank connection. No semiconductor electronics required; survives EMP, lightning, and broadband electromagnetic interference; field-buildable from commodity components. Per-unit cost USD $50–100 / £40–80. Wired to existing protection relay panel as a dry-contact alarm input.</w:t>
      </w:r>
    </w:p>
    <w:p>
      <w:pPr>
        <w:pStyle w:val="Compact"/>
        <w:numPr>
          <w:ilvl w:val="0"/>
          <w:numId w:val="1034"/>
        </w:numPr>
      </w:pPr>
      <w:r>
        <w:rPr>
          <w:i/>
          <w:iCs/>
        </w:rPr>
        <w:t xml:space="preserve">Differential temperature sensors comparing radiator inlet and outlet ΔT</w:t>
      </w:r>
      <w:r>
        <w:t xml:space="preserve"> </w:t>
      </w:r>
      <w:r>
        <w:t xml:space="preserve">against expected values for current load — alternative for installations that already have RTD instrumentation. Earlier and more sensitive detection than float switches; requires functioning instrumentation. Per-unit cost USD $150–200 / £120–160.</w:t>
      </w:r>
    </w:p>
    <w:p>
      <w:pPr>
        <w:pStyle w:val="FirstParagraph"/>
      </w:pPr>
      <w:r>
        <w:t xml:space="preserve">Either implementation integrates with existing protection relay panels through dry-contact alarm inputs (not trip inputs). The upgrade is non-invasive to installed equipment (radiator headers can be tapped during scheduled maintenance) and small-cost relative to transformer total cost (a 50 MVA unit with 12 radiator banks adds USD $1,000–2,500 / £800–2,000 in sensors plus integration labor).</w:t>
      </w:r>
    </w:p>
    <w:bookmarkEnd w:id="53"/>
    <w:bookmarkStart w:id="54" w:name="Xeb8a5e326c45f2cb0c3f7fa626573cdb216888e"/>
    <w:p>
      <w:pPr>
        <w:pStyle w:val="Heading3"/>
      </w:pPr>
      <w:r>
        <w:t xml:space="preserve">Why this architecture beats trip-on-first-loss</w:t>
      </w:r>
    </w:p>
    <w:p>
      <w:pPr>
        <w:pStyle w:val="FirstParagraph"/>
      </w:pPr>
      <w:r>
        <w:t xml:space="preserve">A trip-on-first-radiator-loss scheme would, under a hostile-action attack, take the unit offline in seconds — preserving the asset but immediately interrupting load. The same scheme, faced with non-hostile causes (corroded gasket, ice damage, tree branch impact, single accidental round, hunting incident, sensor fault), produces the same outcome: immediate service interruption for an event the unit could ride through.</w:t>
      </w:r>
    </w:p>
    <w:p>
      <w:pPr>
        <w:pStyle w:val="BodyText"/>
      </w:pPr>
      <w:r>
        <w:t xml:space="preserve">False-trip rates from radiator-tier sensors on a fleet of thousands of transformers across decades of service are not zero. Stuck floats, reed-switch chatter from vibration, RTD drift in cold weather, wiring faults — all produce alarm signals indistinguishable from real coolant loss. A trip-on-alarm scheme operationally fails when operators, frustrated by repeated nuisance trips, work around the protection by extending time delays, voting requirements, or disabling sensors entirely. The Russian and US utility experience with overly aggressive transformer protection both document this failure mode: protection schemes that trip too readily get disabled, and the protection benefit is lost.</w:t>
      </w:r>
    </w:p>
    <w:p>
      <w:pPr>
        <w:pStyle w:val="BodyText"/>
      </w:pPr>
      <w:r>
        <w:t xml:space="preserve">The damage-driven trip architecture avoids this. Alarm-tier signals carry no trip authority; they cannot cause nuisance trips because they cannot cause trips at all. Trip-tier signals measure physics that does not fluctuate (winding temperature does not bounce around like a float switch); a trip-tier signal indicates real damage in progress and warrants immediate action. The two tiers serve their actual functions — alarm tier dispatches investigation, trip tier protects against confirmed damage — without conflating them.</w:t>
      </w:r>
    </w:p>
    <w:p>
      <w:pPr>
        <w:pStyle w:val="BodyText"/>
      </w:pPr>
      <w:r>
        <w:t xml:space="preserve">The asymmetric-warfare math benefit is preserved because:</w:t>
      </w:r>
    </w:p>
    <w:p>
      <w:pPr>
        <w:pStyle w:val="Compact"/>
        <w:numPr>
          <w:ilvl w:val="0"/>
          <w:numId w:val="1035"/>
        </w:numPr>
      </w:pPr>
      <w:r>
        <w:t xml:space="preserve">Hostile action against a heavily-loaded unit with multiple radiator hits drives temperatures up rapidly; trip-tier signals fire on the same minute-to-hour timescale that would have applied under trip-on-first-loss, with the unit recovering through field repair regardless.</w:t>
      </w:r>
    </w:p>
    <w:p>
      <w:pPr>
        <w:pStyle w:val="Compact"/>
        <w:numPr>
          <w:ilvl w:val="0"/>
          <w:numId w:val="1035"/>
        </w:numPr>
      </w:pPr>
      <w:r>
        <w:t xml:space="preserve">Hostile action against a moderately-loaded unit with a single radiator hit may not drive temperatures to trip threshold at all; the operator, alerted by alarm tier, can de-energize manually for repair while load continues to be served from another source, or accept the coolant loss as a maintenance event if redundancy and timing allow.</w:t>
      </w:r>
    </w:p>
    <w:p>
      <w:pPr>
        <w:pStyle w:val="Compact"/>
        <w:numPr>
          <w:ilvl w:val="0"/>
          <w:numId w:val="1035"/>
        </w:numPr>
      </w:pPr>
      <w:r>
        <w:t xml:space="preserve">Non-hostile single-radiator events (the common case) result in alarm and operator dispatch without service interruption, since the unit has cooling reserve to ride through.</w:t>
      </w:r>
    </w:p>
    <w:p>
      <w:pPr>
        <w:pStyle w:val="FirstParagraph"/>
      </w:pPr>
      <w:r>
        <w:t xml:space="preserve">The architecture reserves trip authority for situations where trip is genuinely warranted, and uses ester’s flash-point margin to convert what would otherwise be a panic-trip decision into a managed-investigation decision.</w:t>
      </w:r>
    </w:p>
    <w:bookmarkEnd w:id="54"/>
    <w:bookmarkStart w:id="55" w:name="Xf5ce295d560a71d5707dc65198c221f32bf0682"/>
    <w:p>
      <w:pPr>
        <w:pStyle w:val="Heading3"/>
      </w:pPr>
      <w:r>
        <w:t xml:space="preserve">Dielectric chemistry comparison against hostile action</w:t>
      </w:r>
    </w:p>
    <w:p>
      <w:pPr>
        <w:pStyle w:val="FirstParagraph"/>
      </w:pPr>
      <w:r>
        <w:t xml:space="preserve">Assuming the alarm-tier-plus-damage-driven-trip protection scheme is in place across all comparisons:</w:t>
      </w:r>
    </w:p>
    <w:p>
      <w:pPr>
        <w:pStyle w:val="Compact"/>
        <w:numPr>
          <w:ilvl w:val="0"/>
          <w:numId w:val="1036"/>
        </w:numPr>
      </w:pPr>
      <w:r>
        <w:rPr>
          <w:b/>
          <w:bCs/>
        </w:rPr>
        <w:t xml:space="preserve">Mineral oil</w:t>
      </w:r>
      <w:r>
        <w:t xml:space="preserve">: the alarm-investigate scheme is</w:t>
      </w:r>
      <w:r>
        <w:t xml:space="preserve"> </w:t>
      </w:r>
      <w:r>
        <w:rPr>
          <w:i/>
          <w:iCs/>
        </w:rPr>
        <w:t xml:space="preserve">not safe</w:t>
      </w:r>
      <w:r>
        <w:t xml:space="preserve"> </w:t>
      </w:r>
      <w:r>
        <w:t xml:space="preserve">with mineral oil. Leaking mineral oil at 145°C / 293°F flash point can ignite during the operator-response window if the round path intersects energized bushings, sparking surfaces, or arcing components. The fire-propagation timescale (seconds) is shorter than the operator-response timescale (minutes); mineral oil therefore</w:t>
      </w:r>
      <w:r>
        <w:t xml:space="preserve"> </w:t>
      </w:r>
      <w:r>
        <w:rPr>
          <w:i/>
          <w:iCs/>
        </w:rPr>
        <w:t xml:space="preserve">requires</w:t>
      </w:r>
      <w:r>
        <w:t xml:space="preserve"> </w:t>
      </w:r>
      <w:r>
        <w:t xml:space="preserve">trip-on-first-loss logic, accepting the false-trip cost. Even with that logic, ignition during the few seconds before trip clears can still produce pool fire. Mineral oil + alarm-tier logic is operationally unsound; mineral oil + trip-on-first-loss is the conventional answer and produces the false-trip operational failures described above.</w:t>
      </w:r>
    </w:p>
    <w:p>
      <w:pPr>
        <w:pStyle w:val="Compact"/>
        <w:numPr>
          <w:ilvl w:val="0"/>
          <w:numId w:val="1036"/>
        </w:numPr>
      </w:pPr>
      <w:r>
        <w:rPr>
          <w:b/>
          <w:bCs/>
        </w:rPr>
        <w:t xml:space="preserve">Natural ester</w:t>
      </w:r>
      <w:r>
        <w:t xml:space="preserve">: ester’s 330°C / 626°F flash point is above any temperature reached at typical fault locations in the operator-response window. No ignition during alarm-investigate-trip-on-damage logic; failure is contained to the unit attacked, with windings preserved when damage progression triggers automated trip or operator de-energization. This is the architectural design point. The combination of ester chemistry and damage-driven trip authority is what allows the architecture to escape both the mineral-oil-plus-trip-on-first-loss and mineral-oil-plus-alarm failure modes.</w:t>
      </w:r>
    </w:p>
    <w:p>
      <w:pPr>
        <w:pStyle w:val="Compact"/>
        <w:numPr>
          <w:ilvl w:val="0"/>
          <w:numId w:val="1036"/>
        </w:numPr>
      </w:pPr>
      <w:r>
        <w:rPr>
          <w:b/>
          <w:bCs/>
        </w:rPr>
        <w:t xml:space="preserve">SF6</w:t>
      </w:r>
      <w:r>
        <w:t xml:space="preserve">: rifle fire ruptures the gas envelope and releases SF6 plus any arc-decomposition products. The unit is unrecoverable through field repair (gas-insulated equipment requires factory service for envelope repair); replacement-only with corresponding lead time. Toxic-plume hazard to first responders adds operational cost beyond the equipment loss.</w:t>
      </w:r>
    </w:p>
    <w:p>
      <w:pPr>
        <w:pStyle w:val="Compact"/>
        <w:numPr>
          <w:ilvl w:val="0"/>
          <w:numId w:val="1036"/>
        </w:numPr>
      </w:pPr>
      <w:r>
        <w:rPr>
          <w:b/>
          <w:bCs/>
        </w:rPr>
        <w:t xml:space="preserve">Cast resin</w:t>
      </w:r>
      <w:r>
        <w:t xml:space="preserve">: the round may sever winding turns directly (electrical fault, immediate trip independent of any monitoring) or shatter resin in the local zone (mechanical damage). No liquid-fire mechanism. But cast resin has no field repair path: the unit goes to disposal and is replaced, with new-unit lead time of 6–18 months. Cast resin shares mineral oil’s recovery-time disadvantage despite its better fire profile.</w:t>
      </w:r>
    </w:p>
    <w:p>
      <w:pPr>
        <w:pStyle w:val="FirstParagraph"/>
      </w:pPr>
      <w:r>
        <w:t xml:space="preserve">Only ester combines fire prevention (no propagation), the time margin to use alarm-investigate-confirm-trip protection logic (rather than trip-on-first-signal), winding preservation (damage-driven trip authority), and field rewindability (recovery in days to weeks). The combination is unique to ester-immersed transformers.</w:t>
      </w:r>
    </w:p>
    <w:bookmarkEnd w:id="55"/>
    <w:bookmarkStart w:id="56" w:name="recovery-time-spectrum"/>
    <w:p>
      <w:pPr>
        <w:pStyle w:val="Heading3"/>
      </w:pPr>
      <w:r>
        <w:t xml:space="preserve">Recovery time spectrum</w:t>
      </w:r>
    </w:p>
    <w:p>
      <w:pPr>
        <w:pStyle w:val="FirstParagraph"/>
      </w:pPr>
      <w:r>
        <w:t xml:space="preserve">The expected outcome distribution under hostile action against ester transformers with the layered protection scheme is split by regional engineering logistics. The two regimes correspond approximately to</w:t>
      </w:r>
      <w:r>
        <w:t xml:space="preserve"> </w:t>
      </w:r>
      <w:r>
        <w:t xml:space="preserve">“OECD utility infrastructure”</w:t>
      </w:r>
      <w:r>
        <w:t xml:space="preserve"> </w:t>
      </w:r>
      <w:r>
        <w:t xml:space="preserve">(developed) and</w:t>
      </w:r>
      <w:r>
        <w:t xml:space="preserve"> </w:t>
      </w:r>
      <w:r>
        <w:t xml:space="preserve">“limited regional logistics”</w:t>
      </w:r>
      <w:r>
        <w:t xml:space="preserve"> </w:t>
      </w:r>
      <w:r>
        <w:t xml:space="preserve">(target deployment regions per the parent grid proposal), with the architectural commitment that limited-logistics regions can be upgraded to developed-logistics status through the industrial buildout developed in Section 11.</w:t>
      </w:r>
    </w:p>
    <w:p>
      <w:pPr>
        <w:pStyle w:val="BodyText"/>
      </w:pPr>
      <w:r>
        <w:rPr>
          <w:b/>
          <w:bCs/>
        </w:rPr>
        <w:t xml:space="preserve">Regime 1 — Developed regional logistics</w:t>
      </w:r>
      <w:r>
        <w:t xml:space="preserve">: rewind facilities within ~500 km / 310 mi shipping distance of the substation, ester depot stocking the regional transformer fleet’s worth of refill fluid, vacuum dehydration rigs available within hours, steel weld repair crew on call.</w:t>
      </w:r>
    </w:p>
    <w:p>
      <w:pPr>
        <w:pStyle w:val="Compact"/>
        <w:numPr>
          <w:ilvl w:val="0"/>
          <w:numId w:val="1037"/>
        </w:numPr>
      </w:pPr>
      <w:r>
        <w:rPr>
          <w:i/>
          <w:iCs/>
        </w:rPr>
        <w:t xml:space="preserve">60–80% of single-round attacks</w:t>
      </w:r>
      <w:r>
        <w:t xml:space="preserve">: round through radiator only, alarm dispatched operator response, load transferred or unit de-energized through manual or thermal-trip path, windings intact. Recovery:</w:t>
      </w:r>
      <w:r>
        <w:t xml:space="preserve"> </w:t>
      </w:r>
      <w:r>
        <w:rPr>
          <w:b/>
          <w:bCs/>
        </w:rPr>
        <w:t xml:space="preserve">1–3 days, $20K–80K cost</w:t>
      </w:r>
      <w:r>
        <w:t xml:space="preserve">.</w:t>
      </w:r>
    </w:p>
    <w:p>
      <w:pPr>
        <w:pStyle w:val="Compact"/>
        <w:numPr>
          <w:ilvl w:val="0"/>
          <w:numId w:val="1037"/>
        </w:numPr>
      </w:pPr>
      <w:r>
        <w:rPr>
          <w:i/>
          <w:iCs/>
        </w:rPr>
        <w:t xml:space="preserve">15–30% of attacks</w:t>
      </w:r>
      <w:r>
        <w:t xml:space="preserve">: round through main tank or through bushing area, damage triggered trip-tier signals (Buchholz lower float, sudden-pressure relay, hot-spot temperature, or differential current), but trip occurred before major thermal damage to windings. Inspection reveals localized winding insulation damage or bushing damage requiring repair beyond fluid refill. Recovery:</w:t>
      </w:r>
      <w:r>
        <w:t xml:space="preserve"> </w:t>
      </w:r>
      <w:r>
        <w:rPr>
          <w:b/>
          <w:bCs/>
        </w:rPr>
        <w:t xml:space="preserve">1–4 weeks, $100K–500K cost</w:t>
      </w:r>
      <w:r>
        <w:t xml:space="preserve">.</w:t>
      </w:r>
    </w:p>
    <w:p>
      <w:pPr>
        <w:pStyle w:val="Compact"/>
        <w:numPr>
          <w:ilvl w:val="0"/>
          <w:numId w:val="1037"/>
        </w:numPr>
      </w:pPr>
      <w:r>
        <w:rPr>
          <w:i/>
          <w:iCs/>
        </w:rPr>
        <w:t xml:space="preserve">5–15% of attacks</w:t>
      </w:r>
      <w:r>
        <w:t xml:space="preserve">: direct winding hit or coordinated multi-round attack producing winding-region damage. Differential current protection or Buchholz baffle trips immediately on the resulting fault, but winding damage has occurred. Field rewind required. Recovery:</w:t>
      </w:r>
      <w:r>
        <w:t xml:space="preserve"> </w:t>
      </w:r>
      <w:r>
        <w:rPr>
          <w:b/>
          <w:bCs/>
        </w:rPr>
        <w:t xml:space="preserve">3–10 weeks (depending on power class and rewind facility availability), $400K–1.5M cost</w:t>
      </w:r>
      <w:r>
        <w:t xml:space="preserve">.</w:t>
      </w:r>
    </w:p>
    <w:p>
      <w:pPr>
        <w:pStyle w:val="Compact"/>
        <w:numPr>
          <w:ilvl w:val="0"/>
          <w:numId w:val="1037"/>
        </w:numPr>
      </w:pPr>
      <w:r>
        <w:rPr>
          <w:i/>
          <w:iCs/>
        </w:rPr>
        <w:t xml:space="preserve">&lt;5% of attacks</w:t>
      </w:r>
      <w:r>
        <w:t xml:space="preserve">: catastrophic damage, structural tank failure, or coordinated attack with sustained fire involving the unit. Replacement required. Recovery: 6–18 months, $2M+ cost.</w:t>
      </w:r>
    </w:p>
    <w:p>
      <w:pPr>
        <w:pStyle w:val="FirstParagraph"/>
      </w:pPr>
      <w:r>
        <w:t xml:space="preserve">Expected-value recovery time in Regime 1:</w:t>
      </w:r>
      <w:r>
        <w:t xml:space="preserve"> </w:t>
      </w:r>
      <w:r>
        <w:rPr>
          <w:b/>
          <w:bCs/>
        </w:rPr>
        <w:t xml:space="preserve">1–3 weeks</w:t>
      </w:r>
      <w:r>
        <w:t xml:space="preserve">.</w:t>
      </w:r>
    </w:p>
    <w:p>
      <w:pPr>
        <w:pStyle w:val="BodyText"/>
      </w:pPr>
      <w:r>
        <w:rPr>
          <w:b/>
          <w:bCs/>
        </w:rPr>
        <w:t xml:space="preserve">Regime 2 — Limited regional logistics</w:t>
      </w:r>
      <w:r>
        <w:t xml:space="preserve">: rewind facilities sparse, distant, or absent; ester depot capacity below regional fleet need; vacuum dehydration rigs available only by pre-arranged dispatch; transport infrastructure for transmission-class active parts limited.</w:t>
      </w:r>
    </w:p>
    <w:p>
      <w:pPr>
        <w:pStyle w:val="Compact"/>
        <w:numPr>
          <w:ilvl w:val="0"/>
          <w:numId w:val="1038"/>
        </w:numPr>
      </w:pPr>
      <w:r>
        <w:rPr>
          <w:i/>
          <w:iCs/>
        </w:rPr>
        <w:t xml:space="preserve">60–80% of single-round attacks</w:t>
      </w:r>
      <w:r>
        <w:t xml:space="preserve">: refill case. Recovery:</w:t>
      </w:r>
      <w:r>
        <w:t xml:space="preserve"> </w:t>
      </w:r>
      <w:r>
        <w:rPr>
          <w:b/>
          <w:bCs/>
        </w:rPr>
        <w:t xml:space="preserve">1–2 weeks, $30K–120K cost</w:t>
      </w:r>
      <w:r>
        <w:t xml:space="preserve">. Refill is bottlenecked on ester delivery from the nearest depot (potentially several hundred kilometers / hundred-plus miles away by road) and vacuum dehydration rig dispatch. Steel weld repair is local capacity in any economy with basic industrial infrastructure.</w:t>
      </w:r>
    </w:p>
    <w:p>
      <w:pPr>
        <w:pStyle w:val="Compact"/>
        <w:numPr>
          <w:ilvl w:val="0"/>
          <w:numId w:val="1038"/>
        </w:numPr>
      </w:pPr>
      <w:r>
        <w:rPr>
          <w:i/>
          <w:iCs/>
        </w:rPr>
        <w:t xml:space="preserve">15–30% of attacks</w:t>
      </w:r>
      <w:r>
        <w:t xml:space="preserve">: partial winding repair. Recovery:</w:t>
      </w:r>
      <w:r>
        <w:t xml:space="preserve"> </w:t>
      </w:r>
      <w:r>
        <w:rPr>
          <w:b/>
          <w:bCs/>
        </w:rPr>
        <w:t xml:space="preserve">3–8 weeks, $150K–700K cost</w:t>
      </w:r>
      <w:r>
        <w:t xml:space="preserve">. Partial rewind work may be feasible at the substation if the affected winding is accessible without removing the active part; otherwise, transport to regional rewind facility (or to OECD facility if no regional facility exists) extends the timeline.</w:t>
      </w:r>
    </w:p>
    <w:p>
      <w:pPr>
        <w:pStyle w:val="Compact"/>
        <w:numPr>
          <w:ilvl w:val="0"/>
          <w:numId w:val="1038"/>
        </w:numPr>
      </w:pPr>
      <w:r>
        <w:rPr>
          <w:i/>
          <w:iCs/>
        </w:rPr>
        <w:t xml:space="preserve">5–15% of attacks</w:t>
      </w:r>
      <w:r>
        <w:t xml:space="preserve">: full rewind. Recovery:</w:t>
      </w:r>
      <w:r>
        <w:t xml:space="preserve"> </w:t>
      </w:r>
      <w:r>
        <w:rPr>
          <w:b/>
          <w:bCs/>
        </w:rPr>
        <w:t xml:space="preserve">6–24 weeks, $500K–2M cost</w:t>
      </w:r>
      <w:r>
        <w:t xml:space="preserve">. Active-part transport for transmission-class units is the primary constraint; transmission-class transport infrastructure (Schnabel cars, multi-axle heavy-haul) often does not exist in target regions and must be arranged through international logistics.</w:t>
      </w:r>
    </w:p>
    <w:p>
      <w:pPr>
        <w:pStyle w:val="Compact"/>
        <w:numPr>
          <w:ilvl w:val="0"/>
          <w:numId w:val="1038"/>
        </w:numPr>
      </w:pPr>
      <w:r>
        <w:rPr>
          <w:i/>
          <w:iCs/>
        </w:rPr>
        <w:t xml:space="preserve">&lt;5% of attacks</w:t>
      </w:r>
      <w:r>
        <w:t xml:space="preserve">: catastrophic loss. Recovery: 6–18 months, $2M+ cost. Same as Regime 1; replacement is bounded by global transformer manufacturing capacity, not regional logistics.</w:t>
      </w:r>
    </w:p>
    <w:p>
      <w:pPr>
        <w:pStyle w:val="FirstParagraph"/>
      </w:pPr>
      <w:r>
        <w:t xml:space="preserve">Expected-value recovery time in Regime 2:</w:t>
      </w:r>
      <w:r>
        <w:t xml:space="preserve"> </w:t>
      </w:r>
      <w:r>
        <w:rPr>
          <w:b/>
          <w:bCs/>
        </w:rPr>
        <w:t xml:space="preserve">3–8 weeks</w:t>
      </w:r>
      <w:r>
        <w:t xml:space="preserve">.</w:t>
      </w:r>
    </w:p>
    <w:p>
      <w:pPr>
        <w:pStyle w:val="BodyText"/>
      </w:pPr>
      <w:r>
        <w:rPr>
          <w:b/>
          <w:bCs/>
        </w:rPr>
        <w:t xml:space="preserve">The headline figure across both regimes</w:t>
      </w:r>
      <w:r>
        <w:t xml:space="preserve">: even in the worst-case Regime 2 expected-value recovery (6–8 weeks for a typical attack), recovery is</w:t>
      </w:r>
      <w:r>
        <w:t xml:space="preserve"> </w:t>
      </w:r>
      <w:r>
        <w:rPr>
          <w:b/>
          <w:bCs/>
        </w:rPr>
        <w:t xml:space="preserve">8–13× faster</w:t>
      </w:r>
      <w:r>
        <w:t xml:space="preserve"> </w:t>
      </w:r>
      <w:r>
        <w:t xml:space="preserve">than the mineral-oil + fire-propagation baseline (6–18 months). In Regime 1, the improvement is</w:t>
      </w:r>
      <w:r>
        <w:t xml:space="preserve"> </w:t>
      </w:r>
      <w:r>
        <w:rPr>
          <w:b/>
          <w:bCs/>
        </w:rPr>
        <w:t xml:space="preserve">20–100×</w:t>
      </w:r>
      <w:r>
        <w:t xml:space="preserve">.</w:t>
      </w:r>
      <w:r>
        <w:t xml:space="preserve"> </w:t>
      </w:r>
      <w:r>
        <w:rPr>
          <w:i/>
          <w:iCs/>
        </w:rPr>
        <w:t xml:space="preserve">In the dominant single-round-attack outcome</w:t>
      </w:r>
      <w:r>
        <w:t xml:space="preserve">, the improvement is</w:t>
      </w:r>
      <w:r>
        <w:t xml:space="preserve"> </w:t>
      </w:r>
      <w:r>
        <w:rPr>
          <w:b/>
          <w:bCs/>
        </w:rPr>
        <w:t xml:space="preserve">40× faster</w:t>
      </w:r>
      <w:r>
        <w:t xml:space="preserve"> </w:t>
      </w:r>
      <w:r>
        <w:t xml:space="preserve">even in limited-logistics deployment (1–2 weeks vs 6–18 months) — the asymmetric warfare math is broken by this factor alone, before considering fire safety, environmental, or acoustic improvements.</w:t>
      </w:r>
    </w:p>
    <w:bookmarkEnd w:id="56"/>
    <w:bookmarkStart w:id="58" w:name="Xaca6aa0a89710e6d1a2d036af23ea54c7998803"/>
    <w:p>
      <w:pPr>
        <w:pStyle w:val="Heading3"/>
      </w:pPr>
      <w:r>
        <w:t xml:space="preserve">Logistics buildout: how Regime 2 becomes Regime 1</w:t>
      </w:r>
    </w:p>
    <w:p>
      <w:pPr>
        <w:pStyle w:val="FirstParagraph"/>
      </w:pPr>
      <w:r>
        <w:t xml:space="preserve">The Regime 2 → Regime 1 upgrade is bounded engineering capital and time, not a fundamental capability question. The supporting infrastructure breaks down as:</w:t>
      </w:r>
    </w:p>
    <w:p>
      <w:pPr>
        <w:pStyle w:val="BodyText"/>
      </w:pPr>
      <w:r>
        <w:rPr>
          <w:b/>
          <w:bCs/>
        </w:rPr>
        <w:t xml:space="preserve">Steel weld repair capacity</w:t>
      </w:r>
      <w:r>
        <w:t xml:space="preserve"> </w:t>
      </w:r>
      <w:r>
        <w:t xml:space="preserve">— already present in any economy with a basic machine shop. No buildout required. Per-region capability assumed throughout.</w:t>
      </w:r>
    </w:p>
    <w:p>
      <w:pPr>
        <w:pStyle w:val="BodyText"/>
      </w:pPr>
      <w:r>
        <w:rPr>
          <w:b/>
          <w:bCs/>
        </w:rPr>
        <w:t xml:space="preserve">Bulk ester refill depot</w:t>
      </w:r>
      <w:r>
        <w:t xml:space="preserve"> </w:t>
      </w:r>
      <w:r>
        <w:t xml:space="preserve">— straightforward. The depot is a tank farm of perhaps 50,000–200,000 L / 13,000–53,000 gal capacity per regional substation cluster, plus a delivery truck or two. Depot construction is one-month engineering and a few hundred thousand dollars per region. Stocking the depot with ester is a one-time procurement of perhaps $250K–$1M. Total: $500K–$2M per regional depot, deployable in 3–6 months. Architectural cost line item per the parent grid proposal logistics buildout.</w:t>
      </w:r>
    </w:p>
    <w:p>
      <w:pPr>
        <w:pStyle w:val="BodyText"/>
      </w:pPr>
      <w:r>
        <w:rPr>
          <w:b/>
          <w:bCs/>
        </w:rPr>
        <w:t xml:space="preserve">Regional rewind facility</w:t>
      </w:r>
      <w:r>
        <w:t xml:space="preserve"> </w:t>
      </w:r>
      <w:r>
        <w:t xml:space="preserve">— significant but bounded. A regional rewind facility for distribution-and-sub-transmission-class transformers (up to ~100 MVA, ~138 kV) requires: a building large enough for active-part disassembly and reassembly of the largest expected unit (typical: 30 m × 50 m × 12 m / 100 ft × 165 ft × 40 ft); winding fabrication equipment (CNC winding machines, paper-wrapping machines, vacuum impregnation equipment); core stacking and inspection capability; vacuum dehydration rig sized for the largest unit; full electrical test bay (impulse generator, partial discharge measurement, ratio test, breakdown voltage); and trained personnel. Capital cost roughly $20–80M depending on capacity and equipment specification. Buildout timeline 18–36 months from greenfield. One regional facility can serve a multi-country region depending on transformer fleet density; the parent grid proposal’s deployment plan should include facility siting at appropriate density.</w:t>
      </w:r>
    </w:p>
    <w:p>
      <w:pPr>
        <w:pStyle w:val="BodyText"/>
      </w:pPr>
      <w:r>
        <w:t xml:space="preserve">For transmission-class units (&gt;100 MVA, &gt;138 kV), the rewind facility specification is larger and more specialized; major transmission rewind facilities exist in the US, EU, Russia, China, and Japan and serve global demand through international shipping. New regional transmission rewind capacity is feasible but represents $100M+ capital and 3–5 year buildout; for most target deployment regions, the appropriate strategy is transport-to-OECD-facility with parent-grid-proposal logistics support, accepting the longer recovery time for the rare transmission-class rewind case in exchange for not building specialized rewind capacity that may see only a few units per year.</w:t>
      </w:r>
    </w:p>
    <w:p>
      <w:pPr>
        <w:pStyle w:val="BodyText"/>
      </w:pPr>
      <w:r>
        <w:rPr>
          <w:b/>
          <w:bCs/>
        </w:rPr>
        <w:t xml:space="preserve">Vacuum dehydration rigs</w:t>
      </w:r>
      <w:r>
        <w:t xml:space="preserve"> </w:t>
      </w:r>
      <w:r>
        <w:t xml:space="preserve">— the apparent bottleneck, but actually the easiest item to address.</w:t>
      </w:r>
    </w:p>
    <w:p>
      <w:pPr>
        <w:pStyle w:val="BodyText"/>
      </w:pPr>
      <w:r>
        <w:t xml:space="preserve">It is worth pausing on the vacuum-technology question because it is where most outside readers expect the architecture to break down. The intuition is that vacuum-grade equipment is exotic, requires fab-class manufacturing, and represents a developed-world capability gap that target deployment regions cannot close. This intuition is wrong by approximately ninety years.</w:t>
      </w:r>
    </w:p>
    <w:p>
      <w:pPr>
        <w:pStyle w:val="BodyText"/>
      </w:pPr>
      <w:r>
        <w:t xml:space="preserve">Transformer dehydration runs at &lt;1 mbar absolute (some specifications go to 0.1 mbar). For reference: 1 mbar = 100 Pa, against atmospheric pressure of 101,325 Pa — about 0.001 atm. In the vacuum-engineering taxonomy this is</w:t>
      </w:r>
      <w:r>
        <w:t xml:space="preserve"> </w:t>
      </w:r>
      <w:r>
        <w:rPr>
          <w:i/>
          <w:iCs/>
        </w:rPr>
        <w:t xml:space="preserve">medium vacuum</w:t>
      </w:r>
      <w:r>
        <w:t xml:space="preserve">, the regime served by mechanical rotary-vane pumps with two-stage configurations. It is not high vacuum (turbo pumps, diffusion pumps, &lt;0.001 mbar), and it is not anywhere near ultra-high vacuum (ion pumps, &lt;10⁻⁷ mbar, semiconductor and physics-research equipment). The level of vacuum the architecture requires is the level you got in a 1935 refrigerator factory.</w:t>
      </w:r>
    </w:p>
    <w:p>
      <w:pPr>
        <w:pStyle w:val="BodyText"/>
      </w:pPr>
      <w:r>
        <w:t xml:space="preserve">Two-stage rotary-vane pumps reaching 0.01 mbar have been mass-produced since the 1930s. Edwards (UK), Leybold (Germany), Welch (US), Pfeiffer (Germany), Busch (Germany) — all founded between 1850 and 1940, all with continuous product lines through the 20th century. The technology was</w:t>
      </w:r>
      <w:r>
        <w:t xml:space="preserve"> </w:t>
      </w:r>
      <w:r>
        <w:rPr>
          <w:i/>
          <w:iCs/>
        </w:rPr>
        <w:t xml:space="preserve">Cold War standard</w:t>
      </w:r>
      <w:r>
        <w:t xml:space="preserve"> </w:t>
      </w:r>
      <w:r>
        <w:t xml:space="preserve">across multiple unrelated industries: every refrigeration shop did vacuum brazing and refrigerant evacuation; every electrical-rebuild shop did vacuum impregnation of motor windings; every food-canning operation did vacuum sealing; every military-rations factory did vacuum freeze-drying.</w:t>
      </w:r>
    </w:p>
    <w:p>
      <w:pPr>
        <w:pStyle w:val="BodyText"/>
      </w:pPr>
      <w:r>
        <w:t xml:space="preserve">The cultural reference closest to this taxonomy that most readers will recognize is Harland Sanders’ pressure cooker. KFC’s signature fried chicken since 1939 has been produced in pressure cookers running at roughly 15 psi gauge / ~2 bar absolute. That is</w:t>
      </w:r>
      <w:r>
        <w:t xml:space="preserve"> </w:t>
      </w:r>
      <w:r>
        <w:rPr>
          <w:i/>
          <w:iCs/>
        </w:rPr>
        <w:t xml:space="preserve">positive-pressure</w:t>
      </w:r>
      <w:r>
        <w:t xml:space="preserve"> </w:t>
      </w:r>
      <w:r>
        <w:t xml:space="preserve">technology, not vacuum — but the engineering siblings (sealed vessel, precision gasket, calibrated pressure relief, basic instrumentation) are the same family. A 1950s Kentucky franchise running a $1,500 pressure fryer was demonstrating, in a fast-food context, the kind of mid-industrial machine-shop capability that builds vacuum dehydration rigs. The vessels, the seals, the controls, the safety equipment — none of it is leading-edge in 2026 and none of it was leading-edge in 1955.</w:t>
      </w:r>
    </w:p>
    <w:p>
      <w:pPr>
        <w:pStyle w:val="BodyText"/>
      </w:pPr>
      <w:r>
        <w:t xml:space="preserve">Indigenous manufacture of vacuum dehydration rigs in target deployment regions requires four components, each of which is a commodity:</w:t>
      </w:r>
    </w:p>
    <w:p>
      <w:pPr>
        <w:pStyle w:val="Compact"/>
        <w:numPr>
          <w:ilvl w:val="0"/>
          <w:numId w:val="1039"/>
        </w:numPr>
      </w:pPr>
      <w:r>
        <w:rPr>
          <w:i/>
          <w:iCs/>
        </w:rPr>
        <w:t xml:space="preserve">Tight-tolerance machining capability</w:t>
      </w:r>
      <w:r>
        <w:t xml:space="preserve"> </w:t>
      </w:r>
      <w:r>
        <w:t xml:space="preserve">(rotor and end-plate clearances of a few microns) — present in any economy with basic precision machining. The required CNC capability is present in countries from Iran and Vietnam to Bangladesh and Tanzania at varying scale; greenfield buildout takes 12–18 months.</w:t>
      </w:r>
    </w:p>
    <w:p>
      <w:pPr>
        <w:pStyle w:val="Compact"/>
        <w:numPr>
          <w:ilvl w:val="0"/>
          <w:numId w:val="1039"/>
        </w:numPr>
      </w:pPr>
      <w:r>
        <w:rPr>
          <w:i/>
          <w:iCs/>
        </w:rPr>
        <w:t xml:space="preserve">Vacuum-grade elastomer seals</w:t>
      </w:r>
      <w:r>
        <w:t xml:space="preserve"> </w:t>
      </w:r>
      <w:r>
        <w:t xml:space="preserve">— fluoroelastomers (Viton or equivalents) for hot-oil compatibility. Either domestic specialty chemistry or import. The annual elastomer requirement for a national rig fleet is small (a few hundred kilograms total); import is acceptable.</w:t>
      </w:r>
    </w:p>
    <w:p>
      <w:pPr>
        <w:pStyle w:val="Compact"/>
        <w:numPr>
          <w:ilvl w:val="0"/>
          <w:numId w:val="1039"/>
        </w:numPr>
      </w:pPr>
      <w:r>
        <w:rPr>
          <w:i/>
          <w:iCs/>
        </w:rPr>
        <w:t xml:space="preserve">Vacuum-grade vane materials</w:t>
      </w:r>
      <w:r>
        <w:t xml:space="preserve"> </w:t>
      </w:r>
      <w:r>
        <w:t xml:space="preserve">— phenolic resin or graphite-loaded composite vanes, commodity products in the bearings-and-seals industry. Multiple global suppliers.</w:t>
      </w:r>
    </w:p>
    <w:p>
      <w:pPr>
        <w:pStyle w:val="Compact"/>
        <w:numPr>
          <w:ilvl w:val="0"/>
          <w:numId w:val="1039"/>
        </w:numPr>
      </w:pPr>
      <w:r>
        <w:rPr>
          <w:i/>
          <w:iCs/>
        </w:rPr>
        <w:t xml:space="preserve">System integration</w:t>
      </w:r>
      <w:r>
        <w:t xml:space="preserve"> </w:t>
      </w:r>
      <w:r>
        <w:t xml:space="preserve">— the dehydration rig is a vacuum chamber plus heater plus oil circulation pump plus filtration plus instrumentation. Each component is commodity; integration to utility-grade reliability is engineering work, not technology development.</w:t>
      </w:r>
    </w:p>
    <w:p>
      <w:pPr>
        <w:pStyle w:val="FirstParagraph"/>
      </w:pPr>
      <w:r>
        <w:t xml:space="preserve">Existing global producers of rotary-vane vacuum pumps in the medium-vacuum range include Edwards (UK), Leybold (Germany), Welch (US), Pfeiffer (Germany), Busch (Germany), Atlas Copco (Sweden), Rietschle (Germany), Becker (Germany), and Hokuto (Japan), plus large-scale producers in China (multiple domestic brands and joint ventures), India (multiple producers), and Iran (domestic production developed under sanctions for industrial self-sufficiency). The absence of indigenous production in any</w:t>
      </w:r>
      <w:r>
        <w:t xml:space="preserve"> </w:t>
      </w:r>
      <w:r>
        <w:rPr>
          <w:i/>
          <w:iCs/>
        </w:rPr>
        <w:t xml:space="preserve">specific</w:t>
      </w:r>
      <w:r>
        <w:t xml:space="preserve"> </w:t>
      </w:r>
      <w:r>
        <w:t xml:space="preserve">target region reflects offshoring economics, not technology capability gaps.</w:t>
      </w:r>
    </w:p>
    <w:p>
      <w:pPr>
        <w:pStyle w:val="BodyText"/>
      </w:pPr>
      <w:r>
        <w:t xml:space="preserve">Indigenous production setup in a target region: license rotor and end-plate designs from an existing producer (or reverse-engineer from purchased units, which is the standard path for sanctions-affected economies), establish machining line, source elastomers and vane materials through commodity-trade channels, integrate into rig assembly with local instrumentation. Capital cost roughly $5–20M for a production facility serving a national-scale fleet. Buildout timeline 18–24 months. The entire vacuum dehydration rig fleet for a country deploying this architecture might be 50–200 rigs of various capacities; this is a one-shift production load for 2–3 years from a single facility.</w:t>
      </w:r>
    </w:p>
    <w:bookmarkStart w:id="57" w:name="Xc8f907210cdbaa92bb341333700c92b69abd723"/>
    <w:p>
      <w:pPr>
        <w:pStyle w:val="Heading4"/>
      </w:pPr>
      <w:r>
        <w:t xml:space="preserve">The OECD industrial-base-depth observation</w:t>
      </w:r>
    </w:p>
    <w:p>
      <w:pPr>
        <w:pStyle w:val="FirstParagraph"/>
      </w:pPr>
      <w:r>
        <w:t xml:space="preserve">The assumption that vacuum dehydration rig manufacture is a developing-world infrastructure problem deserves direct examination. Many OECD-classified economies lack the heavy-industrial depth their GDP rank implies. Canada — to take the case most relevant to this paper’s authorship — has essentially no domestic vacuum pump manufacture despite an advanced economy in other sectors; the Canadian utility fleet imports vacuum dehydration equipment from US, German, Japanese, and Chinese producers. Australia is similarly thin. The United Kingdom hosts Edwards as a high-end producer but relies heavily on import for the medium-vacuum equipment that Edwards itself does not specialize in. The Cold War distribution of broad industrial capability across allied economies has been progressively offshored to a smaller and smaller number of producers concentrated in Germany, Japan, China, the US, and a few specialty producers elsewhere.</w:t>
      </w:r>
    </w:p>
    <w:p>
      <w:pPr>
        <w:pStyle w:val="BodyText"/>
      </w:pPr>
      <w:r>
        <w:t xml:space="preserve">This is not just a target-deployment-region problem; it is a</w:t>
      </w:r>
      <w:r>
        <w:t xml:space="preserve"> </w:t>
      </w:r>
      <w:r>
        <w:rPr>
          <w:i/>
          <w:iCs/>
        </w:rPr>
        <w:t xml:space="preserve">modern-world</w:t>
      </w:r>
      <w:r>
        <w:t xml:space="preserve"> </w:t>
      </w:r>
      <w:r>
        <w:t xml:space="preserve">problem that several supposedly-advanced economies have offshored their way into. A target region setting up indigenous vacuum-rig production as part of the architecture’s logistics buildout may end up with more domestic capability than several OECD economies that currently import all of their vacuum equipment.</w:t>
      </w:r>
    </w:p>
    <w:p>
      <w:pPr>
        <w:pStyle w:val="BodyText"/>
      </w:pPr>
      <w:r>
        <w:t xml:space="preserve">The architectural implication is twofold:</w:t>
      </w:r>
    </w:p>
    <w:p>
      <w:pPr>
        <w:numPr>
          <w:ilvl w:val="0"/>
          <w:numId w:val="1040"/>
        </w:numPr>
      </w:pPr>
      <w:r>
        <w:rPr>
          <w:i/>
          <w:iCs/>
        </w:rPr>
        <w:t xml:space="preserve">For deployment regions</w:t>
      </w:r>
      <w:r>
        <w:t xml:space="preserve">: vacuum dehydration is a 1930s-vintage technology, the supply chain risk is overstated, and indigenous production capability can be built into target regions through bounded industrial investment as part of the parent grid proposal’s broader infrastructure buildout. This is not a deal-breaker for the architecture; it is part of what the parent proposal is for.</w:t>
      </w:r>
    </w:p>
    <w:p>
      <w:pPr>
        <w:numPr>
          <w:ilvl w:val="0"/>
          <w:numId w:val="1040"/>
        </w:numPr>
      </w:pPr>
      <w:r>
        <w:rPr>
          <w:i/>
          <w:iCs/>
        </w:rPr>
        <w:t xml:space="preserve">For OECD utilities and policymakers</w:t>
      </w:r>
      <w:r>
        <w:t xml:space="preserve">: the same buildout argument applies in reverse. The 12 Hz architecture’s logistics requirements may be a useful occasion to rebuild domestic industrial capability in vacuum-equipment manufacture, transformer rewind capacity, and related heavy-industrial sectors that have been progressively offshored. The deployment of a resilient grid architecture is also an opportunity to rebuild the industrial base that supports it. Canada in particular — with no domestic vacuum equipment, declining transformer-rewind capacity (only 3-4 facilities serving 138 kV+, none for the largest transmission classes), and an aging heavy-industrial base concentrated in a few regional clusters — would benefit from making the architecture’s logistics buildout a deliberate domestic industrial-policy commitment rather than continuing to import the supporting infrastructure. The same observation applies to Australia, the United Kingdom, and several European economies that have allowed similar erosion.</w:t>
      </w:r>
    </w:p>
    <w:p>
      <w:pPr>
        <w:pStyle w:val="FirstParagraph"/>
      </w:pPr>
      <w:r>
        <w:t xml:space="preserve">The architecture itself does not depend on any country making this choice. But the framing matters: deploying a resilient grid in an economy that imports its vacuum dehydration rigs from a small number of overseas producers re-creates one of the supply-chain dependencies the architecture is otherwise designed to escape. The full benefit of the architecture is achieved only when the supporting industrial base is also resilient.</w:t>
      </w:r>
    </w:p>
    <w:p>
      <w:pPr>
        <w:pStyle w:val="BodyText"/>
      </w:pPr>
      <w:r>
        <w:rPr>
          <w:b/>
          <w:bCs/>
        </w:rPr>
        <w:t xml:space="preserve">Transport infrastructure for transmission-class active parts</w:t>
      </w:r>
      <w:r>
        <w:t xml:space="preserve"> </w:t>
      </w:r>
      <w:r>
        <w:t xml:space="preserve">— the hardest item in the Regime 2 → Regime 1 upgrade, and the one most appropriately addressed at parent-proposal level rather than per-region. Schnabel cars (specialized rail cars for transformer transport, named after the Schnabel locomotive coupling design) and multi-axle heavy-haul road transport are specialty equipment; global fleets are limited to perhaps 50–100 Schnabel-class units worldwide. New construction is expensive ($5–15M per Schnabel car) and slow (24–36 months). The architectural answer for limited-logistics regions is: accept that transmission-class rewind requires international shipping of the active part, build supporting port and rail infrastructure as part of broader grid logistics buildout, and design the deployed transformer fleet to bias toward distribution-and-sub-transmission classes that can be rewound at smaller regional facilities or transported by conventional truck.</w:t>
      </w:r>
    </w:p>
    <w:p>
      <w:pPr>
        <w:pStyle w:val="BodyText"/>
      </w:pPr>
      <w:r>
        <w:rPr>
          <w:b/>
          <w:bCs/>
        </w:rPr>
        <w:t xml:space="preserve">Total Regime 2 → Regime 1 upgrade cost</w:t>
      </w:r>
      <w:r>
        <w:t xml:space="preserve">: $50–200M per multi-country region for the depot + rewind facility + vacuum rig + transport-infrastructure subset, deployable over 3–5 years. Costs are real but bounded; this is industrial infrastructure scale, not architectural-redesign scale. The parent grid proposal already commits to logistics buildout at this scale for the broader 12 Hz deployment; the transformer-specific buildout is an annex on existing logistics work, not a new program.</w:t>
      </w:r>
    </w:p>
    <w:p>
      <w:pPr>
        <w:pStyle w:val="BodyText"/>
      </w:pPr>
      <w:r>
        <w:t xml:space="preserve">The architectural commitment in this paper: limited-logistics deployment is a</w:t>
      </w:r>
      <w:r>
        <w:t xml:space="preserve"> </w:t>
      </w:r>
      <w:r>
        <w:rPr>
          <w:i/>
          <w:iCs/>
        </w:rPr>
        <w:t xml:space="preserve">current state</w:t>
      </w:r>
      <w:r>
        <w:t xml:space="preserve">, not a</w:t>
      </w:r>
      <w:r>
        <w:t xml:space="preserve"> </w:t>
      </w:r>
      <w:r>
        <w:rPr>
          <w:i/>
          <w:iCs/>
        </w:rPr>
        <w:t xml:space="preserve">permanent constraint</w:t>
      </w:r>
      <w:r>
        <w:t xml:space="preserve">. The infrastructure to support Regime 1 recovery times can be built into target regions over 3–5 years through bounded industrial investment. This places the architecture’s resilience claims on a defensible engineering footing rather than aspirational claims about hostile-action recovery in regions that lack the supporting infrastructure to deliver them. It also creates a useful opportunity for OECD economies to reverse some of the industrial-base erosion that has occurred over the past forty years.</w:t>
      </w:r>
    </w:p>
    <w:bookmarkEnd w:id="57"/>
    <w:bookmarkEnd w:id="58"/>
    <w:bookmarkStart w:id="59" w:name="complementary-hardening"/>
    <w:p>
      <w:pPr>
        <w:pStyle w:val="Heading3"/>
      </w:pPr>
      <w:r>
        <w:t xml:space="preserve">Complementary hardening</w:t>
      </w:r>
    </w:p>
    <w:p>
      <w:pPr>
        <w:pStyle w:val="FirstParagraph"/>
      </w:pPr>
      <w:r>
        <w:t xml:space="preserve">Ester selection and per-radiator monitoring address the consequence side of hostile action. The threat side is addressed by hardening, the same hardening Russian and Soviet practice has applied to mineral-oil substations for decades:</w:t>
      </w:r>
    </w:p>
    <w:p>
      <w:pPr>
        <w:pStyle w:val="Compact"/>
        <w:numPr>
          <w:ilvl w:val="0"/>
          <w:numId w:val="1041"/>
        </w:numPr>
      </w:pPr>
      <w:r>
        <w:rPr>
          <w:i/>
          <w:iCs/>
        </w:rPr>
        <w:t xml:space="preserve">Ballistic walls or berms</w:t>
      </w:r>
      <w:r>
        <w:t xml:space="preserve"> </w:t>
      </w:r>
      <w:r>
        <w:t xml:space="preserve">around critical units. Concrete walls (200+ mm / 8+ in), soil-filled barriers (1+ m / 3+ ft thickness), or properly-rated steel armor (mild steel armor at 25 mm / 1 in defeats most rifle threats short of .50 BMG; armored steel at 12 mm / 0.5 in defeats up to .308 reliably). Russian substation practice routinely uses earth berms around transformer banks, both for ballistic protection and for cold-climate thermal benefit (Section 10). The earth berm doubles as winter insulation: installed cost is one-time and serves multiple functions.</w:t>
      </w:r>
    </w:p>
    <w:p>
      <w:pPr>
        <w:pStyle w:val="Compact"/>
        <w:numPr>
          <w:ilvl w:val="0"/>
          <w:numId w:val="1041"/>
        </w:numPr>
      </w:pPr>
      <w:r>
        <w:rPr>
          <w:i/>
          <w:iCs/>
        </w:rPr>
        <w:t xml:space="preserve">Visual screening</w:t>
      </w:r>
      <w:r>
        <w:t xml:space="preserve"> </w:t>
      </w:r>
      <w:r>
        <w:t xml:space="preserve">to deny aimed fire. Opaque fencing, vegetation, landscape berms reduce the attacker’s ability to identify and aim at specific transformer features. Even partial screening that obscures radiator locations forces attackers to expend more rounds for the same damage.</w:t>
      </w:r>
    </w:p>
    <w:p>
      <w:pPr>
        <w:pStyle w:val="Compact"/>
        <w:numPr>
          <w:ilvl w:val="0"/>
          <w:numId w:val="1041"/>
        </w:numPr>
      </w:pPr>
      <w:r>
        <w:rPr>
          <w:i/>
          <w:iCs/>
        </w:rPr>
        <w:t xml:space="preserve">Radiator protection</w:t>
      </w:r>
      <w:r>
        <w:t xml:space="preserve">: armored radiator covers (steel grating sufficient to deflect rifle rounds), recessed radiator placement (radiators behind the main tank shadow, not on the perimeter), or semi-enclosed radiator galleries reduce the primary attack surface.</w:t>
      </w:r>
    </w:p>
    <w:p>
      <w:pPr>
        <w:pStyle w:val="Compact"/>
        <w:numPr>
          <w:ilvl w:val="0"/>
          <w:numId w:val="1041"/>
        </w:numPr>
      </w:pPr>
      <w:r>
        <w:rPr>
          <w:i/>
          <w:iCs/>
        </w:rPr>
        <w:t xml:space="preserve">Distributed substation architecture</w:t>
      </w:r>
      <w:r>
        <w:t xml:space="preserve">: multiple smaller transformers (e.g., 4 × 75 MVA units rather than 1 × 300 MVA unit) provide load redundancy at the cost of capital efficiency. Distributed architecture reduces single-point vulnerability and provides graceful degradation under attack.</w:t>
      </w:r>
    </w:p>
    <w:p>
      <w:pPr>
        <w:pStyle w:val="Compact"/>
        <w:numPr>
          <w:ilvl w:val="0"/>
          <w:numId w:val="1041"/>
        </w:numPr>
      </w:pPr>
      <w:r>
        <w:rPr>
          <w:i/>
          <w:iCs/>
        </w:rPr>
        <w:t xml:space="preserve">Standoff perimeters where possible</w:t>
      </w:r>
      <w:r>
        <w:t xml:space="preserve">: minimum 100 m / 330 ft from any uncontrolled access point reduces the threat envelope for short-range rifle fire and forces longer engagement ranges that benefit defensive observation.</w:t>
      </w:r>
    </w:p>
    <w:p>
      <w:pPr>
        <w:pStyle w:val="Compact"/>
        <w:numPr>
          <w:ilvl w:val="0"/>
          <w:numId w:val="1041"/>
        </w:numPr>
      </w:pPr>
      <w:r>
        <w:rPr>
          <w:i/>
          <w:iCs/>
        </w:rPr>
        <w:t xml:space="preserve">Faster fault clearing</w:t>
      </w:r>
      <w:r>
        <w:t xml:space="preserve">: reduces the window for thermal damage propagation if the unit does eventually fault under hostile action. Modern microprocessor relays clear at 2–4 cycles versus legacy electromechanical at 4–8 cycles.</w:t>
      </w:r>
    </w:p>
    <w:p>
      <w:pPr>
        <w:pStyle w:val="FirstParagraph"/>
      </w:pPr>
      <w:r>
        <w:t xml:space="preserve">The 12 Hz architecture’s larger thermal mass per kVA is a modest passive advantage here — a transformer that runs cooler under load tolerates partial cooling loss longer before reaching critical temperature, extending operator response time after an attack and giving the per-radiator monitoring system more time to act before damage accumulates.</w:t>
      </w:r>
    </w:p>
    <w:bookmarkEnd w:id="59"/>
    <w:bookmarkStart w:id="60" w:name="broader-deployment-context"/>
    <w:p>
      <w:pPr>
        <w:pStyle w:val="Heading3"/>
      </w:pPr>
      <w:r>
        <w:t xml:space="preserve">Broader deployment context</w:t>
      </w:r>
    </w:p>
    <w:p>
      <w:pPr>
        <w:pStyle w:val="FirstParagraph"/>
      </w:pPr>
      <w:r>
        <w:t xml:space="preserve">Hostile-action survivability matters in conflict zones (the architecture is designed for resilience under degraded conditions, which include conflict) and in peaceful jurisdictions where domestic political instability and substation attacks have been increasing. The architectural contribution is the recovery-time compression: substations attacked with ester transformers and per-radiator monitoring are repairable in days to weeks rather than 6–18 months. The grid is no longer brittle to attrition warfare; the political and economic value of attacking substations declines because the consequence per attack drops below the threshold of strategic impact.</w:t>
      </w:r>
    </w:p>
    <w:p>
      <w:r>
        <w:pict>
          <v:rect style="width:0;height:1.5pt" o:hralign="center" o:hrstd="t" o:hr="t"/>
        </w:pict>
      </w:r>
    </w:p>
    <w:bookmarkEnd w:id="60"/>
    <w:bookmarkEnd w:id="61"/>
    <w:bookmarkStart w:id="67" w:name="X0e4e1d74495dbd2d178bfc8c1ea9e86bc05e7d5"/>
    <w:p>
      <w:pPr>
        <w:pStyle w:val="Heading2"/>
      </w:pPr>
      <w:r>
        <w:t xml:space="preserve">Section 9 — Tropical and equatorial deployment</w:t>
      </w:r>
    </w:p>
    <w:p>
      <w:pPr>
        <w:pStyle w:val="FirstParagraph"/>
      </w:pPr>
      <w:r>
        <w:t xml:space="preserve">Tropical and equatorial deployment imposes a distinct set of constraints: high ambient temperature, high humidity, intense solar exposure, very high lightning flash density, high biological activity (vermin, vegetation, microbial growth), and frequently degraded infrastructure for installation and maintenance. The architecture’s tropical specification addresses each constraint without requiring climate-controlled enclosures or imported industrial components.</w:t>
      </w:r>
    </w:p>
    <w:p>
      <w:pPr>
        <w:pStyle w:val="BodyText"/>
      </w:pPr>
      <w:r>
        <w:t xml:space="preserve">The 12 Hz architecture’s geometric advantage compounds favorably in the tropics: the larger radiator area per kVA (Section 7) provides more natural-convection cooling capacity at a given air temperature differential, partially offsetting the reduced cooling effectiveness at high tropical ambients (35–40°C / 95–104°F vs the 20°C / 68°F design ambient typical of temperate-climate transformer specifications). A 12 Hz ester transformer at 50 MVA in a 40°C / 104°F ambient delivers natural-convection cooling capacity comparable to a 50/60 Hz mineral-oil unit of the same rating in a 20°C / 68°F ambient, by virtue of the larger radiator geometry. ONAN cooling without forced air remains adequate at tropical ambient temperatures.</w:t>
      </w:r>
    </w:p>
    <w:bookmarkStart w:id="62" w:name="outdoor-enclosure-design"/>
    <w:p>
      <w:pPr>
        <w:pStyle w:val="Heading3"/>
      </w:pPr>
      <w:r>
        <w:t xml:space="preserve">Outdoor enclosure design</w:t>
      </w:r>
    </w:p>
    <w:p>
      <w:pPr>
        <w:pStyle w:val="FirstParagraph"/>
      </w:pPr>
      <w:r>
        <w:t xml:space="preserve">Specify a shaded, naturally ventilated enclosure for outdoor units in tropical climates. Design elements:</w:t>
      </w:r>
    </w:p>
    <w:p>
      <w:pPr>
        <w:pStyle w:val="Compact"/>
        <w:numPr>
          <w:ilvl w:val="0"/>
          <w:numId w:val="1042"/>
        </w:numPr>
      </w:pPr>
      <w:r>
        <w:rPr>
          <w:i/>
          <w:iCs/>
        </w:rPr>
        <w:t xml:space="preserve">Shade roof</w:t>
      </w:r>
      <w:r>
        <w:t xml:space="preserve"> </w:t>
      </w:r>
      <w:r>
        <w:t xml:space="preserve">sized to block direct solar exposure across the full daily solar arc. Roof overhang should extend at least 0.5 m / 1.6 ft beyond the unit’s footprint on east, south, and west sides (and north, in the southern hemisphere). UV degrades exposed surfaces — paint, gaskets, polymer bushing covers — and produces local heating that adds to the operational thermal load. Shading both reduces UV exposure and lowers the effective ambient temperature seen by the radiators.</w:t>
      </w:r>
    </w:p>
    <w:p>
      <w:pPr>
        <w:pStyle w:val="Compact"/>
        <w:numPr>
          <w:ilvl w:val="0"/>
          <w:numId w:val="1042"/>
        </w:numPr>
      </w:pPr>
      <w:r>
        <w:rPr>
          <w:i/>
          <w:iCs/>
        </w:rPr>
        <w:t xml:space="preserve">Chimney-effect ventilation</w:t>
      </w:r>
      <w:r>
        <w:t xml:space="preserve"> </w:t>
      </w:r>
      <w:r>
        <w:t xml:space="preserve">with stack height and vent areas sized by buoyancy-driven flow equations. Cooler ambient air drawn in through low vents (typically at ground level on the windward side); heated air exhausted at the peak of the shade structure. Stack height of 3–4 m / 10–13 ft above the unit’s top, with vent areas sized to provide air exchange rates of 10–30 changes per hour at design conditions. The chimney effect provides cooling without active fans, eliminating fan-failure as a degradation mode and reducing parasitic load.</w:t>
      </w:r>
    </w:p>
    <w:p>
      <w:pPr>
        <w:pStyle w:val="Compact"/>
        <w:numPr>
          <w:ilvl w:val="0"/>
          <w:numId w:val="1042"/>
        </w:numPr>
      </w:pPr>
      <w:r>
        <w:rPr>
          <w:i/>
          <w:iCs/>
        </w:rPr>
        <w:t xml:space="preserve">Mesh on all vents</w:t>
      </w:r>
      <w:r>
        <w:t xml:space="preserve"> </w:t>
      </w:r>
      <w:r>
        <w:t xml:space="preserve">for vermin exclusion. Stainless steel mesh at 6–12 mm / 0.25–0.5 in opening size excludes rodents, bats, and large insects without significantly impeding airflow. Snake exclusion (relevant in many tropical regions) requires finer mesh at lower vent levels.</w:t>
      </w:r>
    </w:p>
    <w:p>
      <w:pPr>
        <w:pStyle w:val="Compact"/>
        <w:numPr>
          <w:ilvl w:val="0"/>
          <w:numId w:val="1042"/>
        </w:numPr>
      </w:pPr>
      <w:r>
        <w:rPr>
          <w:i/>
          <w:iCs/>
        </w:rPr>
        <w:t xml:space="preserve">Sealed cable entries</w:t>
      </w:r>
      <w:r>
        <w:t xml:space="preserve"> </w:t>
      </w:r>
      <w:r>
        <w:t xml:space="preserve">to prevent insect and small-mammal ingress through cable channels. Standard practice in any climate; particularly important in the tropics where ant colonies and small reptiles may otherwise establish residence inside the enclosure.</w:t>
      </w:r>
    </w:p>
    <w:p>
      <w:pPr>
        <w:pStyle w:val="Compact"/>
        <w:numPr>
          <w:ilvl w:val="0"/>
          <w:numId w:val="1042"/>
        </w:numPr>
      </w:pPr>
      <w:r>
        <w:rPr>
          <w:i/>
          <w:iCs/>
        </w:rPr>
        <w:t xml:space="preserve">Drainage</w:t>
      </w:r>
      <w:r>
        <w:t xml:space="preserve"> </w:t>
      </w:r>
      <w:r>
        <w:t xml:space="preserve">at the lowest point of the enclosure footprint, sized for tropical rainfall intensity (50–100 mm/hr / 2–4 in/hr in convective storm conditions). Standing water inside the enclosure produces corrosion and supports biological growth.</w:t>
      </w:r>
    </w:p>
    <w:bookmarkEnd w:id="62"/>
    <w:bookmarkStart w:id="63" w:name="ester-tropical-performance"/>
    <w:p>
      <w:pPr>
        <w:pStyle w:val="Heading3"/>
      </w:pPr>
      <w:r>
        <w:t xml:space="preserve">Ester tropical performance</w:t>
      </w:r>
    </w:p>
    <w:p>
      <w:pPr>
        <w:pStyle w:val="FirstParagraph"/>
      </w:pPr>
      <w:r>
        <w:t xml:space="preserve">Ester’s tropical performance is excellent. The pour point limitation is irrelevant in equatorial deployment (lowest ambient temperatures rarely below 15°C / 59°F even in highland regions). The higher viscosity is acceptable when ambient runs 35–40°C / 95–104°F rather than the −20°C / −4°F where viscosity becomes a cooling-limit issue. The hygroscopic moisture-absorption behavior is operationally useful: ambient humidity in the tropics is consistently high (relative humidity 70–95%), and any moisture that does penetrate the conservator breathing system is harmlessly dissolved into the ester rather than coalescing as free water at the bottom of the tank. Paper insulation aging is consistently slower in ester than in mineral oil under tropical operating conditions.</w:t>
      </w:r>
    </w:p>
    <w:bookmarkEnd w:id="63"/>
    <w:bookmarkStart w:id="64" w:name="lightning-consideration"/>
    <w:p>
      <w:pPr>
        <w:pStyle w:val="Heading3"/>
      </w:pPr>
      <w:r>
        <w:t xml:space="preserve">Lightning consideration</w:t>
      </w:r>
    </w:p>
    <w:p>
      <w:pPr>
        <w:pStyle w:val="FirstParagraph"/>
      </w:pPr>
      <w:r>
        <w:t xml:space="preserve">Equatorial Africa carries the world’s highest lightning flash densities. Kifuka in the Democratic Republic of the Congo holds the global maximum at 158 flashes/km²/year, with broad regions of central Africa exceeding 80 flashes/km²/year. Comparable densities occur in northwestern South America (Catatumbo region of Venezuela) and parts of Indonesia. Conventional surge arrester coordination — coordinated MOV arresters at every bushing, coordinated arrester gaps on overhead conductors, low-impedance grounding — is critical regardless of dielectric choice but becomes a design priority rather than an afterthought in these regions.</w:t>
      </w:r>
    </w:p>
    <w:p>
      <w:pPr>
        <w:pStyle w:val="BodyText"/>
      </w:pPr>
      <w:r>
        <w:t xml:space="preserve">Specifications for tropical lightning duty:</w:t>
      </w:r>
    </w:p>
    <w:p>
      <w:pPr>
        <w:pStyle w:val="Compact"/>
        <w:numPr>
          <w:ilvl w:val="0"/>
          <w:numId w:val="1043"/>
        </w:numPr>
      </w:pPr>
      <w:r>
        <w:t xml:space="preserve">Class 4 or 5 metal-oxide surge arresters per IEC 60099-4, sized for the local lightning current distribution (typical design strike: 65 kA peak, 8/20 μs waveshape).</w:t>
      </w:r>
    </w:p>
    <w:p>
      <w:pPr>
        <w:pStyle w:val="Compact"/>
        <w:numPr>
          <w:ilvl w:val="0"/>
          <w:numId w:val="1043"/>
        </w:numPr>
      </w:pPr>
      <w:r>
        <w:t xml:space="preserve">Arrester lead lengths minimized to &lt;1 m / &lt;3.3 ft to reduce inductive voltage drop during fast-front transients.</w:t>
      </w:r>
    </w:p>
    <w:p>
      <w:pPr>
        <w:pStyle w:val="Compact"/>
        <w:numPr>
          <w:ilvl w:val="0"/>
          <w:numId w:val="1043"/>
        </w:numPr>
      </w:pPr>
      <w:r>
        <w:t xml:space="preserve">Substation grounding system with measured resistance &lt;1 Ω, achieved through ring grounds, ground rods to local water table where feasible, and ground enhancement materials in high-resistivity soils.</w:t>
      </w:r>
    </w:p>
    <w:p>
      <w:pPr>
        <w:pStyle w:val="Compact"/>
        <w:numPr>
          <w:ilvl w:val="0"/>
          <w:numId w:val="1043"/>
        </w:numPr>
      </w:pPr>
      <w:r>
        <w:t xml:space="preserve">Multiple-stroke arrester rating: tropical lightning frequently produces multi-stroke flashes at 50–200 ms intervals; arresters must dissipate cumulative energy without thermal runaway.</w:t>
      </w:r>
    </w:p>
    <w:p>
      <w:pPr>
        <w:pStyle w:val="FirstParagraph"/>
      </w:pPr>
      <w:r>
        <w:t xml:space="preserve">The 12 Hz architecture’s lower dV/dt during normal switching events relaxes some surge constraints, but the lightning impulse withstand voltage (BIL) requirements are unchanged — lightning impulse is a stress class set by physics external to the grid, not by grid frequency.</w:t>
      </w:r>
    </w:p>
    <w:bookmarkEnd w:id="64"/>
    <w:bookmarkStart w:id="65" w:name="theft-resistance"/>
    <w:p>
      <w:pPr>
        <w:pStyle w:val="Heading3"/>
      </w:pPr>
      <w:r>
        <w:t xml:space="preserve">Theft resistance</w:t>
      </w:r>
    </w:p>
    <w:p>
      <w:pPr>
        <w:pStyle w:val="FirstParagraph"/>
      </w:pPr>
      <w:r>
        <w:t xml:space="preserve">Mineral oil’s drainability is the standard rural transformer attack vector in sub-Saharan Africa, South Asia, and parts of Latin America. The thieves drain the oil through a tap or by puncturing the tank, sell the fluid into the informal motor-oil or fuel market, and the destroyed transformer produces an extended outage. The economics work because mineral oil is fungible with petroleum products; a stolen drum sells for a meaningful fraction of new motor oil cost.</w:t>
      </w:r>
    </w:p>
    <w:p>
      <w:pPr>
        <w:pStyle w:val="BodyText"/>
      </w:pPr>
      <w:r>
        <w:t xml:space="preserve">Ester is operationally less attractive than mineral oil as a theft target</w:t>
      </w:r>
      <w:r>
        <w:t xml:space="preserve"> </w:t>
      </w:r>
      <w:r>
        <w:rPr>
          <w:i/>
          <w:iCs/>
        </w:rPr>
        <w:t xml:space="preserve">at current deployment scales</w:t>
      </w:r>
      <w:r>
        <w:t xml:space="preserve">, on three dimensions:</w:t>
      </w:r>
    </w:p>
    <w:p>
      <w:pPr>
        <w:pStyle w:val="Compact"/>
        <w:numPr>
          <w:ilvl w:val="0"/>
          <w:numId w:val="1044"/>
        </w:numPr>
      </w:pPr>
      <w:r>
        <w:rPr>
          <w:i/>
          <w:iCs/>
        </w:rPr>
        <w:t xml:space="preserve">Higher viscosity</w:t>
      </w:r>
      <w:r>
        <w:t xml:space="preserve"> </w:t>
      </w:r>
      <w:r>
        <w:t xml:space="preserve">makes drainage slower and messier. Field thieves equipped with 12V automotive pumps and 200L drums can drain ester only modestly slower than mineral oil — this is a marginal deterrent at best.</w:t>
      </w:r>
    </w:p>
    <w:p>
      <w:pPr>
        <w:pStyle w:val="Compact"/>
        <w:numPr>
          <w:ilvl w:val="0"/>
          <w:numId w:val="1044"/>
        </w:numPr>
      </w:pPr>
      <w:r>
        <w:rPr>
          <w:i/>
          <w:iCs/>
        </w:rPr>
        <w:t xml:space="preserve">No current resale market as motor oil adulterant</w:t>
      </w:r>
      <w:r>
        <w:t xml:space="preserve">. Ester does not blend cleanly with petroleum products; engines lubricated with ester-contaminated oil exhibit anomalous combustion behavior; the local informal market for stolen transformer fluid does not absorb ester at meaningful prices today.</w:t>
      </w:r>
    </w:p>
    <w:p>
      <w:pPr>
        <w:pStyle w:val="Compact"/>
        <w:numPr>
          <w:ilvl w:val="0"/>
          <w:numId w:val="1044"/>
        </w:numPr>
      </w:pPr>
      <w:r>
        <w:rPr>
          <w:i/>
          <w:iCs/>
        </w:rPr>
        <w:t xml:space="preserve">Lower current mythology</w:t>
      </w:r>
      <w:r>
        <w:t xml:space="preserve">. Mineral oil has a long history in the rural informal economy; rural populations know that transformers contain</w:t>
      </w:r>
      <w:r>
        <w:t xml:space="preserve"> </w:t>
      </w:r>
      <w:r>
        <w:t xml:space="preserve">“oil”</w:t>
      </w:r>
      <w:r>
        <w:t xml:space="preserve"> </w:t>
      </w:r>
      <w:r>
        <w:t xml:space="preserve">and that the oil has resale value. Ester is unfamiliar; rural populations not pre-conditioned to its presence are less likely to identify a transformer as a theft target</w:t>
      </w:r>
      <w:r>
        <w:t xml:space="preserve"> </w:t>
      </w:r>
      <w:r>
        <w:rPr>
          <w:i/>
          <w:iCs/>
        </w:rPr>
        <w:t xml:space="preserve">today</w:t>
      </w:r>
      <w:r>
        <w:t xml:space="preserve">.</w:t>
      </w:r>
    </w:p>
    <w:p>
      <w:pPr>
        <w:pStyle w:val="FirstParagraph"/>
      </w:pPr>
      <w:r>
        <w:t xml:space="preserve">The strongest of these claims is the absent resale market. It is also the most likely to</w:t>
      </w:r>
      <w:r>
        <w:t xml:space="preserve"> </w:t>
      </w:r>
      <w:r>
        <w:rPr>
          <w:i/>
          <w:iCs/>
        </w:rPr>
        <w:t xml:space="preserve">change</w:t>
      </w:r>
      <w:r>
        <w:t xml:space="preserve"> </w:t>
      </w:r>
      <w:r>
        <w:t xml:space="preserve">as deployment scales. High-oleic vegetable oil is a premium biodiesel feedstock, a cooking oil substitute (with appropriate de-additization), and an adulterant for palm oil and other commodity edible oils in informal food economies. If natural ester deployment becomes widespread in a region — which the architecture explicitly targets — an informal market for stolen ester</w:t>
      </w:r>
      <w:r>
        <w:t xml:space="preserve"> </w:t>
      </w:r>
      <w:r>
        <w:rPr>
          <w:i/>
          <w:iCs/>
        </w:rPr>
        <w:t xml:space="preserve">will develop</w:t>
      </w:r>
      <w:r>
        <w:t xml:space="preserve">. The</w:t>
      </w:r>
      <w:r>
        <w:t xml:space="preserve"> </w:t>
      </w:r>
      <w:r>
        <w:t xml:space="preserve">“no resale market”</w:t>
      </w:r>
      <w:r>
        <w:t xml:space="preserve"> </w:t>
      </w:r>
      <w:r>
        <w:t xml:space="preserve">property is true at low deployment scales and may not survive scale deployment. The</w:t>
      </w:r>
      <w:r>
        <w:t xml:space="preserve"> </w:t>
      </w:r>
      <w:r>
        <w:t xml:space="preserve">“lower mythology”</w:t>
      </w:r>
      <w:r>
        <w:t xml:space="preserve"> </w:t>
      </w:r>
      <w:r>
        <w:t xml:space="preserve">property is similarly transient: once ester deployment becomes common knowledge, the mythology will follow.</w:t>
      </w:r>
    </w:p>
    <w:p>
      <w:pPr>
        <w:pStyle w:val="BodyText"/>
      </w:pPr>
      <w:r>
        <w:t xml:space="preserve">The architectural improvement is meaningful but not absolute and not permanent. Theft of complete transformer units (for the copper and steel content) continues regardless of dielectric. Theft of fluid specifically is reduced by ester at current scales but the long-term theft loss rate at large-scale deployment is unknown. The architectural claim is</w:t>
      </w:r>
      <w:r>
        <w:t xml:space="preserve"> </w:t>
      </w:r>
      <w:r>
        <w:t xml:space="preserve">“ester is operationally less attractive to theft at current deployment scales and may continue to be modestly less attractive at scale, but the theft market will adapt and the long-term theft loss rate is not yet measurable.”</w:t>
      </w:r>
      <w:r>
        <w:t xml:space="preserve"> </w:t>
      </w:r>
      <w:r>
        <w:t xml:space="preserve">The cost analysis in Section 11 includes sensitivity to assumed theft loss rates in target regions.</w:t>
      </w:r>
    </w:p>
    <w:bookmarkEnd w:id="65"/>
    <w:bookmarkStart w:id="66" w:name="Xa29cac003c315fa5541184cc63881b3077710b9"/>
    <w:p>
      <w:pPr>
        <w:pStyle w:val="Heading3"/>
      </w:pPr>
      <w:r>
        <w:t xml:space="preserve">The consequence argument: even if theft rates equalize, consequence does not</w:t>
      </w:r>
    </w:p>
    <w:p>
      <w:pPr>
        <w:pStyle w:val="FirstParagraph"/>
      </w:pPr>
      <w:r>
        <w:t xml:space="preserve">The strongest theft-resistance argument the architecture makes is</w:t>
      </w:r>
      <w:r>
        <w:t xml:space="preserve"> </w:t>
      </w:r>
      <w:r>
        <w:rPr>
          <w:i/>
          <w:iCs/>
        </w:rPr>
        <w:t xml:space="preserve">not</w:t>
      </w:r>
      <w:r>
        <w:t xml:space="preserve"> </w:t>
      </w:r>
      <w:r>
        <w:t xml:space="preserve">“ester is less attractive to drain.”</w:t>
      </w:r>
      <w:r>
        <w:t xml:space="preserve"> </w:t>
      </w:r>
      <w:r>
        <w:t xml:space="preserve">It is that the</w:t>
      </w:r>
      <w:r>
        <w:t xml:space="preserve"> </w:t>
      </w:r>
      <w:r>
        <w:rPr>
          <w:i/>
          <w:iCs/>
        </w:rPr>
        <w:t xml:space="preserve">consequence per successful theft event</w:t>
      </w:r>
      <w:r>
        <w:t xml:space="preserve"> </w:t>
      </w:r>
      <w:r>
        <w:t xml:space="preserve">is categorically lower with ester than with mineral oil, because of how ester chemistry combines with field rewindability and per-radiator monitoring.</w:t>
      </w:r>
    </w:p>
    <w:p>
      <w:pPr>
        <w:pStyle w:val="BodyText"/>
      </w:pPr>
      <w:r>
        <w:t xml:space="preserve">Consider the failure cascade for a successful drainage attack:</w:t>
      </w:r>
    </w:p>
    <w:p>
      <w:pPr>
        <w:numPr>
          <w:ilvl w:val="0"/>
          <w:numId w:val="1045"/>
        </w:numPr>
      </w:pPr>
      <w:r>
        <w:rPr>
          <w:i/>
          <w:iCs/>
        </w:rPr>
        <w:t xml:space="preserve">Mineral oil unit</w:t>
      </w:r>
      <w:r>
        <w:t xml:space="preserve">: thieves drain the oil; the unit continues running on remaining fluid until cooling capacity drops below dissipation requirement; winding temperature rises; insulation breaks down; arc fault occurs in the increasingly air-and-vapor-filled tank; the leaking residual oil ignites on the arc; pool fire develops; the unit is destroyed; collateral damage extends to adjacent equipment, control buildings, and overhead conductors. Outcome: substation loss with 6–18 month replacement timeline.</w:t>
      </w:r>
    </w:p>
    <w:p>
      <w:pPr>
        <w:numPr>
          <w:ilvl w:val="0"/>
          <w:numId w:val="1045"/>
        </w:numPr>
      </w:pPr>
      <w:r>
        <w:rPr>
          <w:i/>
          <w:iCs/>
        </w:rPr>
        <w:t xml:space="preserve">Ester unit with per-radiator monitoring</w:t>
      </w:r>
      <w:r>
        <w:t xml:space="preserve">: thieves attempt to drain the fluid; per-radiator alarm fires within minutes of detectable level drop; site investigation dispatched; if drain confirmed, unit is taken offline manually or by thermal-tier trip; ester does not ignite at flash point reachable in this scenario, even with residual arcing; failure is contained to fluid loss; recovery is refill-and-recommissioning per Section 5 recovery path 1. Outcome: 1–3 days to back-in-service in developed logistics, 1–2 weeks in limited logistics.</w:t>
      </w:r>
    </w:p>
    <w:p>
      <w:pPr>
        <w:pStyle w:val="FirstParagraph"/>
      </w:pPr>
      <w:r>
        <w:t xml:space="preserve">The consequence asymmetry is approximately 40× on time and an order of magnitude on cost,</w:t>
      </w:r>
      <w:r>
        <w:t xml:space="preserve"> </w:t>
      </w:r>
      <w:r>
        <w:rPr>
          <w:i/>
          <w:iCs/>
        </w:rPr>
        <w:t xml:space="preserve">for the same theft event</w:t>
      </w:r>
      <w:r>
        <w:t xml:space="preserve">. Even if theft rates at large-scale ester deployment evolve to mineral-oil-comparable levels — which Section 9 explicitly acknowledges as a real possibility — the</w:t>
      </w:r>
      <w:r>
        <w:t xml:space="preserve"> </w:t>
      </w:r>
      <w:r>
        <w:rPr>
          <w:i/>
          <w:iCs/>
        </w:rPr>
        <w:t xml:space="preserve">damage per event</w:t>
      </w:r>
      <w:r>
        <w:t xml:space="preserve"> </w:t>
      </w:r>
      <w:r>
        <w:t xml:space="preserve">remains categorically lower because ester removes the fire-propagation pathway that turns a fluid-loss event into a substation-loss event.</w:t>
      </w:r>
    </w:p>
    <w:p>
      <w:pPr>
        <w:pStyle w:val="BodyText"/>
      </w:pPr>
      <w:r>
        <w:t xml:space="preserve">This reframes the theft argument. The architecture is not relying on theft economics that may evolve unfavorably; it is relying on physics that does not change. Drained mineral oil ignites at 145°C / 293°F, drained ester does not ignite at temperatures reachable in the drainage-and-arc scenario. The ester architecture survives a future in which informal markets adapt to trade ester at meaningful prices, because successful theft of ester does not destroy the substation. The economic analysis in Section 11’s theft sensitivity case must therefore include not just the fluid replacement cost but the avoided substation-loss cost — and the latter is decisively in ester’s favor regardless of theft rate evolution.</w:t>
      </w:r>
    </w:p>
    <w:p>
      <w:pPr>
        <w:pStyle w:val="BodyText"/>
      </w:pPr>
      <w:r>
        <w:t xml:space="preserve">For target deployment regions, the architecture commits to partnership with regional utility associations (Southern African Power Pool, East African Power Pool, West African Power Pool, and equivalent organizations in South Asia and Latin America) for actual field-data collection on ester deployment theft rates as scale grows. The 5-year and 10-year theft loss rates from large-scale ester deployment are an open data question that this paper cannot prejudge — but the</w:t>
      </w:r>
      <w:r>
        <w:t xml:space="preserve"> </w:t>
      </w:r>
      <w:r>
        <w:rPr>
          <w:i/>
          <w:iCs/>
        </w:rPr>
        <w:t xml:space="preserve">consequence per event</w:t>
      </w:r>
      <w:r>
        <w:t xml:space="preserve"> </w:t>
      </w:r>
      <w:r>
        <w:t xml:space="preserve">is settled by chemistry and architecture, and is favorable to ester on physical grounds independent of the loss rate.</w:t>
      </w:r>
    </w:p>
    <w:p>
      <w:r>
        <w:pict>
          <v:rect style="width:0;height:1.5pt" o:hralign="center" o:hrstd="t" o:hr="t"/>
        </w:pict>
      </w:r>
    </w:p>
    <w:bookmarkEnd w:id="66"/>
    <w:bookmarkEnd w:id="67"/>
    <w:bookmarkStart w:id="83" w:name="X6f82c9cb37b3367b57426e60f8e89d22737c014"/>
    <w:p>
      <w:pPr>
        <w:pStyle w:val="Heading2"/>
      </w:pPr>
      <w:r>
        <w:t xml:space="preserve">Section 10 — Cold-climate and high-latitude deployment</w:t>
      </w:r>
    </w:p>
    <w:p>
      <w:pPr>
        <w:pStyle w:val="FirstParagraph"/>
      </w:pPr>
      <w:r>
        <w:t xml:space="preserve">This section establishes the engineering stack that allows natural ester to serve as the universal architectural dielectric across all populated cold climates, including the deepest continental cold envelopes. The conventional analysis — that natural ester is disqualified by pour point below approximately –30°C / –22°F design winter temperature — addresses the wrong question. The relevant questions are: (1) does ester gelling during de-energized standby damage the unit? and (2) can the unit be cold-started safely from solid-fluid condition? The answers, established by laboratory data and addressable by integrated engineering, are: no, cold-soak gelling is not destructive; and yes, graduated cold-start is straightforward set-and-forget protocol.</w:t>
      </w:r>
    </w:p>
    <w:bookmarkStart w:id="68" w:name="the-abb-biotemp-cold-soak-result"/>
    <w:p>
      <w:pPr>
        <w:pStyle w:val="Heading3"/>
      </w:pPr>
      <w:r>
        <w:t xml:space="preserve">The ABB BIOTEMP cold-soak result</w:t>
      </w:r>
    </w:p>
    <w:p>
      <w:pPr>
        <w:pStyle w:val="FirstParagraph"/>
      </w:pPr>
      <w:r>
        <w:t xml:space="preserve">ABB conducted accelerated cold-soak testing of BIOTEMP-filled 25 kVA, 12.5/7.2 kV distribution transformers cooled to –70°C / –94°F (well below the natural ester pour point of approximately –18°C / 0°F for BIOTEMP, with the fluid fully solidified throughout the unit). Upon re-energization with appropriate protocol, the units performed normally as the fluid liquefied during warm-up, validating that natural ester gelling during de-energized cold-soak is not a destructive failure mode. The unit survives cold-soak intact and resumes full service when warmed.</w:t>
      </w:r>
    </w:p>
    <w:p>
      <w:pPr>
        <w:pStyle w:val="BodyText"/>
      </w:pPr>
      <w:r>
        <w:t xml:space="preserve">This result reframes the cold-climate decision categorically. Pour point is not a destruction limit; it is an</w:t>
      </w:r>
      <w:r>
        <w:t xml:space="preserve"> </w:t>
      </w:r>
      <w:r>
        <w:rPr>
          <w:i/>
          <w:iCs/>
        </w:rPr>
        <w:t xml:space="preserve">operating</w:t>
      </w:r>
      <w:r>
        <w:t xml:space="preserve"> </w:t>
      </w:r>
      <w:r>
        <w:t xml:space="preserve">limit specifying the temperature below which natural convective cooling cannot be sustained at full load. With the fluid liquid (above pour point), the transformer dissipates winding heat by natural convection at full rating. With the fluid solid (below pour point), the transformer cannot accept full load, but is undamaged. Cold-start protocol bridges the gap: apply load gradually as the fluid liquefies, never exceeding the cooling capacity available at the current liquid-state extent.</w:t>
      </w:r>
    </w:p>
    <w:p>
      <w:pPr>
        <w:pStyle w:val="BodyText"/>
      </w:pPr>
      <w:r>
        <w:t xml:space="preserve">The architectural consequence: natural ester is acceptable in any cold-climate deployment provided the cold-start protocol is observed.</w:t>
      </w:r>
    </w:p>
    <w:bookmarkEnd w:id="68"/>
    <w:bookmarkStart w:id="69" w:name="X96011edc87aedc5ebd50150fb7f9a7e48668a52"/>
    <w:p>
      <w:pPr>
        <w:pStyle w:val="Heading3"/>
      </w:pPr>
      <w:r>
        <w:t xml:space="preserve">Why synthetic ester is rejected for the architecture</w:t>
      </w:r>
    </w:p>
    <w:p>
      <w:pPr>
        <w:pStyle w:val="FirstParagraph"/>
      </w:pPr>
      <w:r>
        <w:t xml:space="preserve">Synthetic ester (MIDEL 7131, TRANSOL Synth.100) has pour points to –50°C to –57°C / –58°F to –71°F and would, in isolation, address the cold-climate operating envelope without requiring auxiliary heating or cold-start protocol. It is a genuinely competent dielectric chemistry with full ester-class fire safety.</w:t>
      </w:r>
    </w:p>
    <w:p>
      <w:pPr>
        <w:pStyle w:val="BodyText"/>
      </w:pPr>
      <w:r>
        <w:t xml:space="preserve">The architecture nonetheless rejects it as a sub-specification on three grounds:</w:t>
      </w:r>
    </w:p>
    <w:p>
      <w:pPr>
        <w:pStyle w:val="Compact"/>
        <w:numPr>
          <w:ilvl w:val="0"/>
          <w:numId w:val="1046"/>
        </w:numPr>
      </w:pPr>
      <w:r>
        <w:rPr>
          <w:i/>
          <w:iCs/>
        </w:rPr>
        <w:t xml:space="preserve">Supply-chain dependency</w:t>
      </w:r>
      <w:r>
        <w:t xml:space="preserve">. Pentaerythritol manufacture requires petrochemical industrial chemistry (formaldehyde, acetaldehyde, fatty acid distillates) concentrated in a small number of global producers. Adding synthetic ester to the architecture introduces a dependency the architecture is otherwise designed to avoid. An economy that cannot import synthetic ester loses cold-climate transformer service if the architecture depends on synthetic ester for that envelope.</w:t>
      </w:r>
    </w:p>
    <w:p>
      <w:pPr>
        <w:pStyle w:val="Compact"/>
        <w:numPr>
          <w:ilvl w:val="0"/>
          <w:numId w:val="1046"/>
        </w:numPr>
      </w:pPr>
      <w:r>
        <w:rPr>
          <w:i/>
          <w:iCs/>
        </w:rPr>
        <w:t xml:space="preserve">Architectural redundancy</w:t>
      </w:r>
      <w:r>
        <w:t xml:space="preserve">. With the integrated cold-climate engineering stack of this section in place, the operating envelope where synthetic ester would otherwise be required is already covered. Carrying both natural ester (everywhere) and synthetic ester (cold-climate sub-fleet) means maintaining two dielectric supply chains, two analytical lab profiles, two technician training programs, and two procurement specifications for no operational benefit the architecture cannot deliver from natural ester alone.</w:t>
      </w:r>
    </w:p>
    <w:p>
      <w:pPr>
        <w:pStyle w:val="Compact"/>
        <w:numPr>
          <w:ilvl w:val="0"/>
          <w:numId w:val="1046"/>
        </w:numPr>
      </w:pPr>
      <w:r>
        <w:rPr>
          <w:i/>
          <w:iCs/>
        </w:rPr>
        <w:t xml:space="preserve">Cost</w:t>
      </w:r>
      <w:r>
        <w:t xml:space="preserve">. Synthetic ester at $7–14/L vs natural ester at $4–6/L roughly doubles the fluid cost premium for the cold-climate fleet, against the alternative of a one-time engineering investment in cabinet, external-spiral propane heating infrastructure, and cold-start protocol that is amortized across decades of service.</w:t>
      </w:r>
    </w:p>
    <w:p>
      <w:pPr>
        <w:pStyle w:val="FirstParagraph"/>
      </w:pPr>
      <w:r>
        <w:t xml:space="preserve">For installations that genuinely cannot deploy the engineering stack (small unmanned units in extreme remote areas with no station-service redundancy, retrofits where cabinet construction is impractical), synthetic ester remains a fallback option. It is not part of the architecture’s standard specification.</w:t>
      </w:r>
    </w:p>
    <w:bookmarkEnd w:id="69"/>
    <w:bookmarkStart w:id="70" w:name="X3a68c5b219bf15f3a922d16b911b8fdf5546701"/>
    <w:p>
      <w:pPr>
        <w:pStyle w:val="Heading3"/>
      </w:pPr>
      <w:r>
        <w:t xml:space="preserve">Why PMA pour-point depressants are rejected</w:t>
      </w:r>
    </w:p>
    <w:p>
      <w:pPr>
        <w:pStyle w:val="FirstParagraph"/>
      </w:pPr>
      <w:r>
        <w:t xml:space="preserve">Polymethacrylate pour-point depressants would extend rapeseed-based natural ester’s effective operating range from –31°C / –24°F to roughly –40°C / –40°F at &lt;1% loading, partially closing the gap to deep cold without requiring synthetic ester chemistry.</w:t>
      </w:r>
    </w:p>
    <w:p>
      <w:pPr>
        <w:pStyle w:val="BodyText"/>
      </w:pPr>
      <w:r>
        <w:t xml:space="preserve">The architecture rejects PMA depressants as standard practice for environmental reasons developed in Section 3:</w:t>
      </w:r>
    </w:p>
    <w:p>
      <w:pPr>
        <w:pStyle w:val="Compact"/>
        <w:numPr>
          <w:ilvl w:val="0"/>
          <w:numId w:val="1047"/>
        </w:numPr>
      </w:pPr>
      <w:r>
        <w:rPr>
          <w:i/>
          <w:iCs/>
        </w:rPr>
        <w:t xml:space="preserve">PMA polymers are not readily biodegradable as isolated substances</w:t>
      </w:r>
      <w:r>
        <w:t xml:space="preserve"> </w:t>
      </w:r>
      <w:r>
        <w:t xml:space="preserve">per OECD 301B. Their molecular size and chemical inertness, while operationally useful for pour-point depression, make them slow to break down in soil and water environments.</w:t>
      </w:r>
    </w:p>
    <w:p>
      <w:pPr>
        <w:pStyle w:val="Compact"/>
        <w:numPr>
          <w:ilvl w:val="0"/>
          <w:numId w:val="1047"/>
        </w:numPr>
      </w:pPr>
      <w:r>
        <w:rPr>
          <w:i/>
          <w:iCs/>
        </w:rPr>
        <w:t xml:space="preserve">Spent fluid containing PMA depressants compromises the land-application end-of-life path</w:t>
      </w:r>
      <w:r>
        <w:t xml:space="preserve">. The architecture’s environmental case rests in part on spent ester being genuinely biodegradable through normal soil pathways. PMA depressants persist as microplastic-class material that accumulates with repeated land application; the documented toxicity of PMMA microparticles to aquatic primary producers (diatoms) and marine invertebrates (mussels) establishes that the persistence is biologically active, not just a regulatory abstraction.</w:t>
      </w:r>
    </w:p>
    <w:p>
      <w:pPr>
        <w:pStyle w:val="Compact"/>
        <w:numPr>
          <w:ilvl w:val="0"/>
          <w:numId w:val="1047"/>
        </w:numPr>
      </w:pPr>
      <w:r>
        <w:rPr>
          <w:i/>
          <w:iCs/>
        </w:rPr>
        <w:t xml:space="preserve">The</w:t>
      </w:r>
      <w:r>
        <w:rPr>
          <w:i/>
          <w:iCs/>
        </w:rPr>
        <w:t xml:space="preserve"> </w:t>
      </w:r>
      <w:r>
        <w:rPr>
          <w:i/>
          <w:iCs/>
        </w:rPr>
        <w:t xml:space="preserve">“synergistic biodegradation”</w:t>
      </w:r>
      <w:r>
        <w:rPr>
          <w:i/>
          <w:iCs/>
        </w:rPr>
        <w:t xml:space="preserve"> </w:t>
      </w:r>
      <w:r>
        <w:rPr>
          <w:i/>
          <w:iCs/>
        </w:rPr>
        <w:t xml:space="preserve">defense is marginal</w:t>
      </w:r>
      <w:r>
        <w:t xml:space="preserve">. Recent literature reports that PMA-blended ester fluids often pass OECD 301B at the 60% threshold even when the polymer alone does not, because the polymer is solubilized and accessed by enzymes acting on the more biodegradable matrix. This is a real effect, but it operates at the pass/fail threshold and does not eliminate the long-tail polymer fraction that produces microplastic-class persistence over years.</w:t>
      </w:r>
    </w:p>
    <w:p>
      <w:pPr>
        <w:pStyle w:val="FirstParagraph"/>
      </w:pPr>
      <w:r>
        <w:t xml:space="preserve">Where pour-point depressant action is genuinely required despite the architecture’s preference (legacy retrofits, low-priority distribution units in marginal-cold regions), biodegradable polyalpha olefin (PAO) chemistry is specified instead of PMA. Biodegradable PAOs (US patent 5658864 and equivalents) are branched-alkene oligomers tuned for triglyceride compatibility while remaining genuinely biodegradable. They cost more than PMA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that follows.</w:t>
      </w:r>
    </w:p>
    <w:bookmarkEnd w:id="70"/>
    <w:bookmarkStart w:id="74" w:name="Xcc3d16c6a82646cd7f78d2e8adae21348a8b44c"/>
    <w:p>
      <w:pPr>
        <w:pStyle w:val="Heading3"/>
      </w:pPr>
      <w:r>
        <w:t xml:space="preserve">Graduated cold-start protocol — three deployment scenarios</w:t>
      </w:r>
    </w:p>
    <w:p>
      <w:pPr>
        <w:pStyle w:val="FirstParagraph"/>
      </w:pPr>
      <w:r>
        <w:t xml:space="preserve">The cold-start problem is real but its solution depends on what kind of upstream voltage source is available. The graduated-stage protocol described below works only where excitation can be applied at controlled voltage levels. For transmission-class units energized from a fixed-voltage transmission bus, controlled-voltage staging is not generally possible, and the architectural answer is different. Three scenarios cover the deployment envelope:</w:t>
      </w:r>
    </w:p>
    <w:p>
      <w:pPr>
        <w:pStyle w:val="BodyText"/>
      </w:pPr>
      <w:r>
        <w:rPr>
          <w:b/>
          <w:bCs/>
        </w:rPr>
        <w:t xml:space="preserve">Scenario A: Distribution-class units with controllable LV-side energization</w:t>
      </w:r>
      <w:r>
        <w:t xml:space="preserve"> </w:t>
      </w:r>
      <w:r>
        <w:t xml:space="preserve">(≤36 kV, typically ≤25 MVA, energized from a sub-transmission step-down with tap-changer authority, or from a generator). The graduated-stage protocol works as written below; the upstream source can deliver low-voltage excitation in controlled stages.</w:t>
      </w:r>
    </w:p>
    <w:p>
      <w:pPr>
        <w:pStyle w:val="BodyText"/>
      </w:pPr>
      <w:r>
        <w:rPr>
          <w:b/>
          <w:bCs/>
        </w:rPr>
        <w:t xml:space="preserve">Scenario B: Generator step-up units co-staging with the generator</w:t>
      </w:r>
      <w:r>
        <w:t xml:space="preserve"> </w:t>
      </w:r>
      <w:r>
        <w:t xml:space="preserve">(any voltage class, the transformer is energized as the generator’s field excitation ramps up during plant startup). The graduated-stage protocol works through generator field control; the GSU and generator warm together over the plant cold-start sequence.</w:t>
      </w:r>
    </w:p>
    <w:p>
      <w:pPr>
        <w:pStyle w:val="BodyText"/>
      </w:pPr>
      <w:r>
        <w:rPr>
          <w:b/>
          <w:bCs/>
        </w:rPr>
        <w:t xml:space="preserve">Scenario C: Transmission-class units energized from a fixed-voltage transmission bus</w:t>
      </w:r>
      <w:r>
        <w:t xml:space="preserve"> </w:t>
      </w:r>
      <w:r>
        <w:t xml:space="preserve">(&gt;36 kV with grid-side energization). Controlled-voltage staging is</w:t>
      </w:r>
      <w:r>
        <w:t xml:space="preserve"> </w:t>
      </w:r>
      <w:r>
        <w:rPr>
          <w:i/>
          <w:iCs/>
        </w:rPr>
        <w:t xml:space="preserve">not</w:t>
      </w:r>
      <w:r>
        <w:t xml:space="preserve"> </w:t>
      </w:r>
      <w:r>
        <w:t xml:space="preserve">possible — closing the breaker applies full transmission voltage immediately, which would cause magnetizing inrush into a cold-soaked unit with no convective cooling. For these units, the architecture takes a different approach:</w:t>
      </w:r>
      <w:r>
        <w:t xml:space="preserve"> </w:t>
      </w:r>
      <w:r>
        <w:rPr>
          <w:b/>
          <w:bCs/>
        </w:rPr>
        <w:t xml:space="preserve">maintain bulk fluid above pour point at all times via auxiliary heating, never let the unit fully cold-soak, energize at full voltage from a pre-warmed state</w:t>
      </w:r>
      <w:r>
        <w:t xml:space="preserve">. The graduated-stage protocol is replaced by a graduated-</w:t>
      </w:r>
      <w:r>
        <w:rPr>
          <w:i/>
          <w:iCs/>
        </w:rPr>
        <w:t xml:space="preserve">load</w:t>
      </w:r>
      <w:r>
        <w:t xml:space="preserve"> </w:t>
      </w:r>
      <w:r>
        <w:t xml:space="preserve">protocol after full-voltage energization, which is straightforward and routinely done in conventional practice.</w:t>
      </w:r>
    </w:p>
    <w:bookmarkStart w:id="71" w:name="X991e23110d6396a9f54ae25cf6e4e848379d8a2"/>
    <w:p>
      <w:pPr>
        <w:pStyle w:val="Heading4"/>
      </w:pPr>
      <w:r>
        <w:t xml:space="preserve">Scenarios A and B: graduated-stage protocol from cold-soak</w:t>
      </w:r>
    </w:p>
    <w:p>
      <w:pPr>
        <w:pStyle w:val="FirstParagraph"/>
      </w:pPr>
      <w:r>
        <w:t xml:space="preserve">The graduated cold-start procedure applies excitation to the de-energized cold-soaked transformer in stages, using core losses (and, as the procedure progresses, winding losses) to melt the immediate fluid envelope around the active part:</w:t>
      </w:r>
    </w:p>
    <w:p>
      <w:pPr>
        <w:pStyle w:val="BodyText"/>
      </w:pPr>
      <w:r>
        <w:rPr>
          <w:b/>
          <w:bCs/>
        </w:rPr>
        <w:t xml:space="preserve">Stage 1 — Magnetizing excitation</w:t>
      </w:r>
      <w:r>
        <w:t xml:space="preserve">. Apply low-voltage excitation (e.g., 5–15% rated voltage, no load) to the primary winding. Core losses in the laminations (hysteresis + eddy currents) deliver a small but distributed heat input — typically 0.1–0.5% of the unit’s rated losses. Heat conducts from the laminations to the immediately adjacent ester, melting a thin shell around the core. Convection begins in this melted shell, expanding the melt zone outward over minutes.</w:t>
      </w:r>
    </w:p>
    <w:p>
      <w:pPr>
        <w:pStyle w:val="BodyText"/>
      </w:pPr>
      <w:r>
        <w:rPr>
          <w:b/>
          <w:bCs/>
        </w:rPr>
        <w:t xml:space="preserve">Stage 2 — No-load full excitation</w:t>
      </w:r>
      <w:r>
        <w:t xml:space="preserve">. Once Stage 1 has established convective flow in the melted region (detected by top-oil temperature rise indicating heat transport from the core to the upper tank region — a few degrees over 10–20 minutes is sufficient), ramp voltage to full rated value, still no load. Core losses now reach approximately 0.5–1.5% of rated losses; the melt zone expands more rapidly. Winding eddy currents from magnetizing current contribute additional heat in the winding region. The convective circulation pattern establishes around both core and windings.</w:t>
      </w:r>
    </w:p>
    <w:p>
      <w:pPr>
        <w:pStyle w:val="BodyText"/>
      </w:pPr>
      <w:r>
        <w:rPr>
          <w:b/>
          <w:bCs/>
        </w:rPr>
        <w:t xml:space="preserve">Stage 3 — Graduated load application</w:t>
      </w:r>
      <w:r>
        <w:t xml:space="preserve">. Once Stage 2 has produced bulk fluid liquefaction throughout the active part region (detected by top-oil temperature reaching a target threshold, e.g., +5°C / +41°F above ambient with rising trend), begin applying load in steps. Load increments of 10–20% of rated, with hold periods of 5–15 minutes between increments to confirm convective cooling is keeping pace with the heat input. Full load reached after 4–8 increments.</w:t>
      </w:r>
    </w:p>
    <w:p>
      <w:pPr>
        <w:pStyle w:val="BodyText"/>
      </w:pPr>
      <w:r>
        <w:rPr>
          <w:b/>
          <w:bCs/>
        </w:rPr>
        <w:t xml:space="preserve">Stage 4 — Normal service</w:t>
      </w:r>
      <w:r>
        <w:t xml:space="preserve">. Full load with normal protection relay response.</w:t>
      </w:r>
    </w:p>
    <w:p>
      <w:pPr>
        <w:pStyle w:val="BodyText"/>
      </w:pPr>
      <w:r>
        <w:t xml:space="preserve">Total cold-start time from solid-fluid cold-soaked initial condition to full-rated service: 30–90 minutes, depending on unit size, ambient temperature, and the specific design’s thermal time constants.</w:t>
      </w:r>
    </w:p>
    <w:bookmarkEnd w:id="71"/>
    <w:bookmarkStart w:id="72" w:name="Xccd4c2efa67fa3ebaa78f7a85183aec9fe1fa61"/>
    <w:p>
      <w:pPr>
        <w:pStyle w:val="Heading4"/>
      </w:pPr>
      <w:r>
        <w:t xml:space="preserve">Scenario C: pre-warmed energization with graduated load</w:t>
      </w:r>
    </w:p>
    <w:p>
      <w:pPr>
        <w:pStyle w:val="FirstParagraph"/>
      </w:pPr>
      <w:r>
        <w:t xml:space="preserve">Transmission-class units operating from grid-side energization cannot stage the excitation voltage. The architectural requirement is that the bulk fluid is</w:t>
      </w:r>
      <w:r>
        <w:t xml:space="preserve"> </w:t>
      </w:r>
      <w:r>
        <w:rPr>
          <w:i/>
          <w:iCs/>
        </w:rPr>
        <w:t xml:space="preserve">never below pour point at energization time</w:t>
      </w:r>
      <w:r>
        <w:t xml:space="preserve">, achieved through continuous auxiliary heating during outage periods (developed in the external-spiral heating subsection below). The energization sequence becomes:</w:t>
      </w:r>
    </w:p>
    <w:p>
      <w:pPr>
        <w:pStyle w:val="Compact"/>
        <w:numPr>
          <w:ilvl w:val="0"/>
          <w:numId w:val="1048"/>
        </w:numPr>
      </w:pPr>
      <w:r>
        <w:rPr>
          <w:i/>
          <w:iCs/>
        </w:rPr>
        <w:t xml:space="preserve">Pre-energization check</w:t>
      </w:r>
      <w:r>
        <w:t xml:space="preserve">: confirm bulk fluid temperature above pour point + 10°C / 18°F margin via top-oil RTD. If not, delay energization until auxiliary heating brings the fluid to the energization-permit threshold. This typically takes 1–6 hours from a partially cold-soaked condition; up to 24+ hours if the unit has been fully cold-soaked through extended outage.</w:t>
      </w:r>
    </w:p>
    <w:p>
      <w:pPr>
        <w:pStyle w:val="Compact"/>
        <w:numPr>
          <w:ilvl w:val="0"/>
          <w:numId w:val="1048"/>
        </w:numPr>
      </w:pPr>
      <w:r>
        <w:rPr>
          <w:i/>
          <w:iCs/>
        </w:rPr>
        <w:t xml:space="preserve">Full-voltage energization</w:t>
      </w:r>
      <w:r>
        <w:t xml:space="preserve">: close breaker normally. Magnetizing inrush is conventional; ester tolerates the inrush thermal pulse on the same basis as mineral oil.</w:t>
      </w:r>
    </w:p>
    <w:p>
      <w:pPr>
        <w:pStyle w:val="Compact"/>
        <w:numPr>
          <w:ilvl w:val="0"/>
          <w:numId w:val="1048"/>
        </w:numPr>
      </w:pPr>
      <w:r>
        <w:rPr>
          <w:i/>
          <w:iCs/>
        </w:rPr>
        <w:t xml:space="preserve">Graduated load application</w:t>
      </w:r>
      <w:r>
        <w:t xml:space="preserve">: begin load in steps as in Stage 3 above. Convective cooling is fully active because the bulk fluid is liquid throughout. Full load reached over 30–60 minutes.</w:t>
      </w:r>
    </w:p>
    <w:p>
      <w:pPr>
        <w:pStyle w:val="FirstParagraph"/>
      </w:pPr>
      <w:r>
        <w:t xml:space="preserve">The Scenario C requirement is that auxiliary heating</w:t>
      </w:r>
      <w:r>
        <w:t xml:space="preserve"> </w:t>
      </w:r>
      <w:r>
        <w:rPr>
          <w:i/>
          <w:iCs/>
        </w:rPr>
        <w:t xml:space="preserve">prevents</w:t>
      </w:r>
      <w:r>
        <w:t xml:space="preserve"> </w:t>
      </w:r>
      <w:r>
        <w:t xml:space="preserve">full cold-soak rather than the cold-start protocol</w:t>
      </w:r>
      <w:r>
        <w:t xml:space="preserve"> </w:t>
      </w:r>
      <w:r>
        <w:rPr>
          <w:i/>
          <w:iCs/>
        </w:rPr>
        <w:t xml:space="preserve">recovering from</w:t>
      </w:r>
      <w:r>
        <w:t xml:space="preserve"> </w:t>
      </w:r>
      <w:r>
        <w:t xml:space="preserve">full cold-soak. This shifts the energy budget from</w:t>
      </w:r>
      <w:r>
        <w:t xml:space="preserve"> </w:t>
      </w:r>
      <w:r>
        <w:t xml:space="preserve">“Stage 1 magnetizing excitation power for 30–120 minutes”</w:t>
      </w:r>
      <w:r>
        <w:t xml:space="preserve"> </w:t>
      </w:r>
      <w:r>
        <w:t xml:space="preserve">to</w:t>
      </w:r>
      <w:r>
        <w:t xml:space="preserve"> </w:t>
      </w:r>
      <w:r>
        <w:t xml:space="preserve">“continuous auxiliary heating power throughout outage duration.”</w:t>
      </w:r>
    </w:p>
    <w:bookmarkEnd w:id="72"/>
    <w:bookmarkStart w:id="73" w:name="protocol-calibration"/>
    <w:p>
      <w:pPr>
        <w:pStyle w:val="Heading4"/>
      </w:pPr>
      <w:r>
        <w:t xml:space="preserve">Protocol calibration</w:t>
      </w:r>
    </w:p>
    <w:p>
      <w:pPr>
        <w:pStyle w:val="FirstParagraph"/>
      </w:pPr>
      <w:r>
        <w:t xml:space="preserve">For Scenarios A and B, the protocol calibration is set-and-forget. For a given transformer design class, the necessary parameters — Stage 1 voltage and duration, Stage 2 progression criteria, Stage 3 load steps and hold times — are determined by one-time engineering testing and validation. The protocol then resides in the protection and control system and executes automatically on cold-start command. No operator judgment required during execution; the relay logic monitors temperatures and progresses through stages on measured criteria.</w:t>
      </w:r>
    </w:p>
    <w:p>
      <w:pPr>
        <w:pStyle w:val="BodyText"/>
      </w:pPr>
      <w:r>
        <w:t xml:space="preserve">For Scenario C, calibration is simpler — the energization-permit threshold (pour point + margin) and graduated-load step pattern are part of standard transmission transformer commissioning. The novel element is the auxiliary heating system specification (sized to maintain fluid above pour point through the design winter outage duration), not the energization protocol itself.</w:t>
      </w:r>
    </w:p>
    <w:p>
      <w:pPr>
        <w:pStyle w:val="BodyText"/>
      </w:pPr>
      <w:r>
        <w:t xml:space="preserve">The cold-start architecture across all three scenarios does not require pour-point depressant additives, synthetic ester chemistry, or fluid chemistry substitution to function. Cold-climate deployment is solved through control (Scenarios A, B) or through auxiliary heating (Scenario C), with rapeseed natural ester serving the entire envelope.</w:t>
      </w:r>
    </w:p>
    <w:bookmarkEnd w:id="73"/>
    <w:bookmarkEnd w:id="74"/>
    <w:bookmarkStart w:id="79" w:name="X5382f41debfd51e217c5da84c4f0013cf2a28e0"/>
    <w:p>
      <w:pPr>
        <w:pStyle w:val="Heading3"/>
      </w:pPr>
      <w:r>
        <w:t xml:space="preserve">Auxiliary heating: external-spiral propane heating with tiger-torch fallback</w:t>
      </w:r>
    </w:p>
    <w:p>
      <w:pPr>
        <w:pStyle w:val="FirstParagraph"/>
      </w:pPr>
      <w:r>
        <w:t xml:space="preserve">Most service interruptions in cold climates are short (minutes to hours), and the transformer’s thermal mass keeps the bulk fluid above pour point during such interruptions without intervention. The auxiliary heating system addresses extended outages where the unit cools toward ambient.</w:t>
      </w:r>
    </w:p>
    <w:p>
      <w:pPr>
        <w:pStyle w:val="BodyText"/>
      </w:pPr>
      <w:r>
        <w:t xml:space="preserve">Battery-based auxiliary heating was considered and rejected: lead-acid, lithium-iron-phosphate, and sodium-ion / ZEBRA chemistries all degrade or fail at the temperature regime where auxiliary heating is most needed (–40°C and below). Heated battery enclosures produce a bootstrap problem where the system meant to provide outage power depends on the outage power being available. The architecture uses propane combustion instead, with no battery dependency in the heating function.</w:t>
      </w:r>
    </w:p>
    <w:bookmarkStart w:id="75" w:name="external-spiral-heating-architecture"/>
    <w:p>
      <w:pPr>
        <w:pStyle w:val="Heading4"/>
      </w:pPr>
      <w:r>
        <w:t xml:space="preserve">External-spiral heating architecture</w:t>
      </w:r>
    </w:p>
    <w:p>
      <w:pPr>
        <w:pStyle w:val="FirstParagraph"/>
      </w:pPr>
      <w:r>
        <w:t xml:space="preserve">A 2-inch / 50 mm steel pipe wraps the lower portion of the transformer tank shell in a spiral around the tank exterior, with a layer of insulation outboard of the spiral pipe so heat is forced inward through the tank wall to the dielectric rather than radiating outward. Propane combustion takes place in a burner external to the spiral; hot combustion gases are forced through the spiral pipe by the burner’s combustion airflow (or by a small mechanical blower powered by the burner’s own thermoelectric output, where extended autonomous operation is required). The hot gases transfer heat through the spiral pipe wall to the tank shell directly, with the insulation layer outside the spiral preventing heat loss to ambient. Heat conducts through the steel tank wall to the dielectric fluid; convection in the warmed fluid carries heat upward and inward to the windings.</w:t>
      </w:r>
    </w:p>
    <w:p>
      <w:pPr>
        <w:pStyle w:val="BodyText"/>
      </w:pPr>
      <w:r>
        <w:t xml:space="preserve">The spiral architecture is substantially better than tubes-through-the-dielectric for several reasons:</w:t>
      </w:r>
    </w:p>
    <w:p>
      <w:pPr>
        <w:pStyle w:val="Compact"/>
        <w:numPr>
          <w:ilvl w:val="0"/>
          <w:numId w:val="1049"/>
        </w:numPr>
      </w:pPr>
      <w:r>
        <w:rPr>
          <w:i/>
          <w:iCs/>
        </w:rPr>
        <w:t xml:space="preserve">Manufacturing simplicity</w:t>
      </w:r>
      <w:r>
        <w:t xml:space="preserve">. The spiral pipe is welded to the tank exterior after the tank itself is fabricated and tested. No penetrations through the dielectric envelope; no welds that pass through the oil-tight boundary; no integrity concerns about dielectric leakage at heating-system interfaces. The tank passes the same pressure and dielectric tests it would without the heating system.</w:t>
      </w:r>
    </w:p>
    <w:p>
      <w:pPr>
        <w:pStyle w:val="Compact"/>
        <w:numPr>
          <w:ilvl w:val="0"/>
          <w:numId w:val="1049"/>
        </w:numPr>
      </w:pPr>
      <w:r>
        <w:rPr>
          <w:i/>
          <w:iCs/>
        </w:rPr>
        <w:t xml:space="preserve">Retrofit feasibility</w:t>
      </w:r>
      <w:r>
        <w:t xml:space="preserve">. An existing oil-immersed transformer in a cold-climate installation can have the spiral retrofitted by welding to the exterior of its tank without draining the dielectric, opening the tank, or otherwise disturbing the active part. The retrofit requires removing the cabinet insulation in the affected region, welding the spiral pipe to the shell, applying high-temperature paint or other corrosion protection, replacing the insulation outboard of the spiral, and connecting the burner manifold. Total downtime per unit: a few days, with no specialized factory work required.</w:t>
      </w:r>
    </w:p>
    <w:p>
      <w:pPr>
        <w:pStyle w:val="Compact"/>
        <w:numPr>
          <w:ilvl w:val="0"/>
          <w:numId w:val="1049"/>
        </w:numPr>
      </w:pPr>
      <w:r>
        <w:rPr>
          <w:i/>
          <w:iCs/>
        </w:rPr>
        <w:t xml:space="preserve">Repairability</w:t>
      </w:r>
      <w:r>
        <w:t xml:space="preserve">. A damaged section of the spiral can be cut out and replaced with new pipe by the same field welding crew that handles tank casing patches per Section 8 hostile-action recovery. No tank disassembly required.</w:t>
      </w:r>
    </w:p>
    <w:p>
      <w:pPr>
        <w:pStyle w:val="Compact"/>
        <w:numPr>
          <w:ilvl w:val="0"/>
          <w:numId w:val="1049"/>
        </w:numPr>
      </w:pPr>
      <w:r>
        <w:rPr>
          <w:i/>
          <w:iCs/>
        </w:rPr>
        <w:t xml:space="preserve">No risk to dielectric integrity</w:t>
      </w:r>
      <w:r>
        <w:t xml:space="preserve">. Internal-tube architectures must guarantee that combustion-side and dielectric-side never mix; a corroded or fatigued internal tube wall can leak combustion products into the dielectric, contaminating the fluid and producing dissolved gas analysis signatures that mimic internal arc fault. The external spiral has no such failure mode — the heating system can fail completely without contaminating the dielectric.</w:t>
      </w:r>
    </w:p>
    <w:p>
      <w:pPr>
        <w:pStyle w:val="FirstParagraph"/>
      </w:pPr>
      <w:r>
        <w:t xml:space="preserve">Materials: standard mild-steel pipe in the 2-inch / 50 mm size class, the same pipe stock used for industrial steam and water service. The pipe wall sees combustion-gas temperatures on the inner surface (typically 400–700°C / 750–1,300°F at the heating-side of the spiral, well below mild steel softening) and tank-shell temperatures on the outer surface (typically –40°C to +50°C / –40°F to +120°F depending on operating state). Welded attachment to the tank shell uses standard structural steel welding practice; pipe-to-pipe joints use threaded couplings or socket welds depending on installation preference.</w:t>
      </w:r>
    </w:p>
    <w:p>
      <w:pPr>
        <w:pStyle w:val="BodyText"/>
      </w:pPr>
      <w:r>
        <w:t xml:space="preserve">Spiral geometry: pipe wraps the lower 50–70% of the tank shell with pitch (distance between adjacent spiral turns) of 200–400 mm / 8–16 inches, distributed to provide even heating coverage across the tank wall. Total pipe length for a transmission-class unit is on the order of 30–60 m / 100–200 ft. The spiral starts near the tank floor and rises toward the tank top in a continuous helix; combustion gases enter at the bottom (driven by the burner’s combustion airflow), travel upward through the spiral, and exhaust at the top through a weather-protected flue.</w:t>
      </w:r>
    </w:p>
    <w:p>
      <w:pPr>
        <w:pStyle w:val="BodyText"/>
      </w:pPr>
      <w:r>
        <w:t xml:space="preserve">Insulation layer: 100–150 mm / 4–6 in of mineral wool or polyurethane foam outboard of the spiral pipe, contained within the existing transformer cabinet wall. The insulation that already exists for cold-climate cabinet thermal management (Section 10 cabinet specification) extends to cover the spiral; no separate insulation system is required for the heating function. The insulation layer ensures that combustion heat is forced inward through the tank wall rather than radiating outward to ambient.</w:t>
      </w:r>
    </w:p>
    <w:p>
      <w:pPr>
        <w:pStyle w:val="BodyText"/>
      </w:pPr>
      <w:r>
        <w:t xml:space="preserve">Heating duty: 5–20 kW total for a transmission-class transformer at design winter ambient, distributed over the spiral length to produce roughly uniform tank-shell heating. The heating power is set by the cabinet thermal load (the rate at which heat is lost from the cabinet to ambient through insulation and unavoidable thermal bridges), not by the transformer’s intrinsic heat capacity; once the cabinet reaches steady-state at the heating set point, the heating power equals the heat-loss rate.</w:t>
      </w:r>
    </w:p>
    <w:p>
      <w:pPr>
        <w:pStyle w:val="BodyText"/>
      </w:pPr>
      <w:r>
        <w:t xml:space="preserve">Burner: external to the spiral, with combustion airflow driving the hot gases through the spiral by positive pressure. Ignition by piezoelectric striker (mechanical, no electronics) or pilot light. The architecture deliberately avoids any battery dependency in the heating system because batteries are the failure mode in the temperature regime where heating matters; mechanical ignition is reliable at any ambient temperature where propane itself remains usable.</w:t>
      </w:r>
    </w:p>
    <w:bookmarkEnd w:id="75"/>
    <w:bookmarkStart w:id="76" w:name="propane-supply"/>
    <w:p>
      <w:pPr>
        <w:pStyle w:val="Heading4"/>
      </w:pPr>
      <w:r>
        <w:t xml:space="preserve">Propane supply</w:t>
      </w:r>
    </w:p>
    <w:p>
      <w:pPr>
        <w:pStyle w:val="FirstParagraph"/>
      </w:pPr>
      <w:r>
        <w:t xml:space="preserve">Standard LPG infrastructure. Propane stays liquid at atmospheric pressure down to its boiling point of –42°C / –44°F; pressurized propane in a tank stays usable to substantially lower ambient temperatures because tank pressure keeps it liquid through extended cold-soak. Propane is produced as a refining byproduct and from natural gas processing; domestic LPG production exists in essentially every country with petroleum or natural gas infrastructure. Where LPG production does not exist, biogas-derived methane (which can be liquefied) or wood-gas systems (mature 1940s German wartime technology) provide substitutes within the same heating architecture.</w:t>
      </w:r>
    </w:p>
    <w:p>
      <w:pPr>
        <w:pStyle w:val="BodyText"/>
      </w:pPr>
      <w:r>
        <w:t xml:space="preserve">Tank sizing: for a 50 MVA transmission-class transformer in –50°C / –58°F ambient, sustaining 10 kW of heating against the cabinet thermal load consumes propane at approximately 1 kg/hour. A standard 100-pound (45 kg) propane tank — the size used for residential heating in rural areas — provides about 45 hours of continuous heating. For extended cold-soak protection at remote sites with infrequent service crew access, multiple tanks in a manifold provide days-to-weeks of autonomous heating. A six-tank manifold (the size of a mid-range residential propane installation) gives over a week of continuous heating at –50°C ambient, well beyond any plausible outage duration in serviced regions.</w:t>
      </w:r>
    </w:p>
    <w:p>
      <w:pPr>
        <w:pStyle w:val="BodyText"/>
      </w:pPr>
      <w:r>
        <w:t xml:space="preserve">Refilling: propane is shipped, stored, and refilled through commodity LPG distribution. The same trucks that supply rural residential heating supply the substation; no specialized hardware or training required.</w:t>
      </w:r>
    </w:p>
    <w:bookmarkEnd w:id="76"/>
    <w:bookmarkStart w:id="77" w:name="tiger-torch-manual-fallback"/>
    <w:p>
      <w:pPr>
        <w:pStyle w:val="Heading4"/>
      </w:pPr>
      <w:r>
        <w:t xml:space="preserve">Tiger-torch manual fallback</w:t>
      </w:r>
    </w:p>
    <w:p>
      <w:pPr>
        <w:pStyle w:val="FirstParagraph"/>
      </w:pPr>
      <w:r>
        <w:t xml:space="preserve">For the worst case where the spiral heating system has itself failed (regulator failure, spiral pipe damaged by mechanical impact, all tanks empty after extended remote-site outage), the recovery procedure is direct application of tiger torches to the tank shell. Tiger torches are high-output handheld propane burners (200,000–500,000 BTU/hr / 60–150 kW) standard in Canadian utility, mining, and oil-and-gas cold-weather operations. A field crew dispatched to a transformer that has cold-soaked too far for the spiral system to recover quickly applies tiger torches at the connection points of the spiral pipe (with the spiral itself acting as a heat distributor) or directly to marked locations on the tank shell after removing the cabinet insulation panel in that region. Heat dumps of 50–150 kW into the tank wall over an hour or two restore fluid temperature.</w:t>
      </w:r>
    </w:p>
    <w:p>
      <w:pPr>
        <w:pStyle w:val="BodyText"/>
      </w:pPr>
      <w:r>
        <w:t xml:space="preserve">The tiger torch can also be used to drive forced hot air through the spiral pipe directly, bypassing the burner manifold entirely. This is the simplest field-recovery procedure: connect the tiger torch to the spiral inlet, fire it, let the hot exhaust gases traverse the spiral and exit at the top, and the spiral acts as the distributor it was designed to be. No regulators, no manifold, no electrical components — just a tiger torch, the spiral, and propane fuel from any source available.</w:t>
      </w:r>
    </w:p>
    <w:p>
      <w:pPr>
        <w:pStyle w:val="BodyText"/>
      </w:pPr>
      <w:r>
        <w:t xml:space="preserve">Marked spiral inlet/outlet connection points and direct-shell torch-application locations are identified by paint marking during commissioning. The field-recovery procedure is operationally familiar to Canadian cold-weather utility crews and adapts cleanly to other cold-climate utilities.</w:t>
      </w:r>
    </w:p>
    <w:bookmarkEnd w:id="77"/>
    <w:bookmarkStart w:id="78" w:name="summary"/>
    <w:p>
      <w:pPr>
        <w:pStyle w:val="Heading4"/>
      </w:pPr>
      <w:r>
        <w:t xml:space="preserve">Summary</w:t>
      </w:r>
    </w:p>
    <w:p>
      <w:pPr>
        <w:pStyle w:val="FirstParagraph"/>
      </w:pPr>
      <w:r>
        <w:t xml:space="preserve">The cold-climate auxiliary heating architecture has three layers:</w:t>
      </w:r>
    </w:p>
    <w:p>
      <w:pPr>
        <w:pStyle w:val="Compact"/>
        <w:numPr>
          <w:ilvl w:val="0"/>
          <w:numId w:val="1050"/>
        </w:numPr>
      </w:pPr>
      <w:r>
        <w:rPr>
          <w:i/>
          <w:iCs/>
        </w:rPr>
        <w:t xml:space="preserve">Station-service electric heating</w:t>
      </w:r>
      <w:r>
        <w:t xml:space="preserve"> </w:t>
      </w:r>
      <w:r>
        <w:t xml:space="preserve">during normal operation when station service is available. Resistance heaters in the lower tank region and around the conservator, drawing from station auxiliary power.</w:t>
      </w:r>
    </w:p>
    <w:p>
      <w:pPr>
        <w:pStyle w:val="Compact"/>
        <w:numPr>
          <w:ilvl w:val="0"/>
          <w:numId w:val="1050"/>
        </w:numPr>
      </w:pPr>
      <w:r>
        <w:rPr>
          <w:i/>
          <w:iCs/>
        </w:rPr>
        <w:t xml:space="preserve">External-spiral propane heating</w:t>
      </w:r>
      <w:r>
        <w:t xml:space="preserve"> </w:t>
      </w:r>
      <w:r>
        <w:t xml:space="preserve">during station blackout. Independent of electrochemistry, independent of station service, sustained by commodity LPG supply.</w:t>
      </w:r>
    </w:p>
    <w:p>
      <w:pPr>
        <w:pStyle w:val="Compact"/>
        <w:numPr>
          <w:ilvl w:val="0"/>
          <w:numId w:val="1050"/>
        </w:numPr>
      </w:pPr>
      <w:r>
        <w:rPr>
          <w:i/>
          <w:iCs/>
        </w:rPr>
        <w:t xml:space="preserve">Tiger torch through the spiral, or direct shell application</w:t>
      </w:r>
      <w:r>
        <w:t xml:space="preserve"> </w:t>
      </w:r>
      <w:r>
        <w:t xml:space="preserve">as manual recovery for the case where everything else has failed. Field-deployable by trained utility crews using equipment standard in cold-weather operations.</w:t>
      </w:r>
    </w:p>
    <w:p>
      <w:pPr>
        <w:pStyle w:val="FirstParagraph"/>
      </w:pPr>
      <w:r>
        <w:t xml:space="preserve">No layer depends on battery chemistry working at low temperatures; every layer is built from what actually functions in the operating envelope the architecture claims to address.</w:t>
      </w:r>
    </w:p>
    <w:bookmarkEnd w:id="78"/>
    <w:bookmarkEnd w:id="79"/>
    <w:bookmarkStart w:id="80" w:name="russian-and-soviet-cold-climate-practice"/>
    <w:p>
      <w:pPr>
        <w:pStyle w:val="Heading3"/>
      </w:pPr>
      <w:r>
        <w:t xml:space="preserve">Russian and Soviet cold-climate practice</w:t>
      </w:r>
    </w:p>
    <w:p>
      <w:pPr>
        <w:pStyle w:val="FirstParagraph"/>
      </w:pPr>
      <w:r>
        <w:t xml:space="preserve">The USSR and Russian Federation have deployed mineral-oil transformers across Siberia for nearly a century. The engineering stack — insulated transformer cabinets, conservator heating, earth berms, deep-snow cover, graduated startup — is mature and codified in Russian-language standards (ГОСТ Р МЭК 60076 series and predecessor GOST documents; Latin-letter rendering: GOST R IEC 60076) that parallel IEC specifications. Russian transformer manufacturers (Elektrozavod in Moscow, SVEL in Yekaterinburg, and others) produce units rated for service in winter design conditions to –60°C / –76°F using mineral oil with appropriate cold-flow base-stock selection.</w:t>
      </w:r>
    </w:p>
    <w:p>
      <w:pPr>
        <w:pStyle w:val="BodyText"/>
      </w:pPr>
      <w:r>
        <w:t xml:space="preserve">Critical observation: even Russian</w:t>
      </w:r>
      <w:r>
        <w:t xml:space="preserve"> </w:t>
      </w:r>
      <w:r>
        <w:t xml:space="preserve">“rated for –60°C / –76°F”</w:t>
      </w:r>
      <w:r>
        <w:t xml:space="preserve"> </w:t>
      </w:r>
      <w:r>
        <w:t xml:space="preserve">transformers do not operate with their bulk fluid at –60°C / –76°F. The transformer is in an insulated cabinet with auxiliary heating, the operating fluid temperature is maintained somewhere above pour point, and the surface ambient is decoupled from the fluid temperature by the cabinet’s thermal envelope. The –60°C / –76°F rating is an external ambient rating for the</w:t>
      </w:r>
      <w:r>
        <w:t xml:space="preserve"> </w:t>
      </w:r>
      <w:r>
        <w:rPr>
          <w:i/>
          <w:iCs/>
        </w:rPr>
        <w:t xml:space="preserve">installation</w:t>
      </w:r>
      <w:r>
        <w:t xml:space="preserve">, not an operating temperature rating for the</w:t>
      </w:r>
      <w:r>
        <w:t xml:space="preserve"> </w:t>
      </w:r>
      <w:r>
        <w:rPr>
          <w:i/>
          <w:iCs/>
        </w:rPr>
        <w:t xml:space="preserve">fluid</w:t>
      </w:r>
      <w:r>
        <w:t xml:space="preserve">.</w:t>
      </w:r>
    </w:p>
    <w:p>
      <w:pPr>
        <w:pStyle w:val="BodyText"/>
      </w:pPr>
      <w:r>
        <w:t xml:space="preserve">The architectural implication: the cabinet/insulation/heating practices that Russian utilities developed for mineral oil transfer cleanly to natural ester. The pour-point gap between rapeseed-based natural ester (–31°C / –24°F) and naphthenic mineral oil (–50°C / –58°F) is approximately 19°C / 34°F, but this gap is on the</w:t>
      </w:r>
      <w:r>
        <w:t xml:space="preserve"> </w:t>
      </w:r>
      <w:r>
        <w:rPr>
          <w:i/>
          <w:iCs/>
        </w:rPr>
        <w:t xml:space="preserve">fluid</w:t>
      </w:r>
      <w:r>
        <w:t xml:space="preserve"> </w:t>
      </w:r>
      <w:r>
        <w:t xml:space="preserve">temperature, not the</w:t>
      </w:r>
      <w:r>
        <w:t xml:space="preserve"> </w:t>
      </w:r>
      <w:r>
        <w:rPr>
          <w:i/>
          <w:iCs/>
        </w:rPr>
        <w:t xml:space="preserve">ambient</w:t>
      </w:r>
      <w:r>
        <w:t xml:space="preserve"> </w:t>
      </w:r>
      <w:r>
        <w:t xml:space="preserve">temperature. With an insulated cabinet maintaining +5°C to +20°C / +41°F to +68°F internal envelope around the unit during de-energized standby and full operating temperature during energized operation, the external ambient differential the cabinet must accommodate is the same for ester as for mineral oil — and the cabinet is typically thermally specified for the ambient regardless of fluid choice.</w:t>
      </w:r>
    </w:p>
    <w:p>
      <w:pPr>
        <w:pStyle w:val="BodyText"/>
      </w:pPr>
      <w:r>
        <w:t xml:space="preserve">Practical cabinet specifications for ester service in continental cold (–40°C to –60°C / –40°F to –76°F design winter):</w:t>
      </w:r>
    </w:p>
    <w:p>
      <w:pPr>
        <w:pStyle w:val="Compact"/>
        <w:numPr>
          <w:ilvl w:val="0"/>
          <w:numId w:val="1051"/>
        </w:numPr>
      </w:pPr>
      <w:r>
        <w:t xml:space="preserve">Insulated cabinet walls and roof, U-value approximately 0.3–0.5 W/m²·K (R-12 to R-18 in US units), typically achieved with 100–150 mm / 4–6 in mineral wool or polyurethane foam between steel skins.</w:t>
      </w:r>
    </w:p>
    <w:p>
      <w:pPr>
        <w:pStyle w:val="Compact"/>
        <w:numPr>
          <w:ilvl w:val="0"/>
          <w:numId w:val="1051"/>
        </w:numPr>
      </w:pPr>
      <w:r>
        <w:t xml:space="preserve">Auxiliary heating in the lower tank region and around the conservator, sized to maintain +5°C / +41°F minimum internal cabinet temperature against the design winter ambient. Heating power typically 1–5 kW for distribution-class units, 5–20 kW for transmission-class.</w:t>
      </w:r>
    </w:p>
    <w:p>
      <w:pPr>
        <w:pStyle w:val="Compact"/>
        <w:numPr>
          <w:ilvl w:val="0"/>
          <w:numId w:val="1051"/>
        </w:numPr>
      </w:pPr>
      <w:r>
        <w:t xml:space="preserve">Earth berm or partial burial of the lower portion of the cabinet, providing additional thermal insulation and (in soil with thermal mass) latent thermal capacity. Russian practice routinely uses earth berms 1–2 m / 3.3–6.6 ft high around substation transformer foundations; the berm doubles as ballistic protection.</w:t>
      </w:r>
    </w:p>
    <w:p>
      <w:pPr>
        <w:pStyle w:val="Compact"/>
        <w:numPr>
          <w:ilvl w:val="0"/>
          <w:numId w:val="1051"/>
        </w:numPr>
      </w:pPr>
      <w:r>
        <w:t xml:space="preserve">Heated conservator volume with heating tape or jacket on the conservator pipe, ensuring that the standing fluid in the conservator (which has lowest flow velocity and is most vulnerable to gelling) remains above pour point throughout cold-soak.</w:t>
      </w:r>
    </w:p>
    <w:p>
      <w:pPr>
        <w:pStyle w:val="Compact"/>
        <w:numPr>
          <w:ilvl w:val="0"/>
          <w:numId w:val="1051"/>
        </w:numPr>
      </w:pPr>
      <w:r>
        <w:t xml:space="preserve">Cold-start protocol and external-spiral propane heating as architectural standard.</w:t>
      </w:r>
    </w:p>
    <w:bookmarkEnd w:id="80"/>
    <w:bookmarkStart w:id="81" w:name="below-frost-line-burial-and-permafrost"/>
    <w:p>
      <w:pPr>
        <w:pStyle w:val="Heading3"/>
      </w:pPr>
      <w:r>
        <w:t xml:space="preserve">Below-frost-line burial and permafrost</w:t>
      </w:r>
    </w:p>
    <w:p>
      <w:pPr>
        <w:pStyle w:val="FirstParagraph"/>
      </w:pPr>
      <w:r>
        <w:t xml:space="preserve">For critical urban substations in cold climates where surface footprint is constrained and capital cost is acceptable, vault construction below frost depth maintains a soil-temperature ambient that reduces the cabinet thermal load substantially. Below frost line, soil temperature stabilizes near the local mean annual air temperature: approximately 0°C / 32°F to +10°C / 50°F in temperate-to-subarctic continental climates at depths of 1.5–3 m / 5–10 ft. The thermal benefit is real and well-documented in seasonal-frost regions.</w:t>
      </w:r>
    </w:p>
    <w:p>
      <w:pPr>
        <w:pStyle w:val="BodyText"/>
      </w:pPr>
      <w:r>
        <w:t xml:space="preserve">In permafrost regions, the analysis differs and requires care. In</w:t>
      </w:r>
      <w:r>
        <w:t xml:space="preserve"> </w:t>
      </w:r>
      <w:r>
        <w:rPr>
          <w:i/>
          <w:iCs/>
        </w:rPr>
        <w:t xml:space="preserve">continuous permafrost</w:t>
      </w:r>
      <w:r>
        <w:t xml:space="preserve"> </w:t>
      </w:r>
      <w:r>
        <w:t xml:space="preserve">(much of arctic Russia, northern Yukon, parts of Alaska, the highest elevations of the Tibetan Plateau), soil at all depths below the active layer is below 0°C / 32°F year-round, with stable temperatures of –2°C to –10°C / 28°F to 14°F at depths of 5–20 m / 16–66 ft. Direct burial in continuous permafrost would not provide the ambient-improvement benefit that burial provides in seasonal frost regions; the surrounding soil remains below 0°C and would impose its own thermal load on the cabinet rather than relieving one.</w:t>
      </w:r>
    </w:p>
    <w:p>
      <w:pPr>
        <w:pStyle w:val="BodyText"/>
      </w:pPr>
      <w:r>
        <w:t xml:space="preserve">However, an operating transformer dissipates heat continuously. A 50 MVA unit at full load dissipates approximately 200–500 kW of total losses; even at 30–50% of rated load (typical urban substation duty cycle), continuous heat dissipation is 60–250 kW. Buried in permafrost, this heat input creates a local thaw zone (talik) around the vault. The talik stabilizes at an equilibrium shape determined by transformer heat output, soil thermal conductivity, and the surface boundary condition. Equilibrium temperatures in the immediate vault wall region rise to 0–10°C / 32–50°F, providing the thermal benefit normally associated with seasonal-frost burial — but at the cost of substantial soil disturbance.</w:t>
      </w:r>
    </w:p>
    <w:p>
      <w:pPr>
        <w:pStyle w:val="BodyText"/>
      </w:pPr>
      <w:r>
        <w:t xml:space="preserve">The engineering complexity is foundation mechanics. Permafrost soils have substantially different mechanical properties when frozen versus thawed; the talik formed by transformer heat causes the surrounding soil to thaw and consolidate over years, with the consolidation potentially causing settlement that damages the foundation and surface equipment. Trans-Alaska Pipeline territory: the engineering is well-developed but specialized. Foundation design must accommodate one of three approaches:</w:t>
      </w:r>
    </w:p>
    <w:p>
      <w:pPr>
        <w:pStyle w:val="Compact"/>
        <w:numPr>
          <w:ilvl w:val="0"/>
          <w:numId w:val="1052"/>
        </w:numPr>
      </w:pPr>
      <w:r>
        <w:rPr>
          <w:i/>
          <w:iCs/>
        </w:rPr>
        <w:t xml:space="preserve">Talik-tolerant foundation</w:t>
      </w:r>
      <w:r>
        <w:t xml:space="preserve">: heavy-section concrete vault with deep foundation piles to bedrock or to consolidated soil layers below the expected talik depth, designed to bridge the thawed soil envelope. Capital-intensive (foundation cost 2–5× a temperate-zone equivalent) but technically straightforward.</w:t>
      </w:r>
    </w:p>
    <w:p>
      <w:pPr>
        <w:pStyle w:val="Compact"/>
        <w:numPr>
          <w:ilvl w:val="0"/>
          <w:numId w:val="1052"/>
        </w:numPr>
      </w:pPr>
      <w:r>
        <w:rPr>
          <w:i/>
          <w:iCs/>
        </w:rPr>
        <w:t xml:space="preserve">Thaw-resistant foundation</w:t>
      </w:r>
      <w:r>
        <w:t xml:space="preserve">: actively cooled foundation (thermosyphons or refrigerated piles, similar to TAP practice) to maintain frozen soil immediately around the foundation while accepting talik formation in the soil volume around the vault sidewalls. Adds active equipment and maintenance dependency the architecture is otherwise designed to minimize.</w:t>
      </w:r>
    </w:p>
    <w:p>
      <w:pPr>
        <w:pStyle w:val="Compact"/>
        <w:numPr>
          <w:ilvl w:val="0"/>
          <w:numId w:val="1052"/>
        </w:numPr>
      </w:pPr>
      <w:r>
        <w:rPr>
          <w:i/>
          <w:iCs/>
        </w:rPr>
        <w:t xml:space="preserve">Surface-or-elevated installation</w:t>
      </w:r>
      <w:r>
        <w:t xml:space="preserve">: avoid burial entirely in continuous permafrost; use surface installation with full insulated cabinet and elevated foundation on piles, accepting the higher cabinet thermal load against the lower foundation complexity.</w:t>
      </w:r>
    </w:p>
    <w:p>
      <w:pPr>
        <w:pStyle w:val="FirstParagraph"/>
      </w:pPr>
      <w:r>
        <w:t xml:space="preserve">For the 12 Hz architecture in continuous permafrost, the recommended approach is option 3 (surface installation with full cabinet) for most deployments, reserving option 1 (heavy talik-tolerant foundation) for applications where surface footprint is genuinely constrained. Option 2 (active refrigeration) introduces an auxiliary dependency the architecture is designed to avoid.</w:t>
      </w:r>
    </w:p>
    <w:p>
      <w:pPr>
        <w:pStyle w:val="BodyText"/>
      </w:pPr>
      <w:r>
        <w:t xml:space="preserve">In</w:t>
      </w:r>
      <w:r>
        <w:t xml:space="preserve"> </w:t>
      </w:r>
      <w:r>
        <w:rPr>
          <w:i/>
          <w:iCs/>
        </w:rPr>
        <w:t xml:space="preserve">seasonal frost</w:t>
      </w:r>
      <w:r>
        <w:t xml:space="preserve"> </w:t>
      </w:r>
      <w:r>
        <w:t xml:space="preserve">regions (most of populated cold climates, including most of Canada, Scandinavia, the Russian temperate zone, the contiguous US north tier, and northern China), below-frost-line burial provides the conventional thermal benefit without permafrost complications: foundation depth of 1.5–3 m / 5–10 ft below local frost line places the vault in soil that maintains 0°C / 32°F to +10°C / 50°F year-round, reducing cabinet heating load by an order of magnitude.</w:t>
      </w:r>
    </w:p>
    <w:bookmarkEnd w:id="81"/>
    <w:bookmarkStart w:id="82" w:name="X6d0f71d93b5c076dca745a13cf070bea6ed6707"/>
    <w:p>
      <w:pPr>
        <w:pStyle w:val="Heading3"/>
      </w:pPr>
      <w:r>
        <w:t xml:space="preserve">The architecture: rapeseed natural ester everywhere</w:t>
      </w:r>
    </w:p>
    <w:p>
      <w:pPr>
        <w:pStyle w:val="FirstParagraph"/>
      </w:pPr>
      <w:r>
        <w:t xml:space="preserve">The cold-climate engineering stack — insulated cabinet, external-spiral propane heating with tiger-torch fallback, graduated cold-start protocol, optionally earth berms or below-frost-line burial in seasonal-frost regions — eliminates the operating envelope where synthetic ester or PMA depressants would otherwise be required. The architectural specification is rapeseed-based natural ester (MIDEL eN 1204 specification or equivalent) globally, including in continental cold climates and in continuous permafrost. Synthetic ester is not part of the architecture’s standard procurement, training, or maintenance program. PMA pour-point depressants are not part of the standard additive package.</w:t>
      </w:r>
    </w:p>
    <w:p>
      <w:pPr>
        <w:pStyle w:val="BodyText"/>
      </w:pPr>
      <w:r>
        <w:t xml:space="preserve">The supply-chain and environmental consequences are significant. The architecture maintains a single dielectric chemistry family (natural ester from agricultural feedstocks) across the entire deployment envelope. Procurement is simplified; technician training is unified; the analytical lab interprets samples from any region against a single chemistry profile; cross-utility resource sharing is unconstrained by fluid compatibility. Supply-chain dependencies on petrochemical pentaerythritol production are eliminated. End-of-life spent fluid carries no microplastic-fraction polymer contamination and remains genuinely land-applicable.</w:t>
      </w:r>
    </w:p>
    <w:p>
      <w:pPr>
        <w:pStyle w:val="BodyText"/>
      </w:pPr>
      <w:r>
        <w:t xml:space="preserve">The trade-off is a one-time engineering capital investment in the cold-climate stack (cabinet, propane heating system, cold-start commissioning) per cold-climate installation, against the alternative of ongoing fluid-cost premium and supply-chain dependency for synthetic ester or environmental compromise for PMA depressants. The architecture pays the engineering capital once and preserves the universal natural-ester specification.</w:t>
      </w:r>
    </w:p>
    <w:p>
      <w:r>
        <w:pict>
          <v:rect style="width:0;height:1.5pt" o:hralign="center" o:hrstd="t" o:hr="t"/>
        </w:pict>
      </w:r>
    </w:p>
    <w:bookmarkEnd w:id="82"/>
    <w:bookmarkEnd w:id="83"/>
    <w:bookmarkStart w:id="87" w:name="section-11-cost-and-adoption-analysis"/>
    <w:p>
      <w:pPr>
        <w:pStyle w:val="Heading2"/>
      </w:pPr>
      <w:r>
        <w:t xml:space="preserve">Section 11 — Cost and adoption analysis</w:t>
      </w:r>
    </w:p>
    <w:p>
      <w:pPr>
        <w:pStyle w:val="FirstParagraph"/>
      </w:pPr>
      <w:r>
        <w:t xml:space="preserve">Natural ester carries a $4–6/L vs $1–2/L premium on fluid alone; on a 50 MVA transformer holding 30,000 liters / 7,925 gallons, this is a ~$100K capital delta on a unit total cost of $1–2 million. The fluid premium is real but represents 5–10% of total transformer cost, not a doubling.</w:t>
      </w:r>
    </w:p>
    <w:p>
      <w:pPr>
        <w:pStyle w:val="BodyText"/>
      </w:pPr>
      <w:r>
        <w:t xml:space="preserve">New unit designs accommodate ester’s higher viscosity through the larger radiator geometry that 12 Hz operation already requires (Section 7); the design surcharge for an ester unit over a mineral-oil unit of equivalent rating is typically 5–10% on first cost, similar to the fluid premium itself.</w:t>
      </w:r>
    </w:p>
    <w:p>
      <w:pPr>
        <w:pStyle w:val="BodyText"/>
      </w:pPr>
      <w:r>
        <w:t xml:space="preserve">Current commercial ester production by manufacturer category:</w:t>
      </w:r>
    </w:p>
    <w:p>
      <w:pPr>
        <w:pStyle w:val="Compact"/>
        <w:numPr>
          <w:ilvl w:val="0"/>
          <w:numId w:val="1053"/>
        </w:numPr>
      </w:pPr>
      <w:r>
        <w:rPr>
          <w:i/>
          <w:iCs/>
        </w:rPr>
        <w:t xml:space="preserve">Manufacturers with established commercial ester product lines</w:t>
      </w:r>
      <w:r>
        <w:t xml:space="preserve">: ABB / Hitachi Energy, Siemens Energy, Mitsubishi Electric, WEG (Brazil), Crompton Greaves (India), several Chinese manufacturers (TBEA, Baoding Tianwei, Shandong Power Equipment). These manufacturers have integrated ester-specific design templates into their standard product lines, ship qualified ester units in volume, and provide service infrastructure for installed ester fleets.</w:t>
      </w:r>
    </w:p>
    <w:p>
      <w:pPr>
        <w:pStyle w:val="Compact"/>
        <w:numPr>
          <w:ilvl w:val="0"/>
          <w:numId w:val="1053"/>
        </w:numPr>
      </w:pPr>
      <w:r>
        <w:rPr>
          <w:i/>
          <w:iCs/>
        </w:rPr>
        <w:t xml:space="preserve">Manufacturers with engineering capacity but no current commercial ester product line</w:t>
      </w:r>
      <w:r>
        <w:t xml:space="preserve">: Russian manufacturers (Elektrozavod in Moscow, SVEL in Yekaterinburg, and others). These manufacturers have prototype and limited-run ester experience and the engineering capability to build commercial ester product lines on demand, but at the time of this paper there is no Russian-domestic commercial ester product line at scale. Architectural deployment in the Russian-speaking sphere will require either commercial product development by Russian manufacturers (achievable in 2–4 years from architectural commitment) or import from established producers (operationally feasible but with sanctions and supply-chain considerations).</w:t>
      </w:r>
    </w:p>
    <w:p>
      <w:pPr>
        <w:pStyle w:val="Compact"/>
        <w:numPr>
          <w:ilvl w:val="0"/>
          <w:numId w:val="1053"/>
        </w:numPr>
      </w:pPr>
      <w:r>
        <w:rPr>
          <w:i/>
          <w:iCs/>
        </w:rPr>
        <w:t xml:space="preserve">Manufacturers under development or partnership</w:t>
      </w:r>
      <w:r>
        <w:t xml:space="preserve">: a number of producers in target deployment regions (Iran, central Asia, parts of Africa) are developing ester capability through technology partnerships with established producers; these will come online over the parent grid proposal’s deployment timeline.</w:t>
      </w:r>
    </w:p>
    <w:bookmarkStart w:id="84" w:name="Xf8f24eee0934e1015ee1567666b00d92ca70c95"/>
    <w:p>
      <w:pPr>
        <w:pStyle w:val="Heading3"/>
      </w:pPr>
      <w:r>
        <w:t xml:space="preserve">Cost as fraction of total grid expenditure</w:t>
      </w:r>
    </w:p>
    <w:p>
      <w:pPr>
        <w:pStyle w:val="FirstParagraph"/>
      </w:pPr>
      <w:r>
        <w:t xml:space="preserve">The transformer cost premium must be evaluated against total grid costs, not against transformer costs alone, to assess the realistic impact on delivered electricity rates.</w:t>
      </w:r>
    </w:p>
    <w:p>
      <w:pPr>
        <w:pStyle w:val="BodyText"/>
      </w:pPr>
      <w:r>
        <w:t xml:space="preserve">Approximate grid CapEx breakdown (US figures, generally representative of OECD utility infrastructure):</w:t>
      </w:r>
    </w:p>
    <w:p>
      <w:pPr>
        <w:pStyle w:val="Compact"/>
        <w:numPr>
          <w:ilvl w:val="0"/>
          <w:numId w:val="1054"/>
        </w:numPr>
      </w:pPr>
      <w:r>
        <w:rPr>
          <w:i/>
          <w:iCs/>
        </w:rPr>
        <w:t xml:space="preserve">Generation</w:t>
      </w:r>
      <w:r>
        <w:t xml:space="preserve">: 50–60% of total grid CapEx. Includes power plants (thermal, nuclear, hydro, renewable), generator step-up transformers, plant auxiliary systems.</w:t>
      </w:r>
    </w:p>
    <w:p>
      <w:pPr>
        <w:pStyle w:val="Compact"/>
        <w:numPr>
          <w:ilvl w:val="0"/>
          <w:numId w:val="1054"/>
        </w:numPr>
      </w:pPr>
      <w:r>
        <w:rPr>
          <w:i/>
          <w:iCs/>
        </w:rPr>
        <w:t xml:space="preserve">Transmission</w:t>
      </w:r>
      <w:r>
        <w:t xml:space="preserve">: 10–15% of total grid CapEx. Includes transmission lines, towers, transmission-class substations and transformers, control systems, HVDC converter stations where deployed.</w:t>
      </w:r>
    </w:p>
    <w:p>
      <w:pPr>
        <w:pStyle w:val="Compact"/>
        <w:numPr>
          <w:ilvl w:val="0"/>
          <w:numId w:val="1054"/>
        </w:numPr>
      </w:pPr>
      <w:r>
        <w:rPr>
          <w:i/>
          <w:iCs/>
        </w:rPr>
        <w:t xml:space="preserve">Distribution</w:t>
      </w:r>
      <w:r>
        <w:t xml:space="preserve">: 25–35% of total grid CapEx. Includes distribution lines, poles, distribution substations and transformers, customer service drops, metering.</w:t>
      </w:r>
    </w:p>
    <w:p>
      <w:pPr>
        <w:pStyle w:val="FirstParagraph"/>
      </w:pPr>
      <w:r>
        <w:t xml:space="preserve">Within the substation and transformer share of total CapEx (combining contributions from generation step-up, transmission substations, and distribution substations), transformer hardware itself is approximately 5–8% of total grid CapEx. The remainder of substation cost is switchgear, control systems, structures, foundations, grounding, and protection equipment.</w:t>
      </w:r>
    </w:p>
    <w:p>
      <w:pPr>
        <w:pStyle w:val="BodyText"/>
      </w:pPr>
      <w:r>
        <w:t xml:space="preserve">The arithmetic of a 10% transformer cost premium, expressed as a range to capture variation in regulatory environment and regional cost-of-capital:</w:t>
      </w:r>
    </w:p>
    <w:p>
      <w:pPr>
        <w:pStyle w:val="Compact"/>
        <w:numPr>
          <w:ilvl w:val="0"/>
          <w:numId w:val="1055"/>
        </w:numPr>
      </w:pPr>
      <w:r>
        <w:t xml:space="preserve">Transformer hardware: 5–8% of total grid CapEx.</w:t>
      </w:r>
    </w:p>
    <w:p>
      <w:pPr>
        <w:pStyle w:val="Compact"/>
        <w:numPr>
          <w:ilvl w:val="0"/>
          <w:numId w:val="1055"/>
        </w:numPr>
      </w:pPr>
      <w:r>
        <w:t xml:space="preserve">10% premium on transformers: 0.5–0.8% of total grid CapEx.</w:t>
      </w:r>
    </w:p>
    <w:p>
      <w:pPr>
        <w:pStyle w:val="FirstParagraph"/>
      </w:pPr>
      <w:r>
        <w:t xml:space="preserve">Capital expenditure recovery in retail electricity rates depends on amortization schedules and capital structure. The capital share of retail electricity rates varies by utility type and regulatory environment:</w:t>
      </w:r>
    </w:p>
    <w:p>
      <w:pPr>
        <w:pStyle w:val="Compact"/>
        <w:numPr>
          <w:ilvl w:val="0"/>
          <w:numId w:val="1056"/>
        </w:numPr>
      </w:pPr>
      <w:r>
        <w:t xml:space="preserve">Fuel-dominant utilities (coal, natural gas, oil): 25–35% capital share.</w:t>
      </w:r>
    </w:p>
    <w:p>
      <w:pPr>
        <w:pStyle w:val="Compact"/>
        <w:numPr>
          <w:ilvl w:val="0"/>
          <w:numId w:val="1056"/>
        </w:numPr>
      </w:pPr>
      <w:r>
        <w:t xml:space="preserve">Mixed generation utilities: 35–45% capital share.</w:t>
      </w:r>
    </w:p>
    <w:p>
      <w:pPr>
        <w:pStyle w:val="Compact"/>
        <w:numPr>
          <w:ilvl w:val="0"/>
          <w:numId w:val="1056"/>
        </w:numPr>
      </w:pPr>
      <w:r>
        <w:t xml:space="preserve">Hydro-dominant utilities (Quebec, Norway, Iceland, parts of the US Pacific Northwest): 45–55% capital share.</w:t>
      </w:r>
    </w:p>
    <w:p>
      <w:pPr>
        <w:pStyle w:val="Compact"/>
        <w:numPr>
          <w:ilvl w:val="0"/>
          <w:numId w:val="1056"/>
        </w:numPr>
      </w:pPr>
      <w:r>
        <w:t xml:space="preserve">Nuclear-dominant utilities (France, parts of the US Northeast and Midwest): 45–55% capital share.</w:t>
      </w:r>
    </w:p>
    <w:p>
      <w:pPr>
        <w:pStyle w:val="FirstParagraph"/>
      </w:pPr>
      <w:r>
        <w:t xml:space="preserve">The combined sensitivity gives a rate-impact range:</w:t>
      </w:r>
    </w:p>
    <w:p>
      <w:pPr>
        <w:pStyle w:val="Compact"/>
        <w:numPr>
          <w:ilvl w:val="0"/>
          <w:numId w:val="1057"/>
        </w:numPr>
      </w:pPr>
      <w:r>
        <w:t xml:space="preserve">Lower bound: 0.5% CapEx increase × 25% capital share = 0.125% rate increase.</w:t>
      </w:r>
    </w:p>
    <w:p>
      <w:pPr>
        <w:pStyle w:val="Compact"/>
        <w:numPr>
          <w:ilvl w:val="0"/>
          <w:numId w:val="1057"/>
        </w:numPr>
      </w:pPr>
      <w:r>
        <w:t xml:space="preserve">Upper bound: 0.8% CapEx increase × 55% capital share = 0.44% rate increase.</w:t>
      </w:r>
    </w:p>
    <w:p>
      <w:pPr>
        <w:pStyle w:val="FirstParagraph"/>
      </w:pPr>
      <w:r>
        <w:t xml:space="preserve">For a retail rate of 7¢/kWh, the calculated impact of the transformer cost premium is therefore in the range:</w:t>
      </w:r>
    </w:p>
    <w:p>
      <w:pPr>
        <w:pStyle w:val="Compact"/>
        <w:numPr>
          <w:ilvl w:val="0"/>
          <w:numId w:val="1058"/>
        </w:numPr>
      </w:pPr>
      <w:r>
        <w:rPr>
          <w:b/>
          <w:bCs/>
        </w:rPr>
        <w:t xml:space="preserve">0.009¢/kWh to 0.031¢/kWh</w:t>
      </w:r>
      <w:r>
        <w:t xml:space="preserve">, with a typical mid-range value of approximately 0.018¢/kWh.</w:t>
      </w:r>
    </w:p>
    <w:p>
      <w:pPr>
        <w:pStyle w:val="FirstParagraph"/>
      </w:pPr>
      <w:r>
        <w:t xml:space="preserve">For utilities operating in continental cold climates with cold-climate-stack incremental cost on roughly 30–60% of the regional fleet, the cold-climate stack adds an additional 0.05–0.15% to fleet CapEx (partial-fleet application), translating to an incremental 0.001–0.005¢/kWh on retail rates. Total impact range including cold-climate buildout:</w:t>
      </w:r>
      <w:r>
        <w:t xml:space="preserve"> </w:t>
      </w:r>
      <w:r>
        <w:rPr>
          <w:b/>
          <w:bCs/>
        </w:rPr>
        <w:t xml:space="preserve">0.010¢/kWh to 0.036¢/kWh</w:t>
      </w:r>
      <w:r>
        <w:t xml:space="preserve">.</w:t>
      </w:r>
    </w:p>
    <w:p>
      <w:pPr>
        <w:pStyle w:val="BodyText"/>
      </w:pPr>
      <w:r>
        <w:t xml:space="preserve">To put this in context: typical residential consumer electricity bills run $50–150 per month for 400–1500 kWh of consumption. A 0.018¢/kWh increase corresponds to a monthly bill increase of $0.07–0.27 — invisible against routine month-to-month consumption variation. Even at the upper end of the range (0.036¢/kWh), monthly bill increase reaches $0.14–0.54, still well below the threshold of consumer perception.</w:t>
      </w:r>
    </w:p>
    <w:p>
      <w:pPr>
        <w:pStyle w:val="BodyText"/>
      </w:pPr>
      <w:r>
        <w:t xml:space="preserve">For industrial customers with 10 GWh/year consumption at 5¢/kWh wholesale rates, the calculated annual cost impact is in the range:</w:t>
      </w:r>
    </w:p>
    <w:p>
      <w:pPr>
        <w:pStyle w:val="Compact"/>
        <w:numPr>
          <w:ilvl w:val="0"/>
          <w:numId w:val="1059"/>
        </w:numPr>
      </w:pPr>
      <w:r>
        <w:t xml:space="preserve">10 GWh × 0.010–0.036¢/kWh = $1,000–$3,600/year on a ~$500K annual bill.</w:t>
      </w:r>
    </w:p>
    <w:p>
      <w:pPr>
        <w:pStyle w:val="FirstParagraph"/>
      </w:pPr>
      <w:r>
        <w:t xml:space="preserve">These figures slightly understate the actual rate impact because they apply the transformer premium uniformly across the installed fleet, but cost premiums apply only to new-build and replacement units; the transformer fleet turns over on a 30-year horizon, so the realized rate impact in any given year is less than 1/30 of the steady-state figure during the transition period.</w:t>
      </w:r>
    </w:p>
    <w:p>
      <w:pPr>
        <w:pStyle w:val="BodyText"/>
      </w:pPr>
      <w:r>
        <w:t xml:space="preserve">Sensitivity to assumed theft loss rate in target deployment regions: at current low-deployment-scale theft rates for ester (≪1% of installed fluid volume per year), the theft contribution to lifecycle cost is negligible. If theft rates at large-scale deployment evolve to mineral-oil-comparable levels (~2–5% of installed fluid volume per year in high-theft regions), lifecycle cost increases by an additional 0.5–2% on the affected regional fleet — within the noise of the architectural cost figures but worth tracking via regional utility association partnerships per Section 9.</w:t>
      </w:r>
    </w:p>
    <w:p>
      <w:pPr>
        <w:pStyle w:val="BodyText"/>
      </w:pPr>
      <w:r>
        <w:t xml:space="preserve">Lifecycle cost considerations further reduce the realized premium:</w:t>
      </w:r>
    </w:p>
    <w:p>
      <w:pPr>
        <w:pStyle w:val="Compact"/>
        <w:numPr>
          <w:ilvl w:val="0"/>
          <w:numId w:val="1060"/>
        </w:numPr>
      </w:pPr>
      <w:r>
        <w:rPr>
          <w:i/>
          <w:iCs/>
        </w:rPr>
        <w:t xml:space="preserve">Foundation simplification</w:t>
      </w:r>
      <w:r>
        <w:t xml:space="preserve">: ester transformers do not require oil-containment bunds sized to 110% of fluid volume. Foundation cost reduction of $20K–100K per unit depending on rating.</w:t>
      </w:r>
    </w:p>
    <w:p>
      <w:pPr>
        <w:pStyle w:val="Compact"/>
        <w:numPr>
          <w:ilvl w:val="0"/>
          <w:numId w:val="1060"/>
        </w:numPr>
      </w:pPr>
      <w:r>
        <w:rPr>
          <w:i/>
          <w:iCs/>
        </w:rPr>
        <w:t xml:space="preserve">Elimination of fire-rated vault construction</w:t>
      </w:r>
      <w:r>
        <w:t xml:space="preserve"> </w:t>
      </w:r>
      <w:r>
        <w:t xml:space="preserve">in urban installations. Indoor distribution transformers in mineral oil require fire-rated enclosures and active fire suppression; ester units may be installed without these provisions per IEC 60076-11 fire class K. Installation cost reduction of $50K–200K per indoor location.</w:t>
      </w:r>
    </w:p>
    <w:p>
      <w:pPr>
        <w:pStyle w:val="Compact"/>
        <w:numPr>
          <w:ilvl w:val="0"/>
          <w:numId w:val="1060"/>
        </w:numPr>
      </w:pPr>
      <w:r>
        <w:rPr>
          <w:i/>
          <w:iCs/>
        </w:rPr>
        <w:t xml:space="preserve">Reduced insurance premium</w:t>
      </w:r>
      <w:r>
        <w:t xml:space="preserve"> </w:t>
      </w:r>
      <w:r>
        <w:t xml:space="preserve">for fire-class K equipment. Property and liability insurance pricing increasingly reflects fire risk; FM Global and other major insurers offer premium reductions of 10–30% on fire-class K transformer fleets.</w:t>
      </w:r>
    </w:p>
    <w:p>
      <w:pPr>
        <w:pStyle w:val="Compact"/>
        <w:numPr>
          <w:ilvl w:val="0"/>
          <w:numId w:val="1060"/>
        </w:numPr>
      </w:pPr>
      <w:r>
        <w:rPr>
          <w:i/>
          <w:iCs/>
        </w:rPr>
        <w:t xml:space="preserve">Simpler spill response</w:t>
      </w:r>
      <w:r>
        <w:t xml:space="preserve">: biodegradable fluid does not require hazmat handling; spill response cost is in the low thousands rather than tens of thousands of dollars.</w:t>
      </w:r>
    </w:p>
    <w:p>
      <w:pPr>
        <w:pStyle w:val="Compact"/>
        <w:numPr>
          <w:ilvl w:val="0"/>
          <w:numId w:val="1060"/>
        </w:numPr>
      </w:pPr>
      <w:r>
        <w:rPr>
          <w:i/>
          <w:iCs/>
        </w:rPr>
        <w:t xml:space="preserve">Biodegradable end-of-life disposal</w:t>
      </w:r>
      <w:r>
        <w:t xml:space="preserve">: ester at end of service can be filtered and reused, burned as fuel oil, or land-applied. Mineral oil disposal cost is $0.50–2/L / $2–8/gal depending on regional regulations; ester disposal cost approaches zero.</w:t>
      </w:r>
    </w:p>
    <w:p>
      <w:pPr>
        <w:pStyle w:val="Compact"/>
        <w:numPr>
          <w:ilvl w:val="0"/>
          <w:numId w:val="1060"/>
        </w:numPr>
      </w:pPr>
      <w:r>
        <w:rPr>
          <w:i/>
          <w:iCs/>
        </w:rPr>
        <w:t xml:space="preserve">Significantly extended paper insulation life</w:t>
      </w:r>
      <w:r>
        <w:t xml:space="preserve">: ester’s water-absorbing chemistry slows paper hydrolysis. Transformers designed for 30-year service with mineral oil potentially achieve 40–50+ years with natural ester. The lifetime extension changes the economic comparison entirely: a transformer purchased for $1.5 million that lasts 45 years rather than 30 amortizes to $33K/year rather than $50K/year on a pure first-cost basis, before considering disposal and replacement labor savings.</w:t>
      </w:r>
    </w:p>
    <w:p>
      <w:pPr>
        <w:pStyle w:val="FirstParagraph"/>
      </w:pPr>
      <w:r>
        <w:t xml:space="preserve">The integrated lifecycle cost comparison frequently shows ester transformers cheaper than mineral-oil equivalents over service life. The first-cost premium is the visible disadvantage; the lifecycle cost is the actual decision criterion.</w:t>
      </w:r>
    </w:p>
    <w:bookmarkEnd w:id="84"/>
    <w:bookmarkStart w:id="85" w:name="cold-climate-stack-incremental-cost"/>
    <w:p>
      <w:pPr>
        <w:pStyle w:val="Heading3"/>
      </w:pPr>
      <w:r>
        <w:t xml:space="preserve">Cold-climate stack incremental cost</w:t>
      </w:r>
    </w:p>
    <w:p>
      <w:pPr>
        <w:pStyle w:val="FirstParagraph"/>
      </w:pPr>
      <w:r>
        <w:t xml:space="preserve">The cold-climate engineering stack (Section 10) — insulated cabinet, external-spiral propane heating with tiger-torch fallback, graduated cold-start commissioning, optional earth berm or below-frost-line burial — adds capital cost specifically for installations in continental cold climates. Approximate incremental cost for a 50 MVA transmission-class transformer:</w:t>
      </w:r>
    </w:p>
    <w:p>
      <w:pPr>
        <w:pStyle w:val="Compact"/>
        <w:numPr>
          <w:ilvl w:val="0"/>
          <w:numId w:val="1061"/>
        </w:numPr>
      </w:pPr>
      <w:r>
        <w:t xml:space="preserve">Insulated cabinet: $30K–80K depending on size and insulation specification.</w:t>
      </w:r>
    </w:p>
    <w:p>
      <w:pPr>
        <w:pStyle w:val="Compact"/>
        <w:numPr>
          <w:ilvl w:val="0"/>
          <w:numId w:val="1061"/>
        </w:numPr>
      </w:pPr>
      <w:r>
        <w:t xml:space="preserve">External-spiral propane heating system (2-inch / 50 mm steel pipe wrapped around tank shell with insulation, burner manifold, regulators, six-tank propane storage with weather enclosure): $15K–40K.</w:t>
      </w:r>
    </w:p>
    <w:p>
      <w:pPr>
        <w:pStyle w:val="Compact"/>
        <w:numPr>
          <w:ilvl w:val="0"/>
          <w:numId w:val="1061"/>
        </w:numPr>
      </w:pPr>
      <w:r>
        <w:t xml:space="preserve">Tiger-torch field equipment (kept at substation or regional service depot, not per-unit): negligible per-unit cost.</w:t>
      </w:r>
    </w:p>
    <w:p>
      <w:pPr>
        <w:pStyle w:val="Compact"/>
        <w:numPr>
          <w:ilvl w:val="0"/>
          <w:numId w:val="1061"/>
        </w:numPr>
      </w:pPr>
      <w:r>
        <w:t xml:space="preserve">Cold-start protocol commissioning testing: $20K–40K (one-time engineering for a design class, then per-unit commissioning testing only).</w:t>
      </w:r>
    </w:p>
    <w:p>
      <w:pPr>
        <w:pStyle w:val="Compact"/>
        <w:numPr>
          <w:ilvl w:val="0"/>
          <w:numId w:val="1061"/>
        </w:numPr>
      </w:pPr>
      <w:r>
        <w:t xml:space="preserve">Earth berm: $10K–50K depending on berm specification and earthwork costs.</w:t>
      </w:r>
    </w:p>
    <w:p>
      <w:pPr>
        <w:pStyle w:val="FirstParagraph"/>
      </w:pPr>
      <w:r>
        <w:t xml:space="preserve">Total cold-climate stack incremental cost: $75K–200K per unit, against the unit’s $1–2M base cost — 5–15% additional. This is comparable to the synthetic-ester fluid cost premium that would otherwise apply ($150K–300K for synthetic ester fill on a 50 MVA unit) but with the architectural advantages that the cold-climate stack is engineering capital rather than ongoing fluid cost dependency, and that the architecture’s universal natural-ester specification is preserved.</w:t>
      </w:r>
    </w:p>
    <w:bookmarkEnd w:id="85"/>
    <w:bookmarkStart w:id="86" w:name="adoption-status"/>
    <w:p>
      <w:pPr>
        <w:pStyle w:val="Heading3"/>
      </w:pPr>
      <w:r>
        <w:t xml:space="preserve">Adoption status</w:t>
      </w:r>
    </w:p>
    <w:p>
      <w:pPr>
        <w:pStyle w:val="FirstParagraph"/>
      </w:pPr>
      <w:r>
        <w:t xml:space="preserve">Current adoption: approximately 40% of new US distribution transformers as of 2025 specify natural ester; the trajectory is steeply upward. EU adoption is accelerating, driven by F-class fire regulations and PFAS-style environmental scrutiny on petroleum products. Chinese manufacturers have integrated ester product lines for export markets; domestic Chinese deployment is growing in fire-sensitive applications. Russian deployment lags but is beginning in the Far East and Asian republics where Chinese manufacturer pricing is competitive.</w:t>
      </w:r>
    </w:p>
    <w:p>
      <w:pPr>
        <w:pStyle w:val="BodyText"/>
      </w:pPr>
      <w:r>
        <w:t xml:space="preserve">Adoption inertia is economic and institutional, not technical. Utility conservatism on 40-year assets, supply-chain training transitions, standards-update cycles, and amortization schedules on existing mineral-oil processing infrastructure all slow the displacement of mineral oil. Total fleet turnover is on a 30-year horizon. The architectural specification calls for natural ester in all new units; the installed mineral-oil fleet runs to end of service life and is replaced with ester at scheduled replacement.</w:t>
      </w:r>
    </w:p>
    <w:p>
      <w:r>
        <w:pict>
          <v:rect style="width:0;height:1.5pt" o:hralign="center" o:hrstd="t" o:hr="t"/>
        </w:pict>
      </w:r>
    </w:p>
    <w:bookmarkEnd w:id="86"/>
    <w:bookmarkEnd w:id="87"/>
    <w:bookmarkStart w:id="88" w:name="section-12-conclusion"/>
    <w:p>
      <w:pPr>
        <w:pStyle w:val="Heading2"/>
      </w:pPr>
      <w:r>
        <w:t xml:space="preserve">Section 12 — Conclusion</w:t>
      </w:r>
    </w:p>
    <w:p>
      <w:pPr>
        <w:pStyle w:val="FirstParagraph"/>
      </w:pPr>
      <w:r>
        <w:t xml:space="preserve">The transformer specification for the 12 Hz AC backbone grid architecture: rapeseed-based natural ester-filled oil-immersed transformers as the universal global standard across all voltage and power classes and all climate zones. ONAN natural-convection cooling at all power classes. Layered protection: per-radiator coolant sensors and Buchholz upper float as alarm-tier signals routing to operator investigation; winding hot-spot temperature, top-oil temperature, Buchholz lower float, baffle plate, sudden-pressure relay, and differential current as trip-tier signals with breaker authority on confirmed damage. Integrated cold-climate engineering stack (insulated cabinet, external-spiral propane heating with tiger-torch fallback, graduated cold-start protocol, optional earth berm or below-frost-line burial) for continental cold deployment, with rapeseed natural ester serving the entire envelope including continuous permafrost. Shaded ventilated enclosures for tropical deployment. Field rewinding as the dominant repair path for damaged units.</w:t>
      </w:r>
    </w:p>
    <w:p>
      <w:pPr>
        <w:pStyle w:val="BodyText"/>
      </w:pPr>
      <w:r>
        <w:t xml:space="preserve">Two superficially attractive shortcuts to the cold-climate problem were considered and rejected with documented rationale: synthetic ester (rejected for supply-chain dependency, architectural redundancy with the engineering stack, and cost) and PMA pour-point depressants (rejected because the polymers are not readily biodegradable and produce microplastic-class persistence that compromises the architecture’s land-application end-of-life path). The architecture preserves a single dielectric chemistry family, single procurement specification, and clean environmental claims at the cost of a one-time engineering capital investment per cold-climate installation.</w:t>
      </w:r>
    </w:p>
    <w:p>
      <w:pPr>
        <w:pStyle w:val="BodyText"/>
      </w:pPr>
      <w:r>
        <w:t xml:space="preserve">Improvements over the mineral-oil incumbent across multiple independent dimensions:</w:t>
      </w:r>
    </w:p>
    <w:p>
      <w:pPr>
        <w:pStyle w:val="Compact"/>
        <w:numPr>
          <w:ilvl w:val="0"/>
          <w:numId w:val="1062"/>
        </w:numPr>
      </w:pPr>
      <w:r>
        <w:rPr>
          <w:i/>
          <w:iCs/>
        </w:rPr>
        <w:t xml:space="preserve">Dramatically reduced fire risk</w:t>
      </w:r>
      <w:r>
        <w:t xml:space="preserve"> </w:t>
      </w:r>
      <w:r>
        <w:t xml:space="preserve">in accidental internal-arc faults: ester does not propagate fire from sprayed dielectric at typical fault temperatures.</w:t>
      </w:r>
    </w:p>
    <w:p>
      <w:pPr>
        <w:pStyle w:val="Compact"/>
        <w:numPr>
          <w:ilvl w:val="0"/>
          <w:numId w:val="1062"/>
        </w:numPr>
      </w:pPr>
      <w:r>
        <w:rPr>
          <w:i/>
          <w:iCs/>
        </w:rPr>
        <w:t xml:space="preserve">Dramatically reduced fire risk</w:t>
      </w:r>
      <w:r>
        <w:t xml:space="preserve"> </w:t>
      </w:r>
      <w:r>
        <w:t xml:space="preserve">in hostile-action scenarios: rifle-fire attacks on ester transformers fail without burning, fail without toxic smoke, and fail without spreading damage to adjacent equipment.</w:t>
      </w:r>
    </w:p>
    <w:p>
      <w:pPr>
        <w:pStyle w:val="Compact"/>
        <w:numPr>
          <w:ilvl w:val="0"/>
          <w:numId w:val="1062"/>
        </w:numPr>
      </w:pPr>
      <w:r>
        <w:rPr>
          <w:i/>
          <w:iCs/>
        </w:rPr>
        <w:t xml:space="preserve">Recovery time compression</w:t>
      </w:r>
      <w:r>
        <w:t xml:space="preserve"> </w:t>
      </w:r>
      <w:r>
        <w:t xml:space="preserve">from 6–18 months (replacement, the mineral-oil + fire-propagation baseline) to 1–3 days (refill case, developed logistics) or 1–2 weeks (refill case, limited logistics), with rewind cases at 3–10 weeks (developed) to 6–24 weeks (limited).</w:t>
      </w:r>
      <w:r>
        <w:t xml:space="preserve"> </w:t>
      </w:r>
      <w:r>
        <w:rPr>
          <w:b/>
          <w:bCs/>
        </w:rPr>
        <w:t xml:space="preserve">The headline figure is 40× faster recovery in the dominant single-round-attack outcome</w:t>
      </w:r>
      <w:r>
        <w:t xml:space="preserve">, even in limited-logistics deployment. The asymmetric warfare math is broken: substation attacks no longer produce strategic-impact damage.</w:t>
      </w:r>
    </w:p>
    <w:p>
      <w:pPr>
        <w:pStyle w:val="Compact"/>
        <w:numPr>
          <w:ilvl w:val="0"/>
          <w:numId w:val="1062"/>
        </w:numPr>
      </w:pPr>
      <w:r>
        <w:rPr>
          <w:i/>
          <w:iCs/>
        </w:rPr>
        <w:t xml:space="preserve">Biodegradable feedstock</w:t>
      </w:r>
      <w:r>
        <w:t xml:space="preserve"> </w:t>
      </w:r>
      <w:r>
        <w:t xml:space="preserve">from agricultural sources scalable globally without specialized industrial chemistry. End-of-life spent fluid genuinely land-applicable due to deliberate exclusion of microplastic-class polymer additives.</w:t>
      </w:r>
    </w:p>
    <w:p>
      <w:pPr>
        <w:pStyle w:val="Compact"/>
        <w:numPr>
          <w:ilvl w:val="0"/>
          <w:numId w:val="1062"/>
        </w:numPr>
      </w:pPr>
      <w:r>
        <w:rPr>
          <w:i/>
          <w:iCs/>
        </w:rPr>
        <w:t xml:space="preserve">Supply-chain resilience to industrial disruption</w:t>
      </w:r>
      <w:r>
        <w:t xml:space="preserve">: oilseed agriculture and commodity oil refining are present in essentially every populated region; the dielectric-grade refining chain is an incremental extension of food-grade oil processing. No synthetic ester sub-specification, no petrochemical pentaerythritol dependency.</w:t>
      </w:r>
    </w:p>
    <w:p>
      <w:pPr>
        <w:pStyle w:val="Compact"/>
        <w:numPr>
          <w:ilvl w:val="0"/>
          <w:numId w:val="1062"/>
        </w:numPr>
      </w:pPr>
      <w:r>
        <w:rPr>
          <w:i/>
          <w:iCs/>
        </w:rPr>
        <w:t xml:space="preserve">Universal specification across the climate envelope</w:t>
      </w:r>
      <w:r>
        <w:t xml:space="preserve">: rapeseed natural ester serves all populated climates from equatorial to continental subarctic and continuous permafrost through engineering accommodation rather than chemistry substitution.</w:t>
      </w:r>
    </w:p>
    <w:p>
      <w:pPr>
        <w:pStyle w:val="Compact"/>
        <w:numPr>
          <w:ilvl w:val="0"/>
          <w:numId w:val="1062"/>
        </w:numPr>
      </w:pPr>
      <w:r>
        <w:rPr>
          <w:i/>
          <w:iCs/>
        </w:rPr>
        <w:t xml:space="preserve">Lower acoustic emissions</w:t>
      </w:r>
      <w:r>
        <w:t xml:space="preserve"> </w:t>
      </w:r>
      <w:r>
        <w:t xml:space="preserve">in 12 Hz operation: projected 15–25 dB(A) below conventional 50/60 Hz transformers of equivalent rating, with fundamental excitation at 24 Hz near the threshold of human audibility (theoretical estimate; empirical validation is a Phase 0 pilot deliverable).</w:t>
      </w:r>
    </w:p>
    <w:p>
      <w:pPr>
        <w:pStyle w:val="Compact"/>
        <w:numPr>
          <w:ilvl w:val="0"/>
          <w:numId w:val="1062"/>
        </w:numPr>
      </w:pPr>
      <w:r>
        <w:rPr>
          <w:i/>
          <w:iCs/>
        </w:rPr>
        <w:t xml:space="preserve">ONAN cooling at all power classes</w:t>
      </w:r>
      <w:r>
        <w:t xml:space="preserve">: no oil pumps, no forced-air fans, no auxiliary cooling failure modes.</w:t>
      </w:r>
    </w:p>
    <w:p>
      <w:pPr>
        <w:pStyle w:val="Compact"/>
        <w:numPr>
          <w:ilvl w:val="0"/>
          <w:numId w:val="1062"/>
        </w:numPr>
      </w:pPr>
      <w:r>
        <w:rPr>
          <w:i/>
          <w:iCs/>
        </w:rPr>
        <w:t xml:space="preserve">Theft resistance improvement</w:t>
      </w:r>
      <w:r>
        <w:t xml:space="preserve"> </w:t>
      </w:r>
      <w:r>
        <w:t xml:space="preserve">in rural and degraded-infrastructure deployments: ester is not fungible with motor oil and does not support the informal-economy theft model.</w:t>
      </w:r>
    </w:p>
    <w:p>
      <w:pPr>
        <w:pStyle w:val="Compact"/>
        <w:numPr>
          <w:ilvl w:val="0"/>
          <w:numId w:val="1062"/>
        </w:numPr>
      </w:pPr>
      <w:r>
        <w:rPr>
          <w:i/>
          <w:iCs/>
        </w:rPr>
        <w:t xml:space="preserve">Simplified urban siting</w:t>
      </w:r>
      <w:r>
        <w:t xml:space="preserve">: fire-class K ester eliminates fire-rated vault construction and reduces setback requirements.</w:t>
      </w:r>
    </w:p>
    <w:p>
      <w:pPr>
        <w:pStyle w:val="Compact"/>
        <w:numPr>
          <w:ilvl w:val="0"/>
          <w:numId w:val="1062"/>
        </w:numPr>
      </w:pPr>
      <w:r>
        <w:rPr>
          <w:i/>
          <w:iCs/>
        </w:rPr>
        <w:t xml:space="preserve">Extended paper insulation life</w:t>
      </w:r>
      <w:r>
        <w:t xml:space="preserve">: ester’s water-absorbing chemistry slows hydrolytic aging, with potential 30 → 45+ year service-life extension.</w:t>
      </w:r>
    </w:p>
    <w:p>
      <w:pPr>
        <w:pStyle w:val="Compact"/>
        <w:numPr>
          <w:ilvl w:val="0"/>
          <w:numId w:val="1062"/>
        </w:numPr>
      </w:pPr>
      <w:r>
        <w:rPr>
          <w:i/>
          <w:iCs/>
        </w:rPr>
        <w:t xml:space="preserve">Negligible rate impact</w:t>
      </w:r>
      <w:r>
        <w:t xml:space="preserve">: the transformer cost premium translates to a calculated range of 0.010–0.036¢/kWh on a 7¢/kWh retail rate (sensitivity to regulatory environment and cold-climate fleet fraction), against the resilience and operational improvements above. Lifecycle cost frequently favors ester over mineral oil despite the higher first cost.</w:t>
      </w:r>
    </w:p>
    <w:p>
      <w:pPr>
        <w:pStyle w:val="FirstParagraph"/>
      </w:pPr>
      <w:r>
        <w:t xml:space="preserve">Single dielectric chemistry (rapeseed natural ester) across the entire grid. Single set of maintenance procedures, single filtration rig design, single analytical lab setup, single technician training program. No synthetic ester. No PMA depressants. No climate-specific fluid variants. Architectural simplicity is itself a resilience property.</w:t>
      </w:r>
    </w:p>
    <w:p>
      <w:pPr>
        <w:pStyle w:val="BodyText"/>
      </w:pPr>
      <w:r>
        <w:t xml:space="preserve">Trade-offs explicitly accepted:</w:t>
      </w:r>
    </w:p>
    <w:p>
      <w:pPr>
        <w:pStyle w:val="Compact"/>
        <w:numPr>
          <w:ilvl w:val="0"/>
          <w:numId w:val="1063"/>
        </w:numPr>
      </w:pPr>
      <w:r>
        <w:rPr>
          <w:i/>
          <w:iCs/>
        </w:rPr>
        <w:t xml:space="preserve">Capital cost premium</w:t>
      </w:r>
      <w:r>
        <w:t xml:space="preserve">: roughly 5–10% on transformer first cost from the fluid premium and design accommodation; 5–15% additional for cold-climate stack in continental cold installations. Total impact on retail electricity rates is in the range 0.010–0.036¢/kWh depending on regulatory environment and cold-climate fleet fraction — invisible to consumers and dwarfed by routine fuel, demand, and policy variation.</w:t>
      </w:r>
    </w:p>
    <w:p>
      <w:pPr>
        <w:pStyle w:val="Compact"/>
        <w:numPr>
          <w:ilvl w:val="0"/>
          <w:numId w:val="1063"/>
        </w:numPr>
      </w:pPr>
      <w:r>
        <w:rPr>
          <w:i/>
          <w:iCs/>
        </w:rPr>
        <w:t xml:space="preserve">Cold-start protocol requirement</w:t>
      </w:r>
      <w:r>
        <w:t xml:space="preserve">: continental cold deployments require graduated cold-start protocol after extended de-energized cold-soak, with 30–90 minute restoration time from full cold-soak to full-rated service. Acceptable for routine grid operation; mission-critical instant-restart applications (military, hospital backup) require local generation backup regardless of transformer specification.</w:t>
      </w:r>
    </w:p>
    <w:p>
      <w:pPr>
        <w:pStyle w:val="Compact"/>
        <w:numPr>
          <w:ilvl w:val="0"/>
          <w:numId w:val="1063"/>
        </w:numPr>
      </w:pPr>
      <w:r>
        <w:rPr>
          <w:i/>
          <w:iCs/>
        </w:rPr>
        <w:t xml:space="preserve">Permafrost foundation engineering</w:t>
      </w:r>
      <w:r>
        <w:t xml:space="preserve">: continuous permafrost installations require talik-tolerant foundation design or surface-elevated installation; the architecture defaults to surface installation with full cabinet to avoid active refrigeration auxiliary dependencies.</w:t>
      </w:r>
    </w:p>
    <w:p>
      <w:pPr>
        <w:pStyle w:val="Compact"/>
        <w:numPr>
          <w:ilvl w:val="0"/>
          <w:numId w:val="1063"/>
        </w:numPr>
      </w:pPr>
      <w:r>
        <w:rPr>
          <w:i/>
          <w:iCs/>
        </w:rPr>
        <w:t xml:space="preserve">Hygroscopic conservator design requirements</w:t>
      </w:r>
      <w:r>
        <w:t xml:space="preserve">: ester’s high water-saturation capacity demands tighter commissioning protocols (vacuum dehydration to &lt;10 ppm) and ongoing moisture monitoring, but is not a barrier to deployment in any climate.</w:t>
      </w:r>
    </w:p>
    <w:p>
      <w:pPr>
        <w:pStyle w:val="FirstParagraph"/>
      </w:pPr>
      <w:r>
        <w:t xml:space="preserve">The architecture is designed for long-horizon resilience under conditions that include hostile action, supply-chain disruption, and climate extremes. The ester decision, the per-radiator monitoring decision, the ONAN cooling decision, the rejection of synthetic ester and PMA depressants, and the integrated cold-climate stack are deliberate choices consistent with the broader 12 Hz grid design philosophy: prioritize survivability under degraded infrastructure at modest capital cost premium relative to the incumbent mineral-oil baseline, with field rewindability as the foundational repair path that permits the architecture to absorb damage and recover quickly. The grid serves the population over decades; the transformer fleet is designed to serve through the conditions the grid will actually face, not only the conditions under which it is initially commissioned.</w:t>
      </w:r>
    </w:p>
    <w:p>
      <w:r>
        <w:pict>
          <v:rect style="width:0;height:1.5pt" o:hralign="center" o:hrstd="t" o:hr="t"/>
        </w:pict>
      </w:r>
    </w:p>
    <w:bookmarkEnd w:id="88"/>
    <w:bookmarkStart w:id="94" w:name="Xdd8184f3ea0ca6dc62c5454b0a05639a66feb38"/>
    <w:p>
      <w:pPr>
        <w:pStyle w:val="Heading2"/>
      </w:pPr>
      <w:r>
        <w:t xml:space="preserve">Section 13 — Military and expeditionary deployment</w:t>
      </w:r>
    </w:p>
    <w:p>
      <w:pPr>
        <w:pStyle w:val="FirstParagraph"/>
      </w:pPr>
      <w:r>
        <w:t xml:space="preserve">The architecture as developed in Sections 1–12 covers fixed civilian/utility infrastructure: transmission and distribution substations, generation step-up units, urban and rural distribution. Military and expeditionary deployment imposes a distinct set of constraints not addressed by the fixed-infrastructure specification, and requires its own treatment. This section is added per a red team observation: silence on military deployment was untenable for a document claiming universal architecture.</w:t>
      </w:r>
    </w:p>
    <w:bookmarkStart w:id="89" w:name="forward-operating-base-power"/>
    <w:p>
      <w:pPr>
        <w:pStyle w:val="Heading3"/>
      </w:pPr>
      <w:r>
        <w:t xml:space="preserve">Forward operating base power</w:t>
      </w:r>
    </w:p>
    <w:p>
      <w:pPr>
        <w:pStyle w:val="FirstParagraph"/>
      </w:pPr>
      <w:r>
        <w:t xml:space="preserve">Forward operating bases (FOBs) and contingency operating sites are typically powered by tactical generators (military-grade diesel or gas turbine generators in the 30 kW – 5 MW range) feeding a local distribution network. Distribution transformers in this scale are typically pad-mount or pole-mount units, ≤5 MVA, ≤24 kV, with rapid-deployment requirements: shipped by C-17 or C-130 air transport, set up in 24–48 hours, operated under local crew that may not have specialized transformer training, and removed at the end of mission.</w:t>
      </w:r>
    </w:p>
    <w:p>
      <w:pPr>
        <w:pStyle w:val="BodyText"/>
      </w:pPr>
      <w:r>
        <w:t xml:space="preserve">For FOB power transformers, the architecture’s natural ester specification is</w:t>
      </w:r>
      <w:r>
        <w:t xml:space="preserve"> </w:t>
      </w:r>
      <w:r>
        <w:rPr>
          <w:b/>
          <w:bCs/>
        </w:rPr>
        <w:t xml:space="preserve">technically feasible but operationally constrained</w:t>
      </w:r>
      <w:r>
        <w:t xml:space="preserve">:</w:t>
      </w:r>
    </w:p>
    <w:p>
      <w:pPr>
        <w:pStyle w:val="Compact"/>
        <w:numPr>
          <w:ilvl w:val="0"/>
          <w:numId w:val="1064"/>
        </w:numPr>
      </w:pPr>
      <w:r>
        <w:rPr>
          <w:i/>
          <w:iCs/>
        </w:rPr>
        <w:t xml:space="preserve">Distribution-class ester transformers in the FOB size range exist commercially</w:t>
      </w:r>
      <w:r>
        <w:t xml:space="preserve"> </w:t>
      </w:r>
      <w:r>
        <w:t xml:space="preserve">(FR3, MIDEL eN, BIOTEMP product lines all cover ≤24 kV, ≤5 MVA). No technology development required.</w:t>
      </w:r>
    </w:p>
    <w:p>
      <w:pPr>
        <w:pStyle w:val="Compact"/>
        <w:numPr>
          <w:ilvl w:val="0"/>
          <w:numId w:val="1064"/>
        </w:numPr>
      </w:pPr>
      <w:r>
        <w:rPr>
          <w:i/>
          <w:iCs/>
        </w:rPr>
        <w:t xml:space="preserve">Cold-start protocol applies as Scenario A</w:t>
      </w:r>
      <w:r>
        <w:t xml:space="preserve"> </w:t>
      </w:r>
      <w:r>
        <w:t xml:space="preserve">(controllable LV-side energization through the upstream genset). External-spiral propane heating scales straightforwardly to FOB transformer sizes; military forward operating bases routinely carry propane infrastructure for cooking, heating, and contingency power, so the supply chain is already present in expeditionary deployment.</w:t>
      </w:r>
    </w:p>
    <w:p>
      <w:pPr>
        <w:pStyle w:val="Compact"/>
        <w:numPr>
          <w:ilvl w:val="0"/>
          <w:numId w:val="1064"/>
        </w:numPr>
      </w:pPr>
      <w:r>
        <w:rPr>
          <w:i/>
          <w:iCs/>
        </w:rPr>
        <w:t xml:space="preserve">Supply-chain consideration is the operational constraint</w:t>
      </w:r>
      <w:r>
        <w:t xml:space="preserve">. FOB resupply runs on military logistics chains (CAF, USAF, NATO allied logistics). Mineral oil transformer service can piggyback on existing fuel-and-lubricant logistics; ester service requires either a parallel logistics chain (which CAF and most allied forces do not have) or commercial agricultural-feedstock supply in the deployment region.</w:t>
      </w:r>
    </w:p>
    <w:p>
      <w:pPr>
        <w:pStyle w:val="FirstParagraph"/>
      </w:pPr>
      <w:r>
        <w:t xml:space="preserve">The architectural recommendation:</w:t>
      </w:r>
      <w:r>
        <w:t xml:space="preserve"> </w:t>
      </w:r>
      <w:r>
        <w:rPr>
          <w:b/>
          <w:bCs/>
        </w:rPr>
        <w:t xml:space="preserve">ester transformers for FOB deployment in stable-region operations</w:t>
      </w:r>
      <w:r>
        <w:t xml:space="preserve"> </w:t>
      </w:r>
      <w:r>
        <w:t xml:space="preserve">(peacekeeping missions, training deployments, allied-territory exercises), where commercial agricultural feedstock supply is available and the operational tempo permits commercial-style resupply logistics.</w:t>
      </w:r>
      <w:r>
        <w:t xml:space="preserve"> </w:t>
      </w:r>
      <w:r>
        <w:rPr>
          <w:b/>
          <w:bCs/>
        </w:rPr>
        <w:t xml:space="preserve">Mineral oil retained as the FOB transformer baseline for active-conflict deployment</w:t>
      </w:r>
      <w:r>
        <w:t xml:space="preserve">, where supply chains are constrained, hostile interdiction is a real risk, and the existing fuel-and-lubricant logistics chain is the only reliable resupply path. This is a deliberate architectural exception to the universal-ester specification for the fixed-infrastructure domain; it is not a contradiction but a recognition that expeditionary deployment is a distinct regime with distinct constraints.</w:t>
      </w:r>
    </w:p>
    <w:p>
      <w:pPr>
        <w:pStyle w:val="BodyText"/>
      </w:pPr>
      <w:r>
        <w:t xml:space="preserve">For FOB deployments where ester is operationally feasible, the fire-safety and theft-resistance arguments developed elsewhere in this paper apply with additional force: a FOB destroyed by transformer fire is a force-protection event, and FOB equipment theft is a recurring operational concern in some deployment theaters.</w:t>
      </w:r>
    </w:p>
    <w:bookmarkEnd w:id="89"/>
    <w:bookmarkStart w:id="90" w:name="mobile-and-trailer-mounted-transformers"/>
    <w:p>
      <w:pPr>
        <w:pStyle w:val="Heading3"/>
      </w:pPr>
      <w:r>
        <w:t xml:space="preserve">Mobile and trailer-mounted transformers</w:t>
      </w:r>
    </w:p>
    <w:p>
      <w:pPr>
        <w:pStyle w:val="FirstParagraph"/>
      </w:pPr>
      <w:r>
        <w:t xml:space="preserve">Some military and emergency-response deployments use trailer-mounted mobile transformers — units in the 1–25 MVA range packaged with their own bushings, switchgear, and protection on a single transport platform, deployable to substations with damaged or destroyed primary transformers. These units function as temporary replacements while permanent units are repaired or rebuilt; they are also used by civilian utilities for storm response and emergency restoration.</w:t>
      </w:r>
    </w:p>
    <w:p>
      <w:pPr>
        <w:pStyle w:val="BodyText"/>
      </w:pPr>
      <w:r>
        <w:t xml:space="preserve">For mobile transformer deployment, the architecture’s specification applies as Scenario A cold-start (controllable LV-side energization through the host substation’s available source) and as the standard ester specification otherwise. The mobile unit’s smaller scale (&lt;25 MVA typical) places it well within the natural ester operating envelope, and the mobile-deployment use case (rapid restoration of grid service after damage) aligns with the architecture’s hostile-action recovery framework: a damaged ester unit at a substation can be replaced by a mobile ester unit while the damaged unit is repaired, with no fluid-compatibility concerns and no fire-safety degradation.</w:t>
      </w:r>
    </w:p>
    <w:p>
      <w:pPr>
        <w:pStyle w:val="BodyText"/>
      </w:pPr>
      <w:r>
        <w:t xml:space="preserve">The recommendation: mobile transformers in military and civilian emergency-response fleets follow the standard architecture specification, with ester as the dielectric and Scenario A cold-start protocol where deployment ambient temperatures may approach pour point.</w:t>
      </w:r>
    </w:p>
    <w:bookmarkEnd w:id="90"/>
    <w:bookmarkStart w:id="91" w:name="Xc7512263d0e08a45825024ca6c0b52a7ce48b58"/>
    <w:p>
      <w:pPr>
        <w:pStyle w:val="Heading3"/>
      </w:pPr>
      <w:r>
        <w:t xml:space="preserve">Allied interoperability and STANAG considerations</w:t>
      </w:r>
    </w:p>
    <w:p>
      <w:pPr>
        <w:pStyle w:val="FirstParagraph"/>
      </w:pPr>
      <w:r>
        <w:t xml:space="preserve">At the electrical-system level, ester transformers and mineral-oil transformers are fully interoperable: voltage, frequency, and current characteristics at terminals are identical, and an allied utility’s mineral-oil unit can replace an architectural ester unit (or vice versa) at the substation level without any electrical compatibility concern. The interoperability question lives entirely in the supply chain.</w:t>
      </w:r>
    </w:p>
    <w:p>
      <w:pPr>
        <w:pStyle w:val="BodyText"/>
      </w:pPr>
      <w:r>
        <w:t xml:space="preserve">NATO Standardization Agreements (STANAGs) cover fuel and lubricant interchangeability among allied forces — STANAG 1135 (Petroleum, Oils and Lubricants Specifications and Testing) and STANAG 7141 (Aviation and Ground Fuels) being the principal documents. Neither STANAG addresses transformer dielectric fluid because the historical assumption was universal mineral oil, with transformer dielectric drawn from the same petroleum supply chain as fuel and lubricants.</w:t>
      </w:r>
    </w:p>
    <w:p>
      <w:pPr>
        <w:pStyle w:val="BodyText"/>
      </w:pPr>
      <w:r>
        <w:t xml:space="preserve">If the architecture is adopted by Five Eyes partners, NATO infrastructure, or allied military electrical systems generally, the STANAG framework requires either:</w:t>
      </w:r>
    </w:p>
    <w:p>
      <w:pPr>
        <w:pStyle w:val="Compact"/>
        <w:numPr>
          <w:ilvl w:val="0"/>
          <w:numId w:val="1065"/>
        </w:numPr>
      </w:pPr>
      <w:r>
        <w:rPr>
          <w:i/>
          <w:iCs/>
        </w:rPr>
        <w:t xml:space="preserve">A new STANAG covering transformer dielectric fluid</w:t>
      </w:r>
      <w:r>
        <w:t xml:space="preserve">, addressing both natural ester and mineral oil specifications, fluid-compatibility limits when topping up mixed fleets, supply-chain coordination for ester delivery in alliance operations, and cold-climate fluid-selection criteria.</w:t>
      </w:r>
    </w:p>
    <w:p>
      <w:pPr>
        <w:pStyle w:val="Compact"/>
        <w:numPr>
          <w:ilvl w:val="0"/>
          <w:numId w:val="1065"/>
        </w:numPr>
      </w:pPr>
      <w:r>
        <w:rPr>
          <w:i/>
          <w:iCs/>
        </w:rPr>
        <w:t xml:space="preserve">A formal acknowledgment that transformer dielectric is outside STANAG scope</w:t>
      </w:r>
      <w:r>
        <w:t xml:space="preserve">, with each ally maintaining national specifications and mutual support arranged through case-by-case logistics coordination rather than standard interchangeability.</w:t>
      </w:r>
    </w:p>
    <w:p>
      <w:pPr>
        <w:pStyle w:val="FirstParagraph"/>
      </w:pPr>
      <w:r>
        <w:t xml:space="preserve">The architectural recommendation, per the red team review:</w:t>
      </w:r>
      <w:r>
        <w:t xml:space="preserve"> </w:t>
      </w:r>
      <w:r>
        <w:rPr>
          <w:i/>
          <w:iCs/>
        </w:rPr>
        <w:t xml:space="preserve">the question should be opened at the Conference of Defence Associations level for Canadian/NATO consideration, with parallel engagement through US/UK/Five Eyes channels</w:t>
      </w:r>
      <w:r>
        <w:t xml:space="preserve">. The matter is not urgent — current allied infrastructure is mineral oil and will remain so for years to decades during fleet turnover — but should be addressed before allied ester deployment reaches scale where supply-chain coordination becomes operationally necessary.</w:t>
      </w:r>
    </w:p>
    <w:bookmarkEnd w:id="91"/>
    <w:bookmarkStart w:id="92" w:name="Xd610f552906a6a67b22cec0bae2f47804512beb"/>
    <w:p>
      <w:pPr>
        <w:pStyle w:val="Heading3"/>
      </w:pPr>
      <w:r>
        <w:t xml:space="preserve">Arctic and expeditionary cold-climate deployment</w:t>
      </w:r>
    </w:p>
    <w:p>
      <w:pPr>
        <w:pStyle w:val="FirstParagraph"/>
      </w:pPr>
      <w:r>
        <w:t xml:space="preserve">Canadian Armed Forces operations in Joint Task Force North area of operations face the same cold-climate constraints as fixed Russian or Canadian utility infrastructure, but at smaller scale and with mobile/expeditionary requirements. The integrated cold-climate stack of Section 10 — insulated cabinet, external-spiral propane heating with tiger-torch fallback, graduated cold-start protocol — applies to expeditionary cold-climate transformers with Scenario A as the relevant cold-start regime (mobile units are distribution-class with controllable LV-side energization through their own genset).</w:t>
      </w:r>
    </w:p>
    <w:p>
      <w:pPr>
        <w:pStyle w:val="BodyText"/>
      </w:pPr>
      <w:r>
        <w:t xml:space="preserve">Some adaptation is required for mobile deployment:</w:t>
      </w:r>
    </w:p>
    <w:p>
      <w:pPr>
        <w:pStyle w:val="Compact"/>
        <w:numPr>
          <w:ilvl w:val="0"/>
          <w:numId w:val="1066"/>
        </w:numPr>
      </w:pPr>
      <w:r>
        <w:t xml:space="preserve">Insulated cabinet construction must be transport-compatible (lightweight insulation, deployable assembly).</w:t>
      </w:r>
    </w:p>
    <w:p>
      <w:pPr>
        <w:pStyle w:val="Compact"/>
        <w:numPr>
          <w:ilvl w:val="0"/>
          <w:numId w:val="1066"/>
        </w:numPr>
      </w:pPr>
      <w:r>
        <w:t xml:space="preserve">Auxiliary heating fuel source is field-deployable propane rather than fixed-site LPG distribution; tank sizing and refill logistics integrate with the unit’s own fuel supply for the host genset.</w:t>
      </w:r>
    </w:p>
    <w:p>
      <w:pPr>
        <w:pStyle w:val="Compact"/>
        <w:numPr>
          <w:ilvl w:val="0"/>
          <w:numId w:val="1066"/>
        </w:numPr>
      </w:pPr>
      <w:r>
        <w:t xml:space="preserve">Cold-start protocol adapts to</w:t>
      </w:r>
      <w:r>
        <w:t xml:space="preserve"> </w:t>
      </w:r>
      <w:r>
        <w:t xml:space="preserve">“cold-deploy”</w:t>
      </w:r>
      <w:r>
        <w:t xml:space="preserve"> </w:t>
      </w:r>
      <w:r>
        <w:t xml:space="preserve">rather than</w:t>
      </w:r>
      <w:r>
        <w:t xml:space="preserve"> </w:t>
      </w:r>
      <w:r>
        <w:t xml:space="preserve">“cold-start after extended outage”</w:t>
      </w:r>
      <w:r>
        <w:t xml:space="preserve"> </w:t>
      </w:r>
      <w:r>
        <w:t xml:space="preserve">— the unit arrives at the deployment site cold-soaked from transport and must warm up before energizing local loads. External-spiral propane heating provides the warm-up heat; tiger torches accelerate the procedure where rapid deployment is operationally required.</w:t>
      </w:r>
    </w:p>
    <w:p>
      <w:pPr>
        <w:pStyle w:val="FirstParagraph"/>
      </w:pPr>
      <w:r>
        <w:t xml:space="preserve">These adaptations are engineering work, not architectural redesign. CAF operational requirements for forward Arctic deployment can be met by ester-equipped mobile units following Scenario A cold-start within the architectural framework.</w:t>
      </w:r>
    </w:p>
    <w:bookmarkEnd w:id="92"/>
    <w:bookmarkStart w:id="93" w:name="section-13-summary"/>
    <w:p>
      <w:pPr>
        <w:pStyle w:val="Heading3"/>
      </w:pPr>
      <w:r>
        <w:t xml:space="preserve">Section 13 summary</w:t>
      </w:r>
    </w:p>
    <w:p>
      <w:pPr>
        <w:pStyle w:val="FirstParagraph"/>
      </w:pPr>
      <w:r>
        <w:t xml:space="preserve">Military and expeditionary deployment is a real use case the universal-ester architecture must address rather than ignore. The recommendations:</w:t>
      </w:r>
    </w:p>
    <w:p>
      <w:pPr>
        <w:pStyle w:val="Compact"/>
        <w:numPr>
          <w:ilvl w:val="0"/>
          <w:numId w:val="1067"/>
        </w:numPr>
      </w:pPr>
      <w:r>
        <w:rPr>
          <w:i/>
          <w:iCs/>
        </w:rPr>
        <w:t xml:space="preserve">Stable-region FOB and exercise deployments</w:t>
      </w:r>
      <w:r>
        <w:t xml:space="preserve">: ester per architectural baseline.</w:t>
      </w:r>
    </w:p>
    <w:p>
      <w:pPr>
        <w:pStyle w:val="Compact"/>
        <w:numPr>
          <w:ilvl w:val="0"/>
          <w:numId w:val="1067"/>
        </w:numPr>
      </w:pPr>
      <w:r>
        <w:rPr>
          <w:i/>
          <w:iCs/>
        </w:rPr>
        <w:t xml:space="preserve">Active-conflict FOB deployment</w:t>
      </w:r>
      <w:r>
        <w:t xml:space="preserve">: mineral oil retained as baseline; ester optional where supply chain permits.</w:t>
      </w:r>
    </w:p>
    <w:p>
      <w:pPr>
        <w:pStyle w:val="Compact"/>
        <w:numPr>
          <w:ilvl w:val="0"/>
          <w:numId w:val="1067"/>
        </w:numPr>
      </w:pPr>
      <w:r>
        <w:rPr>
          <w:i/>
          <w:iCs/>
        </w:rPr>
        <w:t xml:space="preserve">Mobile and trailer-mounted transformers</w:t>
      </w:r>
      <w:r>
        <w:t xml:space="preserve">: ester per architectural baseline.</w:t>
      </w:r>
    </w:p>
    <w:p>
      <w:pPr>
        <w:pStyle w:val="Compact"/>
        <w:numPr>
          <w:ilvl w:val="0"/>
          <w:numId w:val="1067"/>
        </w:numPr>
      </w:pPr>
      <w:r>
        <w:rPr>
          <w:i/>
          <w:iCs/>
        </w:rPr>
        <w:t xml:space="preserve">Arctic and expeditionary cold deployments</w:t>
      </w:r>
      <w:r>
        <w:t xml:space="preserve">: ester per architectural baseline with Scenario A cold-start adaptations.</w:t>
      </w:r>
    </w:p>
    <w:p>
      <w:pPr>
        <w:pStyle w:val="Compact"/>
        <w:numPr>
          <w:ilvl w:val="0"/>
          <w:numId w:val="1067"/>
        </w:numPr>
      </w:pPr>
      <w:r>
        <w:rPr>
          <w:i/>
          <w:iCs/>
        </w:rPr>
        <w:t xml:space="preserve">Allied interoperability</w:t>
      </w:r>
      <w:r>
        <w:t xml:space="preserve">: open STANAG question at CDA / Five Eyes level for new STANAG or formal scope determination.</w:t>
      </w:r>
    </w:p>
    <w:p>
      <w:pPr>
        <w:pStyle w:val="FirstParagraph"/>
      </w:pPr>
      <w:r>
        <w:t xml:space="preserve">The architecture as a whole is not weakened by recognizing that one deployment regime (active-conflict FOB) carries a documented exception. The exception is bounded, the rationale is explicit, and the broader architectural commitments (universal ester for fixed infrastructure, recovery-time compression, fire safety, environmental claims) are preserved.</w:t>
      </w:r>
    </w:p>
    <w:p>
      <w:r>
        <w:pict>
          <v:rect style="width:0;height:1.5pt" o:hralign="center" o:hrstd="t" o:hr="t"/>
        </w:pict>
      </w:r>
    </w:p>
    <w:bookmarkEnd w:id="93"/>
    <w:bookmarkEnd w:id="94"/>
    <w:bookmarkStart w:id="95" w:name="references"/>
    <w:p>
      <w:pPr>
        <w:pStyle w:val="Heading2"/>
      </w:pPr>
      <w:r>
        <w:t xml:space="preserve">References</w:t>
      </w:r>
    </w:p>
    <w:p>
      <w:pPr>
        <w:pStyle w:val="FirstParagraph"/>
      </w:pPr>
      <w:r>
        <w:t xml:space="preserve">Standards:</w:t>
      </w:r>
    </w:p>
    <w:p>
      <w:pPr>
        <w:pStyle w:val="Compact"/>
        <w:numPr>
          <w:ilvl w:val="0"/>
          <w:numId w:val="1068"/>
        </w:numPr>
      </w:pPr>
      <w:r>
        <w:t xml:space="preserve">IEEE C57.12 series — General requirements for liquid-immersed distribution, power, and regulating transformers</w:t>
      </w:r>
    </w:p>
    <w:p>
      <w:pPr>
        <w:pStyle w:val="Compact"/>
        <w:numPr>
          <w:ilvl w:val="0"/>
          <w:numId w:val="1068"/>
        </w:numPr>
      </w:pPr>
      <w:r>
        <w:t xml:space="preserve">IEEE C57.147 — Guide for Acceptance and Maintenance of Natural Ester Fluids in Transformers</w:t>
      </w:r>
    </w:p>
    <w:p>
      <w:pPr>
        <w:pStyle w:val="Compact"/>
        <w:numPr>
          <w:ilvl w:val="0"/>
          <w:numId w:val="1068"/>
        </w:numPr>
      </w:pPr>
      <w:r>
        <w:t xml:space="preserve">IEEE C57.155 — Guide for Interpretation of Gases Generated in Natural Ester and Synthetic Ester-Immersed Transformers</w:t>
      </w:r>
    </w:p>
    <w:p>
      <w:pPr>
        <w:pStyle w:val="Compact"/>
        <w:numPr>
          <w:ilvl w:val="0"/>
          <w:numId w:val="1068"/>
        </w:numPr>
      </w:pPr>
      <w:r>
        <w:t xml:space="preserve">IEEE C62.22 — Guide for the Application of Metal-Oxide Surge Arresters for Alternating-Current Systems</w:t>
      </w:r>
    </w:p>
    <w:p>
      <w:pPr>
        <w:pStyle w:val="Compact"/>
        <w:numPr>
          <w:ilvl w:val="0"/>
          <w:numId w:val="1068"/>
        </w:numPr>
      </w:pPr>
      <w:r>
        <w:t xml:space="preserve">IEC 60076 series — Power transformers (general requirements, dielectric, thermal, OLTC, dry-type)</w:t>
      </w:r>
    </w:p>
    <w:p>
      <w:pPr>
        <w:pStyle w:val="Compact"/>
        <w:numPr>
          <w:ilvl w:val="0"/>
          <w:numId w:val="1068"/>
        </w:numPr>
      </w:pPr>
      <w:r>
        <w:t xml:space="preserve">IEC 60076-11 — Dry-type transformers</w:t>
      </w:r>
    </w:p>
    <w:p>
      <w:pPr>
        <w:pStyle w:val="Compact"/>
        <w:numPr>
          <w:ilvl w:val="0"/>
          <w:numId w:val="1068"/>
        </w:numPr>
      </w:pPr>
      <w:r>
        <w:t xml:space="preserve">IEC 60099-4 — Surge arresters: Metal-oxide surge arresters without gaps for a.c. systems</w:t>
      </w:r>
    </w:p>
    <w:p>
      <w:pPr>
        <w:pStyle w:val="Compact"/>
        <w:numPr>
          <w:ilvl w:val="0"/>
          <w:numId w:val="1068"/>
        </w:numPr>
      </w:pPr>
      <w:r>
        <w:t xml:space="preserve">IEC 60099-5 — Surge arresters: Selection and application recommendations</w:t>
      </w:r>
    </w:p>
    <w:p>
      <w:pPr>
        <w:pStyle w:val="Compact"/>
        <w:numPr>
          <w:ilvl w:val="0"/>
          <w:numId w:val="1068"/>
        </w:numPr>
      </w:pPr>
      <w:r>
        <w:t xml:space="preserve">IEC 60296 — Mineral insulating oils for transformers and switchgear</w:t>
      </w:r>
    </w:p>
    <w:p>
      <w:pPr>
        <w:pStyle w:val="Compact"/>
        <w:numPr>
          <w:ilvl w:val="0"/>
          <w:numId w:val="1068"/>
        </w:numPr>
      </w:pPr>
      <w:r>
        <w:t xml:space="preserve">IEC 61099 — Specifications for unused synthetic organic esters for electrical purposes</w:t>
      </w:r>
    </w:p>
    <w:p>
      <w:pPr>
        <w:pStyle w:val="Compact"/>
        <w:numPr>
          <w:ilvl w:val="0"/>
          <w:numId w:val="1068"/>
        </w:numPr>
      </w:pPr>
      <w:r>
        <w:t xml:space="preserve">IEC 61936 — Power installations exceeding 1 kV a.c. (fire classification of dielectric fluids)</w:t>
      </w:r>
    </w:p>
    <w:p>
      <w:pPr>
        <w:pStyle w:val="Compact"/>
        <w:numPr>
          <w:ilvl w:val="0"/>
          <w:numId w:val="1068"/>
        </w:numPr>
      </w:pPr>
      <w:r>
        <w:t xml:space="preserve">IEC 62770 — Fluids for electrotechnical applications: unused natural esters for transformers and similar electrical equipment</w:t>
      </w:r>
    </w:p>
    <w:p>
      <w:pPr>
        <w:pStyle w:val="Compact"/>
        <w:numPr>
          <w:ilvl w:val="0"/>
          <w:numId w:val="1068"/>
        </w:numPr>
      </w:pPr>
      <w:r>
        <w:t xml:space="preserve">ASTM D3487 — Standard Specification for Mineral Insulating Oil Used in Electrical Apparatus</w:t>
      </w:r>
    </w:p>
    <w:p>
      <w:pPr>
        <w:pStyle w:val="Compact"/>
        <w:numPr>
          <w:ilvl w:val="0"/>
          <w:numId w:val="1068"/>
        </w:numPr>
      </w:pPr>
      <w:r>
        <w:t xml:space="preserve">ASTM D6866 — Standard Test Methods for Determining the Biobased Content of Solid, Liquid, and Gaseous Samples</w:t>
      </w:r>
    </w:p>
    <w:p>
      <w:pPr>
        <w:pStyle w:val="Compact"/>
        <w:numPr>
          <w:ilvl w:val="0"/>
          <w:numId w:val="1068"/>
        </w:numPr>
      </w:pPr>
      <w:r>
        <w:t xml:space="preserve">ASTM D6871 — Standard Specification for Natural (Vegetable Oil) Ester Fluids Used in Electrical Apparatus</w:t>
      </w:r>
    </w:p>
    <w:p>
      <w:pPr>
        <w:pStyle w:val="Compact"/>
        <w:numPr>
          <w:ilvl w:val="0"/>
          <w:numId w:val="1068"/>
        </w:numPr>
      </w:pPr>
      <w:r>
        <w:t xml:space="preserve">FM Approvals 3990 — Less- and Non-Flammable Fluid-Insulated Transformers</w:t>
      </w:r>
    </w:p>
    <w:p>
      <w:pPr>
        <w:pStyle w:val="Compact"/>
        <w:numPr>
          <w:ilvl w:val="0"/>
          <w:numId w:val="1068"/>
        </w:numPr>
      </w:pPr>
      <w:r>
        <w:t xml:space="preserve">OECD 301B — Ready Biodegradability: CO2 Evolution Test</w:t>
      </w:r>
    </w:p>
    <w:p>
      <w:pPr>
        <w:pStyle w:val="Compact"/>
        <w:numPr>
          <w:ilvl w:val="0"/>
          <w:numId w:val="1068"/>
        </w:numPr>
      </w:pPr>
      <w:r>
        <w:t xml:space="preserve">ГОСТ Р МЭК 60076 (Latin: GOST R IEC 60076) — Russian adoption of IEC 60076 series for power transformers</w:t>
      </w:r>
    </w:p>
    <w:p>
      <w:pPr>
        <w:pStyle w:val="FirstParagraph"/>
      </w:pPr>
      <w:r>
        <w:t xml:space="preserve">Protection-engineering literature:</w:t>
      </w:r>
    </w:p>
    <w:p>
      <w:pPr>
        <w:pStyle w:val="Compact"/>
        <w:numPr>
          <w:ilvl w:val="0"/>
          <w:numId w:val="1069"/>
        </w:numPr>
      </w:pPr>
      <w:r>
        <w:t xml:space="preserve">Brodeur, R., Petigny, S., and Magnier, P. — Transformer explosion mechanics and prevention. Primary references: CIGRE Working Group A2.33 papers on</w:t>
      </w:r>
      <w:r>
        <w:t xml:space="preserve"> </w:t>
      </w:r>
      <w:r>
        <w:t xml:space="preserve">“Transformer Fire Safety Practices”</w:t>
      </w:r>
      <w:r>
        <w:t xml:space="preserve"> </w:t>
      </w:r>
      <w:r>
        <w:t xml:space="preserve">(CIGRE Brochure 537, 2013); Petigny et al.,</w:t>
      </w:r>
      <w:r>
        <w:t xml:space="preserve"> </w:t>
      </w:r>
      <w:r>
        <w:t xml:space="preserve">“Pressure rise in transformer tanks during arc faults,”</w:t>
      </w:r>
      <w:r>
        <w:t xml:space="preserve"> </w:t>
      </w:r>
      <w:r>
        <w:t xml:space="preserve">CIGRE A2 Colloquium Bruges 2007 and successor papers; SERGI Transformer Protector technical white papers (2008–2018); Magnier and Petigny,</w:t>
      </w:r>
      <w:r>
        <w:t xml:space="preserve"> </w:t>
      </w:r>
      <w:r>
        <w:t xml:space="preserve">“Transformer Tank Rupture Prevention,”</w:t>
      </w:r>
      <w:r>
        <w:t xml:space="preserve"> </w:t>
      </w:r>
      <w:r>
        <w:t xml:space="preserve">CIGRE Session 2008 Paper A2-104. The Brodeur/Petigny/Magnier framework treats internal arc fault as a thermodynamic event with pressure-wave propagation at fluid speed of sound, distinguishing the actual failure mechanism from the capacitive-discharge misconception.</w:t>
      </w:r>
    </w:p>
    <w:p>
      <w:pPr>
        <w:pStyle w:val="FirstParagraph"/>
      </w:pPr>
      <w:r>
        <w:t xml:space="preserve">Cold-climate engineering data:</w:t>
      </w:r>
    </w:p>
    <w:p>
      <w:pPr>
        <w:pStyle w:val="Compact"/>
        <w:numPr>
          <w:ilvl w:val="0"/>
          <w:numId w:val="1070"/>
        </w:numPr>
      </w:pPr>
      <w:r>
        <w:t xml:space="preserve">ABB internal test reports on BIOTEMP cold-soak performance at –70°C / –94°F (cited in IEEE C57.147 supporting documents and manufacturer literature)</w:t>
      </w:r>
    </w:p>
    <w:p>
      <w:pPr>
        <w:pStyle w:val="FirstParagraph"/>
      </w:pPr>
      <w:r>
        <w:t xml:space="preserve">Pour-point depressant chemistry and environmental data:</w:t>
      </w:r>
    </w:p>
    <w:p>
      <w:pPr>
        <w:pStyle w:val="Compact"/>
        <w:numPr>
          <w:ilvl w:val="0"/>
          <w:numId w:val="1071"/>
        </w:numPr>
      </w:pPr>
      <w:r>
        <w:t xml:space="preserve">US Patent 5,658,864 — Biodegradable pour point depressants for industrial fluids derived from biodegradable base oils (biodegradable PAO chemistry for triglyceride base fluids)</w:t>
      </w:r>
    </w:p>
    <w:p>
      <w:pPr>
        <w:pStyle w:val="Compact"/>
        <w:numPr>
          <w:ilvl w:val="0"/>
          <w:numId w:val="1071"/>
        </w:numPr>
      </w:pPr>
      <w:r>
        <w:t xml:space="preserve">Petro-Canada Lubricants — Biodegradable fluids patents and supporting data on PMA + base-fluid synergistic biodegradation</w:t>
      </w:r>
    </w:p>
    <w:p>
      <w:pPr>
        <w:pStyle w:val="Compact"/>
        <w:numPr>
          <w:ilvl w:val="0"/>
          <w:numId w:val="1071"/>
        </w:numPr>
      </w:pPr>
      <w:r>
        <w:t xml:space="preserve">Meng et al. (2025),</w:t>
      </w:r>
      <w:r>
        <w:t xml:space="preserve"> </w:t>
      </w:r>
      <w:r>
        <w:t xml:space="preserve">“Persistence and Recovery of Polystyrene and Polymethyl Methacrylate Microplastic Toxicity on Diatoms,”</w:t>
      </w:r>
      <w:r>
        <w:t xml:space="preserve"> </w:t>
      </w:r>
      <w:r>
        <w:t xml:space="preserve">Toxics 13:376 — PMMA microplastic ecotoxicity baseline data</w:t>
      </w:r>
    </w:p>
    <w:p>
      <w:pPr>
        <w:pStyle w:val="FirstParagraph"/>
      </w:pPr>
      <w:r>
        <w:t xml:space="preserve">Manufacturer specifications:</w:t>
      </w:r>
    </w:p>
    <w:p>
      <w:pPr>
        <w:pStyle w:val="Compact"/>
        <w:numPr>
          <w:ilvl w:val="0"/>
          <w:numId w:val="1072"/>
        </w:numPr>
      </w:pPr>
      <w:r>
        <w:t xml:space="preserve">Cargill Envirotemp FR3 — high-oleic soybean natural ester</w:t>
      </w:r>
    </w:p>
    <w:p>
      <w:pPr>
        <w:pStyle w:val="Compact"/>
        <w:numPr>
          <w:ilvl w:val="0"/>
          <w:numId w:val="1072"/>
        </w:numPr>
      </w:pPr>
      <w:r>
        <w:t xml:space="preserve">M&amp;I Materials MIDEL eN 1215 (soybean), MIDEL eN 1204 (rapeseed)</w:t>
      </w:r>
    </w:p>
    <w:p>
      <w:pPr>
        <w:pStyle w:val="Compact"/>
        <w:numPr>
          <w:ilvl w:val="0"/>
          <w:numId w:val="1072"/>
        </w:numPr>
      </w:pPr>
      <w:r>
        <w:t xml:space="preserve">ABB BIOTEMP — high-oleic vegetable ester</w:t>
      </w:r>
    </w:p>
    <w:p>
      <w:pPr>
        <w:pStyle w:val="Compact"/>
        <w:numPr>
          <w:ilvl w:val="0"/>
          <w:numId w:val="1072"/>
        </w:numPr>
      </w:pPr>
      <w:r>
        <w:t xml:space="preserve">Reinhausen Vacutap — vacuum-interrupter on-load tap changer</w:t>
      </w:r>
    </w:p>
    <w:p>
      <w:pPr>
        <w:pStyle w:val="FirstParagraph"/>
      </w:pPr>
      <w:r>
        <w:t xml:space="preserve">Companion architectural documents:</w:t>
      </w:r>
    </w:p>
    <w:p>
      <w:pPr>
        <w:pStyle w:val="Compact"/>
        <w:numPr>
          <w:ilvl w:val="0"/>
          <w:numId w:val="1073"/>
        </w:numPr>
      </w:pPr>
      <w:r>
        <w:t xml:space="preserve">12 Hz AC Backbone Grid Architecture (primary architectural paper)</w:t>
      </w:r>
    </w:p>
    <w:p>
      <w:pPr>
        <w:pStyle w:val="Compact"/>
        <w:numPr>
          <w:ilvl w:val="0"/>
          <w:numId w:val="1073"/>
        </w:numPr>
      </w:pPr>
      <w:r>
        <w:t xml:space="preserve">AC vs. DC Distribution Comparative Analysis (companion paper)</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2026-07-03T07:06:39Z</dcterms:created>
  <dcterms:modified xsi:type="dcterms:W3CDTF">2026-07-03T07:06:39Z</dcterms:modified>
</cp:coreProperties>
</file>

<file path=docProps/custom.xml><?xml version="1.0" encoding="utf-8"?>
<Properties xmlns="http://schemas.openxmlformats.org/officeDocument/2006/custom-properties" xmlns:vt="http://schemas.openxmlformats.org/officeDocument/2006/docPropsVTypes"/>
</file>