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mbria" w:cs="Cambria" w:eastAsia="Cambria" w:hAnsi="Cambria"/>
          <w:b/>
          <w:bCs/>
          <w:color w:val="1F3864"/>
          <w:sz w:val="40"/>
          <w:szCs w:val="40"/>
        </w:rPr>
        <w:t xml:space="preserve">Commodity-Steel Transformers at 12 Hz:</w:t>
      </w:r>
    </w:p>
    <w:p>
      <w:pPr>
        <w:spacing w:after="200"/>
        <w:jc w:val="center"/>
      </w:pPr>
      <w:r>
        <w:rPr>
          <w:rFonts w:ascii="Cambria" w:cs="Cambria" w:eastAsia="Cambria" w:hAnsi="Cambria"/>
          <w:b/>
          <w:bCs/>
          <w:color w:val="1F3864"/>
          <w:sz w:val="40"/>
          <w:szCs w:val="40"/>
        </w:rPr>
        <w:t xml:space="preserve">Breaking the GOES Bottleneck</w:t>
      </w:r>
    </w:p>
    <w:p>
      <w:pPr>
        <w:spacing w:after="200"/>
        <w:jc w:val="center"/>
      </w:pPr>
      <w:r>
        <w:rPr>
          <w:rFonts w:ascii="Cambria" w:cs="Cambria" w:eastAsia="Cambria" w:hAnsi="Cambria"/>
          <w:b/>
          <w:bCs/>
          <w:color w:val="1F3864"/>
          <w:sz w:val="40"/>
          <w:szCs w:val="40"/>
        </w:rPr>
        <w:t xml:space="preserve">Using Proven Bahnstrom Principles</w:t>
      </w:r>
    </w:p>
    <w:p>
      <w:pPr>
        <w:spacing w:after="400"/>
        <w:jc w:val="center"/>
      </w:pPr>
      <w:r>
        <w:rPr>
          <w:rFonts w:ascii="Cambria" w:cs="Cambria" w:eastAsia="Cambria" w:hAnsi="Cambria"/>
          <w:i/>
          <w:iCs/>
          <w:color w:val="666666"/>
          <w:sz w:val="28"/>
          <w:szCs w:val="28"/>
        </w:rPr>
        <w:t xml:space="preserve">A Technical White Paper on Low-Frequency AC Grid Architecture</w:t>
      </w:r>
    </w:p>
    <w:p>
      <w:pPr>
        <w:spacing w:after="100"/>
        <w:jc w:val="center"/>
      </w:pPr>
      <w:r>
        <w:rPr>
          <w:rFonts w:ascii="Cambria" w:cs="Cambria" w:eastAsia="Cambria" w:hAnsi="Cambria"/>
          <w:i/>
          <w:iCs/>
          <w:color w:val="666666"/>
          <w:sz w:val="28"/>
          <w:szCs w:val="28"/>
        </w:rPr>
        <w:t xml:space="preserve">for Rapid Grid Deployment from Domestic Materials</w:t>
      </w:r>
    </w:p>
    <w:p>
      <w:pPr>
        <w:spacing w:after="200" w:before="600"/>
        <w:jc w:val="center"/>
      </w:pPr>
      <w:r>
        <w:rPr>
          <w:rFonts w:ascii="Cambria" w:cs="Cambria" w:eastAsia="Cambria" w:hAnsi="Cambria"/>
          <w:color w:val="999999"/>
          <w:sz w:val="24"/>
          <w:szCs w:val="24"/>
        </w:rPr>
        <w:t xml:space="preserve">March 2026 — Revision 2</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200"/>
      </w:pPr>
      <w:r>
        <w:rPr>
          <w:rFonts w:ascii="Cambria" w:cs="Cambria" w:eastAsia="Cambria" w:hAnsi="Cambria"/>
          <w:sz w:val="24"/>
          <w:szCs w:val="24"/>
        </w:rPr>
        <w:t xml:space="preserve">The global electrical grid faces a binding supply-chain constraint: the shortage of grain-oriented electrical steel (GOES). This specialty alloy, required for transformer cores operating at 50/60 Hz, is produced by fewer than a dozen mills worldwide. The resulting transformer backlog—estimated by Wood Mackenzie at a 30% shortfall for power transformers, with lead times of 2.5–2.8 years—is throttling grid expansion in every industrialized and developing nation simultaneously. New generation capacity, including data centers, renewable installations, and industrial loads, cannot be connected to existing grids because the transformers to serve them do not exist and cannot be manufactured fast enough.</w:t>
      </w:r>
    </w:p>
    <w:p>
      <w:pPr>
        <w:spacing w:after="200"/>
      </w:pPr>
      <w:r>
        <w:rPr>
          <w:rFonts w:ascii="Cambria" w:cs="Cambria" w:eastAsia="Cambria" w:hAnsi="Cambria"/>
          <w:sz w:val="24"/>
          <w:szCs w:val="24"/>
        </w:rPr>
        <w:t xml:space="preserve">This paper proposes a solution grounded in 113 years of operational precedent: low-frequency AC grid architecture using commodity mild steel transformers. The European Bahnstrom railway electrification system has operated at 16.7 Hz since 1912 across Germany, Austria, Switzerland, Sweden, and Norway, demonstrating every component of the proposed architecture at national scale and over generational time horizons. At 12 Hz—a frequency chosen to optimize commodity-steel core performance while remaining within the validated Bahnstrom engineering envelope—transformer cores can be wound from ordinary mild steel produced at scale by hundreds of mills worldwide. A 12 Hz transformer factory can be commissioned in 6–9 months. The entire GOES bottleneck is eliminated for initial deployment, while the same transformer designs support progressive core upgrades to non-oriented (NOES) and grain-oriented (GOES) electrical steel for improved efficiency as specialty steel supply permits.</w:t>
      </w:r>
    </w:p>
    <w:p>
      <w:r>
        <w:br w:type="page"/>
      </w:r>
    </w:p>
    <w:p>
      <w:pPr>
        <w:pStyle w:val="Heading1"/>
      </w:pPr>
      <w:r>
        <w:t xml:space="preserve">1. The GOES Bottleneck</w:t>
      </w:r>
    </w:p>
    <w:p>
      <w:pPr>
        <w:spacing w:after="200"/>
      </w:pPr>
      <w:r>
        <w:rPr>
          <w:rFonts w:ascii="Cambria" w:cs="Cambria" w:eastAsia="Cambria" w:hAnsi="Cambria"/>
          <w:sz w:val="24"/>
          <w:szCs w:val="24"/>
        </w:rPr>
        <w:t xml:space="preserve">Grain-oriented electrical steel is a silicon steel alloy with a crystallographic texture (Goss texture) that provides low core loss and high permeability along the rolling direction. It is the essential core material for transformers operating at power frequencies of 50 or 60 Hz. Global GOES production is concentrated in Japan (Nippon Steel, JFE), South Korea (POSCO), Germany (ThyssenKrupp), Russia (NLMK), and China (Baowu, Shougang). U.S. production is limited, primarily Cleveland-Cliffs (formerly AK Steel).</w:t>
      </w:r>
    </w:p>
    <w:p>
      <w:pPr>
        <w:spacing w:after="200"/>
      </w:pPr>
      <w:r>
        <w:rPr>
          <w:rFonts w:ascii="Cambria" w:cs="Cambria" w:eastAsia="Cambria" w:hAnsi="Cambria"/>
          <w:sz w:val="24"/>
          <w:szCs w:val="24"/>
        </w:rPr>
        <w:t xml:space="preserve">The supply-demand imbalance is structural, not cyclical. Since 2019, demand for U.S. power transformers has surged 116%, generator step-up transformers 274%, and pad-mount distribution transformers 39–77% by specification. Lead times for power transformers remain at approximately 2.5 years; generator step-up units at 2.8 years. Imports account for 80% of U.S. power transformer supply and 50% of distribution transformer supply. More than half of U.S. distribution transformers—roughly 40 million units—are beyond their expected service life, adding replacement demand on top of new-build requirements. Wood Mackenzie projects marginal shortage across most specifications through 2030 even with planned manufacturing expansion.</w:t>
      </w:r>
    </w:p>
    <w:p>
      <w:pPr>
        <w:spacing w:after="200"/>
      </w:pPr>
      <w:r>
        <w:rPr>
          <w:rFonts w:ascii="Cambria" w:cs="Cambria" w:eastAsia="Cambria" w:hAnsi="Cambria"/>
          <w:sz w:val="24"/>
          <w:szCs w:val="24"/>
        </w:rPr>
        <w:t xml:space="preserve">No amount of transformer factory construction solves this problem if the GOES is not available. The steel is the constraint. Every new factory competes for the same limited global GOES supply. The question is whether transformer cores can be built from something other than GOES—and the answer has been operating across Europe for over a century.</w:t>
      </w:r>
    </w:p>
    <w:p>
      <w:r>
        <w:br w:type="page"/>
      </w:r>
    </w:p>
    <w:p>
      <w:pPr>
        <w:pStyle w:val="Heading1"/>
      </w:pPr>
      <w:r>
        <w:t xml:space="preserve">2. The Bahnstrom Precedent: 113 Years at 16.7 Hz</w:t>
      </w:r>
    </w:p>
    <w:p>
      <w:pPr>
        <w:spacing w:after="200"/>
      </w:pPr>
      <w:r>
        <w:rPr>
          <w:rFonts w:ascii="Cambria" w:cs="Cambria" w:eastAsia="Cambria" w:hAnsi="Cambria"/>
          <w:sz w:val="24"/>
          <w:szCs w:val="24"/>
        </w:rPr>
        <w:t xml:space="preserve">The German Bahnstrom (railway current) system was established in 1912 and operates continuously today as a dedicated single-phase 16.7 Hz (originally 16⅔ Hz), 110 kV AC transmission grid powering the Deutsche Bahn rail network. The system includes dedicated generation (both 16.7 Hz power plants and rotary frequency converters from the 50 Hz grid), a 110 kV transmission backbone spanning thousands of kilometers, substations and distribution infrastructure at multiple voltage levels, and complete protection and control systems. Identical or compatible 16.7 Hz networks operate in Austria (ÖBB), Switzerland (SBB), Sweden (Trafikverket), and Norway (Bane NOR), forming a multinational low-frequency AC grid.</w:t>
      </w:r>
    </w:p>
    <w:p>
      <w:pPr>
        <w:spacing w:after="200"/>
      </w:pPr>
      <w:r>
        <w:rPr>
          <w:rFonts w:ascii="Cambria" w:cs="Cambria" w:eastAsia="Cambria" w:hAnsi="Cambria"/>
          <w:sz w:val="24"/>
          <w:szCs w:val="24"/>
        </w:rPr>
        <w:t xml:space="preserve">The Bahnstrom system validates every component required for a general-purpose low-frequency grid: transformer design and manufacturing at transmission and distribution voltage levels; synchronous machine frequency conversion (50 Hz to 16.7 Hz motor-generator sets, operational since the 1920s); electromechanical relay protection at low frequency; long-distance AC transmission with passive reactive power compensation; mechanical switchgear and circuit breakers rated for low-frequency duty; and integration with the conventional 50 Hz grid at defined interface points.</w:t>
      </w:r>
    </w:p>
    <w:p>
      <w:pPr>
        <w:spacing w:after="200"/>
      </w:pPr>
      <w:r>
        <w:rPr>
          <w:rFonts w:ascii="Cambria" w:cs="Cambria" w:eastAsia="Cambria" w:hAnsi="Cambria"/>
          <w:sz w:val="24"/>
          <w:szCs w:val="24"/>
        </w:rPr>
        <w:t xml:space="preserve">The critical insight is that Bahnstrom transformers do not require GOES. At 16.7 Hz, the lower frequency permits larger core cross-sections using steel grades that are not economical at 50/60 Hz but are perfectly adequate at low frequency. The same principle applies with even greater margin at 12 Hz: the further reduction in frequency permits still larger cores wound from ordinary commodity mild steel, the kind produced at scale by structural steel mills worldwide.</w:t>
      </w:r>
    </w:p>
    <w:p>
      <w:r>
        <w:br w:type="page"/>
      </w:r>
    </w:p>
    <w:p>
      <w:pPr>
        <w:pStyle w:val="Heading1"/>
      </w:pPr>
      <w:r>
        <w:t xml:space="preserve">3. 12 Hz Architecture: Technical Parameters</w:t>
      </w:r>
    </w:p>
    <w:p>
      <w:pPr>
        <w:pStyle w:val="Heading2"/>
      </w:pPr>
      <w:r>
        <w:t xml:space="preserve">3.1 Frequency Selection</w:t>
      </w:r>
    </w:p>
    <w:p>
      <w:pPr>
        <w:spacing w:after="200"/>
      </w:pPr>
      <w:r>
        <w:rPr>
          <w:rFonts w:ascii="Cambria" w:cs="Cambria" w:eastAsia="Cambria" w:hAnsi="Cambria"/>
          <w:sz w:val="24"/>
          <w:szCs w:val="24"/>
        </w:rPr>
        <w:t xml:space="preserve">The 12 Hz operating point is chosen to optimize three factors: (a) maximum relaxation of core material requirements, permitting commodity mild steel; (b) sufficiently high frequency to avoid excessive transformer size at transmission voltage levels; and (c) proximity to the validated Bahnstrom envelope. At 12 Hz, core cross-sections are approximately 4.17x those of equivalent 50 Hz units and 1.39x those of 16.7 Hz Bahnstrom units. The 12 Hz point is comfortably within the low-frequency engineering design space that Bahnstrom has validated for over a century, while providing a more favorable commodity-steel operating point than 16.7 Hz.</w:t>
      </w:r>
    </w:p>
    <w:p>
      <w:pPr>
        <w:spacing w:after="200"/>
      </w:pPr>
      <w:r>
        <w:rPr>
          <w:rFonts w:ascii="Cambria" w:cs="Cambria" w:eastAsia="Cambria" w:hAnsi="Cambria"/>
          <w:sz w:val="24"/>
          <w:szCs w:val="24"/>
        </w:rPr>
        <w:t xml:space="preserve">For grids interfacing with 60 Hz end-use networks (North America), 12 Hz offers a specific advantage: 60/5 = 12, a clean integer ratio. This enables gearbox-free rotary frequency converters through simple pole-count matching—a 12 Hz synchronous motor with 2 poles runs at 720 RPM, a 60 Hz generator with 10 poles also runs at 720 RPM, sharing a common shaft with no mechanical gearbox. (The European Bahnstrom choice of 16⅔ Hz was optimized for 50 Hz grids: 50/3 = 16.67. The analogous optimization for 60 Hz grids yields 12 Hz.) For 50 Hz grids, the 12 Hz backbone interfaces through the same rotary converter approach with a 50/12 frequency ratio, using appropriate pole-count combinations.</w:t>
      </w:r>
    </w:p>
    <w:p>
      <w:pPr>
        <w:spacing w:after="200"/>
      </w:pPr>
      <w:r>
        <w:rPr>
          <w:rFonts w:ascii="Cambria" w:cs="Cambria" w:eastAsia="Cambria" w:hAnsi="Cambria"/>
          <w:sz w:val="24"/>
          <w:szCs w:val="24"/>
        </w:rPr>
        <w:t xml:space="preserve">The lower frequency also provides a direct transmission advantage. The angular stability limit for power transfer over a given AC line distance is governed by the line reactance X = 2πfL × distance. Lower frequency means lower reactance, which means more power can be transmitted over longer distances before reaching stability limits. A 12 Hz backbone can push more power farther than a 50 Hz equivalent before requiring series compensation or intermediate switching stations. This makes 12 Hz particularly advantageous for large-territory national grids.</w:t>
      </w:r>
    </w:p>
    <w:p>
      <w:pPr>
        <w:spacing w:after="200"/>
      </w:pPr>
      <w:r>
        <w:rPr>
          <w:rFonts w:ascii="Cambria" w:cs="Cambria" w:eastAsia="Cambria" w:hAnsi="Cambria"/>
          <w:sz w:val="24"/>
          <w:szCs w:val="24"/>
        </w:rPr>
        <w:t xml:space="preserve">The transformer core cost comparison, taken in isolation, favors 12 Hz despite the larger core volume. Approximate market pricing: hot-rolled commodity steel at $600–900/tonne; non-oriented electrical steel (NOES) at $1,200–2,000/tonne; grain-oriented electrical steel (GOES) at $3,000–6,000/tonne, with premium grades exceeding $8,000/tonne. A 12 Hz transformer with 5x the core volume of a 50 Hz equivalent, built from NOES at $1,500/tonne, costs approximately 1.5x more in core material than the 50 Hz unit built from GOES at $5,000/tonne. That is the transformer cost delta, and it is modest. But the transformers are dramatically faster to source, build, and repair—weeks versus years—because the steel is commodity industrial material available from dozens of suppliers, not a specialty alloy from a global queue. And the same transformer designs accept progressive re-coring to NOES or GOES as supply permits, recovering the efficiency difference over time at the operator’s discretion.</w:t>
      </w:r>
    </w:p>
    <w:p>
      <w:pPr>
        <w:spacing w:after="200"/>
      </w:pPr>
      <w:r>
        <w:rPr>
          <w:rFonts w:ascii="Cambria" w:cs="Cambria" w:eastAsia="Cambria" w:hAnsi="Cambria"/>
          <w:sz w:val="24"/>
          <w:szCs w:val="24"/>
        </w:rPr>
        <w:t xml:space="preserve">However, the transformer core is only one component of total grid cost. The 12 Hz architecture enables 600V-class three-phase distribution to the building panel (see Section 3.6), which produces copper savings across the entire distribution and building wiring infrastructure that substantially exceed the transformer core premium. Wire losses scale as 1/V²: at 600V versus 120V, the same power delivery requires one-twenty-fifth the copper losses, or equivalently, far less copper for the same loss budget. Across a national grid comprising millions of kilometers of distribution wiring and billions of meters of building wire, the copper savings from 600V distribution represent an enormous material and cost reduction that dwarfs the incremental iron in the transformers. When the elimination of entire transformer tiers (the service entrance transformer disappears in the final-state architecture) is factored in, the total system material cost of a 12 Hz / 600V grid is potentially lower than a conventional 50/60 Hz / 120–240V grid, not higher—while being faster to build, easier to source, and simpler to repair.</w:t>
      </w:r>
    </w:p>
    <w:p>
      <w:pPr>
        <w:pStyle w:val="Heading2"/>
      </w:pPr>
      <w:r>
        <w:t xml:space="preserve">3.2 Transformer Design</w:t>
      </w:r>
    </w:p>
    <w:p>
      <w:pPr>
        <w:spacing w:after="200"/>
      </w:pPr>
      <w:r>
        <w:rPr>
          <w:rFonts w:ascii="Cambria" w:cs="Cambria" w:eastAsia="Cambria" w:hAnsi="Cambria"/>
          <w:sz w:val="24"/>
          <w:szCs w:val="24"/>
        </w:rPr>
        <w:t xml:space="preserve">12 Hz transformer cores use laminated mild steel (A36 or equivalent structural grades) or commodity non-oriented electrical steel. Copper windings (approximately $8–10/kg for commodity copper wire, $12–18/kg for continuously transposed conductor), conventional oil or dry-type insulation, and standard cooling systems (radiators, fans, oil pumps) are unchanged from 50 Hz practice. The cores are physically larger but require no exotic materials and can be fabricated on standard industrial lamination-stacking and coil-winding equipment. A factory producing 12 Hz transformers draws on the same supply chain as structural steel construction—not the constrained GOES supply chain.</w:t>
      </w:r>
    </w:p>
    <w:p>
      <w:pPr>
        <w:spacing w:after="200"/>
      </w:pPr>
      <w:r>
        <w:rPr>
          <w:rFonts w:ascii="Cambria" w:cs="Cambria" w:eastAsia="Cambria" w:hAnsi="Cambria"/>
          <w:sz w:val="24"/>
          <w:szCs w:val="24"/>
        </w:rPr>
        <w:t xml:space="preserve">Factory commissioning timeline: 6–9 months from authorization to first unit off the line, because no long-lead specialty steel procurement is required. Contrast this with conventional transformer factories, which face 12–18 months for GOES procurement alone before manufacturing can begin. A complete 500 kVA distribution-class 12 Hz transformer can be field-built for $2,000–$8,000 in materials and labor; a comparable 50 Hz unit with GOES core costs $5,000–$15,000 and requires factory procurement with weeks-to-months lead time.</w:t>
      </w:r>
    </w:p>
    <w:p>
      <w:pPr>
        <w:spacing w:after="200"/>
      </w:pPr>
      <w:r>
        <w:rPr>
          <w:rFonts w:ascii="Cambria" w:cs="Cambria" w:eastAsia="Cambria" w:hAnsi="Cambria"/>
          <w:sz w:val="24"/>
          <w:szCs w:val="24"/>
        </w:rPr>
        <w:t xml:space="preserve">Critically, the 12 Hz transformer design supports a progressive core material upgrade path. The initial rapid-deployment units use commodity mild steel for maximum speed and supply-chain independence. As operations stabilize and specialty steel becomes available, the same transformer winding and tank designs accept upgraded cores using non-oriented electrical steel (NOES) for improved efficiency, and ultimately grain-oriented electrical steel (GOES) for optimal core loss performance. The mechanical dimensions, winding configurations, insulation systems, and cooling arrangements are unchanged across all three core grades—only the lamination material is substituted. This means that transformers deployed in an emergency from commodity steel on Day One can be progressively replaced or re-cored with NOES or GOES units as the grid matures and as specialty steel supply permits, without any change to the substation infrastructure, protection settings, or system design. The 12 Hz architecture thus does not reject GOES; it removes GOES as a prerequisite for deployment while preserving it as a performance upgrade for the long term.</w:t>
      </w:r>
    </w:p>
    <w:p>
      <w:pPr>
        <w:spacing w:after="200"/>
      </w:pPr>
      <w:r>
        <w:rPr>
          <w:rFonts w:ascii="Cambria" w:cs="Cambria" w:eastAsia="Cambria" w:hAnsi="Cambria"/>
          <w:sz w:val="24"/>
          <w:szCs w:val="24"/>
        </w:rPr>
        <w:t xml:space="preserve">The larger core dimensions of 12 Hz transformers also enable a modular, segmented core construction. Rather than manufacturing and shipping a monolithic core assembly—which at transmission voltage levels can weigh hundreds of tons and require specialized heavy-haul transport—12 Hz cores can be designed as stackable segments, each sized for standard container or flatbed truck transport. Segments are manufactured in the factory, shipped individually using conventional logistics, and assembled on-site by bolting or clamping the segments together into the complete core stack before winding installation. This segmented approach solves one of the most persistent logistics problems in conventional transformer deployment: the “last mile” transport of oversized, overweight units that require route surveys, bridge load ratings, escort vehicles, and months of permitting. A 12 Hz transformer arrives at the substation on standard trucks, is assembled by a trained crew with conventional lifting equipment, and is energized days later. The same modularity that simplifies initial deployment also simplifies the future re-coring upgrade path: individual core segments can be swapped from commodity steel to NOES or GOES without disassembling the entire unit, reducing the upgrade from a factory rebuild to a field service operation.</w:t>
      </w:r>
    </w:p>
    <w:p>
      <w:pPr>
        <w:pStyle w:val="Heading2"/>
      </w:pPr>
      <w:r>
        <w:t xml:space="preserve">3.3 Supply Chain Resilience</w:t>
      </w:r>
    </w:p>
    <w:p>
      <w:pPr>
        <w:spacing w:after="200"/>
      </w:pPr>
      <w:r>
        <w:rPr>
          <w:rFonts w:ascii="Cambria" w:cs="Cambria" w:eastAsia="Cambria" w:hAnsi="Cambria"/>
          <w:sz w:val="24"/>
          <w:szCs w:val="24"/>
        </w:rPr>
        <w:t xml:space="preserve">The 12 Hz backbone operates with passive electromagnetic voltage regulation and reactive power compensation: on-load tap changers (mechanical), synchronous condensers, and mechanically-switched capacitor banks. Protection is electromechanical (relays $50–$500 each, oil circuit breakers $1,000–$50,000 depending on voltage class). This architecture copes extremely well with chip shortages and semiconductor supply disruptions, because the critical power path—generation, transmission, distribution, protection, and switching—does not depend on semiconductor availability. In conventional grids, a chip shortage can delay HVDC converter stations, FACTS installations, and digital relay replacements by months or years, stalling grid expansion and degrading reliability. In the 12 Hz architecture, the grid continues to operate and expand using electromechanical components sourced from broad industrial supply chains unaffected by semiconductor market conditions. Optional digital monitoring overlays for operational optimization can be added when chips are available, upgraded when better chips arrive, or removed entirely without affecting grid operation. A chip supply disruption is an inconvenience to the optimization layer, not a threat to the power system.</w:t>
      </w:r>
    </w:p>
    <w:p>
      <w:pPr>
        <w:spacing w:after="200"/>
      </w:pPr>
      <w:r>
        <w:rPr>
          <w:rFonts w:ascii="Cambria" w:cs="Cambria" w:eastAsia="Cambria" w:hAnsi="Cambria"/>
          <w:sz w:val="24"/>
          <w:szCs w:val="24"/>
        </w:rPr>
        <w:t xml:space="preserve">Maintenance of the backbone requires only commodity tools and trade-level skills: annual oil sampling ($50–$100 per test), visual inspection, gasket replacement ($20–$100), and surge arrester replacement after lightning events ($50–$200 per arrester). Total maintenance equipment cost per technician: under $1,500 (oil sampling kit $200–$400, megger $300–$800, hand tools $200–$500). A technician can be trained for routine transformer maintenance in one to two weeks; a transformer winder in three to six months. The maintenance workforce draws from the same labor pool as diesel generator mechanics, welders, and construction electricians.</w:t>
      </w:r>
    </w:p>
    <w:p>
      <w:pPr>
        <w:pStyle w:val="Heading2"/>
      </w:pPr>
      <w:r>
        <w:t xml:space="preserve">3.4 Generation Interface</w:t>
      </w:r>
    </w:p>
    <w:p>
      <w:pPr>
        <w:spacing w:after="200"/>
      </w:pPr>
      <w:r>
        <w:rPr>
          <w:rFonts w:ascii="Cambria" w:cs="Cambria" w:eastAsia="Cambria" w:hAnsi="Cambria"/>
          <w:sz w:val="24"/>
          <w:szCs w:val="24"/>
        </w:rPr>
        <w:t xml:space="preserve">Existing 50 Hz generation assets interface with a 12 Hz backbone through rotary frequency converters—motor-generator sets of the type used in the Bahnstrom system since the 1920s for 50/16.7 Hz conversion. New generation can be built with 12 Hz synchronous generators using standard machine designs with appropriate pole counts. Solar and wind generation interface through DC-to-12Hz power electronics ($0.03–$0.08 per watt at utility scale), which are simpler than DC-to-50Hz equivalents due to reduced switching frequency and relaxed harmonic filtering requirements. The solar inverter is the only semiconductor device in the generation-to-consumer power path—distributed across many sites, individually small and replaceable. If solar inverter imports are disrupted, the backbone continues operating on any AC-native generation source (hydro, wind, biomass, thermal) without any semiconductor interface.</w:t>
      </w:r>
    </w:p>
    <w:p>
      <w:pPr>
        <w:pStyle w:val="Heading2"/>
      </w:pPr>
      <w:r>
        <w:t xml:space="preserve">3.5 Sodium-Ion Storage Integration</w:t>
      </w:r>
    </w:p>
    <w:p>
      <w:pPr>
        <w:spacing w:after="200"/>
      </w:pPr>
      <w:r>
        <w:rPr>
          <w:rFonts w:ascii="Cambria" w:cs="Cambria" w:eastAsia="Cambria" w:hAnsi="Cambria"/>
          <w:sz w:val="24"/>
          <w:szCs w:val="24"/>
        </w:rPr>
        <w:t xml:space="preserve">Grid-scale sodium-ion battery storage (commercially available from multiple manufacturers including CATL’s Naxtra line at approximately $80–$120/kWh at cell level; sodium, iron, and manganese chemistry; sanctions-proof raw materials; -40°C to 70°C operating range; 175 Wh/kg; 10,000+ cycle life) interfaces with the 12 Hz backbone through bidirectional inverters providing grid-forming capability, frequency regulation, and black-start services. The lower backbone frequency reduces switching losses in the battery-to-grid power electronics interface, improving round-trip efficiency. Sodium-ion chemistry eliminates lithium supply-chain dependencies, thermal runaway risk, and cobalt/nickel sourcing concerns. A 100 kWh village-level installation costs approximately $10,000–$15,000 for cells plus $2,000–$5,000 for battery management system, enclosure, and wiring.</w:t>
      </w:r>
    </w:p>
    <w:p>
      <w:pPr>
        <w:pStyle w:val="Heading2"/>
      </w:pPr>
      <w:r>
        <w:t xml:space="preserve">3.6 High-Voltage Distribution and Consumer Voltage</w:t>
      </w:r>
    </w:p>
    <w:p>
      <w:pPr>
        <w:spacing w:after="200"/>
      </w:pPr>
      <w:r>
        <w:rPr>
          <w:rFonts w:ascii="Cambria" w:cs="Cambria" w:eastAsia="Cambria" w:hAnsi="Cambria"/>
          <w:sz w:val="24"/>
          <w:szCs w:val="24"/>
        </w:rPr>
        <w:t xml:space="preserve">A clean-sheet 12 Hz grid enables a distribution voltage architecture that eliminates an entire tier of transformation and delivers substantial efficiency gains. The target is 600V-class three-phase wye, delivered directly to the building panel. 600V is the equipment rating ceiling (standard building wire THHN/THWN and NM-B is rated for 600V; 600V breakers are commodity industrial items), not the nominal operating voltage.</w:t>
      </w:r>
    </w:p>
    <w:p>
      <w:pPr>
        <w:spacing w:after="200"/>
      </w:pPr>
      <w:r>
        <w:rPr>
          <w:rFonts w:ascii="Cambria" w:cs="Cambria" w:eastAsia="Cambria" w:hAnsi="Cambria"/>
          <w:sz w:val="24"/>
          <w:szCs w:val="24"/>
        </w:rPr>
        <w:t xml:space="preserve">Distribution output is set at approximately 575–580V nominal line-to-line, allowing for 5–10% voltage drop along the distribution line. The near consumer sees approximately 570–580V line-to-line (329–335V line-to-neutral). The far consumer after line losses sees approximately 530–550V line-to-line (306–318V line-to-neutral). This is standard utility practice—North American “120V” actually delivers 114–126V; European “230V” delivers 207–253V.</w:t>
      </w:r>
    </w:p>
    <w:p>
      <w:pPr>
        <w:spacing w:after="200"/>
      </w:pPr>
      <w:r>
        <w:rPr>
          <w:rFonts w:ascii="Cambria" w:cs="Cambria" w:eastAsia="Cambria" w:hAnsi="Cambria"/>
          <w:sz w:val="24"/>
          <w:szCs w:val="24"/>
        </w:rPr>
        <w:t xml:space="preserve">The efficiency implications are fundamental: for a given power delivery, current scales as 1/V, and wire losses (I²R) scale as 1/V². At 600V, the same wire carries 5x the power with 1/25th the loss compared to 120V. Across a national grid comprising millions of kilometers of distribution wiring and billions of meters of building wire, the copper savings from 600V distribution dwarf the incremental iron in the transformers.</w:t>
      </w:r>
    </w:p>
    <w:p>
      <w:pPr>
        <w:spacing w:after="200"/>
      </w:pPr>
      <w:r>
        <w:rPr>
          <w:rFonts w:ascii="Cambria" w:cs="Cambria" w:eastAsia="Cambria" w:hAnsi="Cambria"/>
          <w:sz w:val="24"/>
          <w:szCs w:val="24"/>
        </w:rPr>
        <w:t xml:space="preserve">At the building entrance, optional rectification from line-to-neutral AC (306–335V depending on position on the distribution line) to DC is achievable through a simple bridge rectifier ($5–20, four diodes in a package). The resulting DC voltage ranges from approximately 280V (far consumer) to approximately 325V (near consumer). This entire range falls within the ETSI EN300-132-3-1 acceptance window of 260–400V DC, the standard that defines the 380V DC data center bus. Every piece of 380V DC-rated equipment—server power supplies, DC LED drivers, DC appliances, battery charge controllers—operates natively on the rectified output of the 12 Hz system without modification, without adapters, and without voltage regulation electronics at the building entrance. The natural voltage variation of the AC distribution system is absorbed entirely by the DC equipment’s designed input tolerance.</w:t>
      </w:r>
    </w:p>
    <w:p>
      <w:pPr>
        <w:spacing w:after="200"/>
      </w:pPr>
      <w:r>
        <w:rPr>
          <w:rFonts w:ascii="Cambria" w:cs="Cambria" w:eastAsia="Cambria" w:hAnsi="Cambria"/>
          <w:sz w:val="24"/>
          <w:szCs w:val="24"/>
        </w:rPr>
        <w:t xml:space="preserve">This compatibility is not coincidental. The 380V DC standard was designed with a wide acceptance band because data center engineers knew their equipment would be fed from varying AC sources worldwide. The 12 Hz distribution voltage variation maps directly onto the standard’s acceptance band. This means the 12 Hz AC grid natively feeds the growing global ecosystem of 380V DC components—the same components that serve data centers, battery systems (350–450V packs connect directly to the DC bus), USB-C power delivery (standard 19:1 step-down from 380V), and DC-native appliances. No system modification is needed to deliver 380V line-to-neutral, which would require 380 × √3 = 658V line-to-line—exceeding the 600V wire rating and pushing into 1000V-class industrial components. The three-phase wye geometry delivers the target voltage through trigonometry, not through a conversion device.</w:t>
      </w:r>
    </w:p>
    <w:p>
      <w:pPr>
        <w:spacing w:after="200"/>
      </w:pPr>
      <w:r>
        <w:rPr>
          <w:rFonts w:ascii="Cambria" w:cs="Cambria" w:eastAsia="Cambria" w:hAnsi="Cambria"/>
          <w:sz w:val="24"/>
          <w:szCs w:val="24"/>
        </w:rPr>
        <w:t xml:space="preserve">In the final-state architecture (12 Hz / 600V-class to the panel), the service entrance transformer is eliminated entirely. Distribution outputs the wye voltage directly down the street and into every panel. The entire distribution level between the last transformer and the consumer’s breaker panel is just wire—no transformers, no conversion, no iron, no losses, no points of failure. Each transformation stage eliminated removes iron that doesn’t need to be manufactured, losses that aren’t taken, and a failure point that doesn’t need to be maintained.</w:t>
      </w:r>
    </w:p>
    <w:p>
      <w:pPr>
        <w:pStyle w:val="Heading2"/>
      </w:pPr>
      <w:r>
        <w:t xml:space="preserve">3.7 End-Use Compatibility and Transition Path</w:t>
      </w:r>
    </w:p>
    <w:p>
      <w:pPr>
        <w:spacing w:after="200"/>
      </w:pPr>
      <w:r>
        <w:rPr>
          <w:rFonts w:ascii="Cambria" w:cs="Cambria" w:eastAsia="Cambria" w:hAnsi="Cambria"/>
          <w:sz w:val="24"/>
          <w:szCs w:val="24"/>
        </w:rPr>
        <w:t xml:space="preserve">The transition from a 50/60 Hz consumer environment to native 12 Hz delivery is a natural evolution, not a forced conversion, because the majority of modern electrical loads are already frequency-independent or require only trivial modification. Approximately 30–40% of residential load is purely resistive (water heaters, ovens, baseboard heating, kettles, toasters) and operates identically at any frequency and any voltage within the 306–335V range. An additional 50–60% of residential load is served by switch-mode power supplies or inverter-driven motors (computers, LED lighting, televisions, phone chargers, modern refrigerators, heat pumps, washing machines, induction cooktops)—these devices rectify the incoming AC to a DC bus internally and are both frequency-independent and voltage-tolerant by design, typically accepting 100–277V AC or 260–400V DC input. Adapting them for 12 Hz input requires only a slightly larger input filter capacitor, a component change costing approximately $0.50–2.00 per device.</w:t>
      </w:r>
    </w:p>
    <w:p>
      <w:pPr>
        <w:spacing w:after="200"/>
      </w:pPr>
      <w:r>
        <w:rPr>
          <w:rFonts w:ascii="Cambria" w:cs="Cambria" w:eastAsia="Cambria" w:hAnsi="Cambria"/>
          <w:sz w:val="24"/>
          <w:szCs w:val="24"/>
        </w:rPr>
        <w:t xml:space="preserve">The remaining 10–20% of residential load consists of legacy bare induction motors (older refrigerator compressors, furnace blowers, ceiling fans, well pumps, pool pumps) that require 50/60 Hz for correct speed and torque. This category is already shrinking as modern efficiency standards push inverter drives into all motor applications. During the transition period, the neighborhood-level frequency converter handles these loads transparently. As legacy appliances reach end-of-life and are replaced with inverter-driven models—a natural replacement cycle of 10–20 years—the dependency on 50/60 Hz at the consumer level diminishes to near zero without any policy intervention or forced conversion.</w:t>
      </w:r>
    </w:p>
    <w:p>
      <w:pPr>
        <w:spacing w:after="200"/>
      </w:pPr>
      <w:r>
        <w:rPr>
          <w:rFonts w:ascii="Cambria" w:cs="Cambria" w:eastAsia="Cambria" w:hAnsi="Cambria"/>
          <w:sz w:val="24"/>
          <w:szCs w:val="24"/>
        </w:rPr>
        <w:t xml:space="preserve">For lighting, three-phase 600V-class service provides an elegant solution. In multi-lamp fixtures, wiring each lamp to a different phase produces mathematically zero flicker at any frequency, because balanced three-phase resistive loads sum to a constant: sin²(θ) + sin²(θ – 120°) + sin²(θ – 240°) = 3/2. Total light output is perfectly steady with no additional components—just wiring. LED lighting with standard drivers is frequency-independent by design. The net result is that native 12 Hz delivery is fully compatible with the modern and near-future appliance fleet, with the neighborhood converter providing seamless backward compatibility during the transition.</w:t>
      </w:r>
    </w:p>
    <w:p>
      <w:pPr>
        <w:spacing w:after="200"/>
      </w:pPr>
      <w:r>
        <w:rPr>
          <w:rFonts w:ascii="Cambria" w:cs="Cambria" w:eastAsia="Cambria" w:hAnsi="Cambria"/>
          <w:sz w:val="24"/>
          <w:szCs w:val="24"/>
        </w:rPr>
        <w:t xml:space="preserve">A key architectural property is that this transition is incremental and reversible at every stage. The 12 Hz backbone can be deployed one transmission corridor at a time, one region at a time, coexisting with the legacy grid through rotary converter interface points. Individual neighborhoods can be converted from 50/60 Hz distribution to native 12 Hz distribution independently, as their local appliance fleets become ready, without affecting adjacent areas. A single building can run native 12 Hz while its neighbor still receives 50/60 Hz from the same neighborhood converter. The conversion proceeds at whatever pace the local conditions permit—there is no “flag day” where the entire system must switch over simultaneously, and no point of no return. Each incremental step delivers immediate benefits (lower losses, reduced copper, simplified maintenance) while leaving the option open to continue, pause, or even reverse. This “convert a bit at a time” property makes the 12 Hz architecture deployable in any political, economic, or institutional context, from post-conflict emergency reconstruction to gradual domestic grid modernization.</w:t>
      </w:r>
    </w:p>
    <w:p>
      <w:r>
        <w:br w:type="page"/>
      </w:r>
    </w:p>
    <w:p>
      <w:pPr>
        <w:pStyle w:val="Heading1"/>
      </w:pPr>
      <w:r>
        <w:t xml:space="preserve">4. Applications</w:t>
      </w:r>
    </w:p>
    <w:p>
      <w:pPr>
        <w:pStyle w:val="Heading2"/>
      </w:pPr>
      <w:r>
        <w:t xml:space="preserve">4.1 Post-Conflict Reconstruction</w:t>
      </w:r>
    </w:p>
    <w:p>
      <w:pPr>
        <w:spacing w:after="200"/>
      </w:pPr>
      <w:r>
        <w:rPr>
          <w:rFonts w:ascii="Cambria" w:cs="Cambria" w:eastAsia="Cambria" w:hAnsi="Cambria"/>
          <w:sz w:val="24"/>
          <w:szCs w:val="24"/>
        </w:rPr>
        <w:t xml:space="preserve">A 12 Hz grid can be deployed faster than any conventional 50 Hz reconstruction because it removes the transformer procurement bottleneck entirely. In scenarios where existing grid infrastructure has been destroyed, the 12 Hz architecture offers a path to power restoration that is months faster than conventional approaches, because the factory can be stood up and producing transformers from local steel while conventional orders would still be in the GOES procurement queue. This has immediate humanitarian implications: faster power restoration to hospitals, water treatment, and critical infrastructure.</w:t>
      </w:r>
    </w:p>
    <w:p>
      <w:pPr>
        <w:pStyle w:val="Heading2"/>
      </w:pPr>
      <w:r>
        <w:t xml:space="preserve">4.2 Domestic Grid Expansion</w:t>
      </w:r>
    </w:p>
    <w:p>
      <w:pPr>
        <w:spacing w:after="200"/>
      </w:pPr>
      <w:r>
        <w:rPr>
          <w:rFonts w:ascii="Cambria" w:cs="Cambria" w:eastAsia="Cambria" w:hAnsi="Cambria"/>
          <w:sz w:val="24"/>
          <w:szCs w:val="24"/>
        </w:rPr>
        <w:t xml:space="preserve">For new grid segments—particularly serving data centers, industrial parks, and renewable generation interconnections—where the conventional transformer backlog prevents timely connection, a 12 Hz spur or subnet built from commodity-steel transformers offers a near-term alternative. The 12 Hz segment connects to the existing 60 Hz grid through rotary frequency converters at defined interface points, following the Bahnstrom model for 50/16.7 Hz interconnection.</w:t>
      </w:r>
    </w:p>
    <w:p>
      <w:pPr>
        <w:pStyle w:val="Heading2"/>
      </w:pPr>
      <w:r>
        <w:t xml:space="preserve">4.3 Resilient Infrastructure</w:t>
      </w:r>
    </w:p>
    <w:p>
      <w:pPr>
        <w:spacing w:after="200"/>
      </w:pPr>
      <w:r>
        <w:rPr>
          <w:rFonts w:ascii="Cambria" w:cs="Cambria" w:eastAsia="Cambria" w:hAnsi="Cambria"/>
          <w:sz w:val="24"/>
          <w:szCs w:val="24"/>
        </w:rPr>
        <w:t xml:space="preserve">The combination of commodity-steel transformers (field-repairable from locally available materials), modular segmented construction (transportable by standard truck, assemblable on-site), semiconductor-free protection (no chip supply-chain vulnerability), and electromechanical control produces a grid architecture with resilience properties that conventional grids cannot match. A damaged 12 Hz transformer can be fabricated or assembled on-site by a trained crew in days from segments shipped by standard transport; a damaged conventional transformer requires specialized heavy-haul delivery and a 2–3 year factory replacement. Individual core segments can be swapped in the field without replacing the entire unit, reducing repair from a capital project to a maintenance operation.</w:t>
      </w:r>
    </w:p>
    <w:p>
      <w:pPr>
        <w:pStyle w:val="Heading2"/>
      </w:pPr>
      <w:r>
        <w:t xml:space="preserve">4.4 Developing-Nation Electrification</w:t>
      </w:r>
    </w:p>
    <w:p>
      <w:pPr>
        <w:spacing w:after="200"/>
      </w:pPr>
      <w:r>
        <w:rPr>
          <w:rFonts w:ascii="Cambria" w:cs="Cambria" w:eastAsia="Cambria" w:hAnsi="Cambria"/>
          <w:sz w:val="24"/>
          <w:szCs w:val="24"/>
        </w:rPr>
        <w:t xml:space="preserve">In sub-Saharan Africa, where rural electrification rates are often below 20% and an estimated 600 million people lack access to electricity, the 12 Hz architecture addresses the binding constraints that conventional grid expansion cannot overcome: multi-year transformer procurement, scarcity of specialized engineers, dependence on imported components, and connection costs that exceed household income. A distribution-class 12 Hz transformer can be fabricated from local steel and copper at a workshop in the nearest city. A two-person crew installs it in 1–3 days. Training time: two weeks for installers, three to six months for winders. The skills draw from the existing pool of electricians, diesel mechanics, and welders—a pool that outnumbers university-educated power electronics engineers by approximately 500:1 in most African countries.</w:t>
      </w:r>
    </w:p>
    <w:p>
      <w:pPr>
        <w:spacing w:after="200"/>
      </w:pPr>
      <w:r>
        <w:rPr>
          <w:rFonts w:ascii="Cambria" w:cs="Cambria" w:eastAsia="Cambria" w:hAnsi="Cambria"/>
          <w:sz w:val="24"/>
          <w:szCs w:val="24"/>
        </w:rPr>
        <w:t xml:space="preserve">Across Africa, Pay-As-You-Go (PAYG) solar home systems are already deployed at scale—solar panels, batteries with mobile-payment kill switches, DC appliances, less than 5% default rates. These systems are DC at both endpoints, already working, already financed. What they lack is geographic interconnection: when one household’s battery is empty, it cannot draw from a neighbor’s surplus 50 km away. A hospital cannot access the collective solar generation of its district. The 12 Hz backbone provides the missing layer—connecting thousands of PAYG solar islands into a grid through passive transformers and commodity conductors, enabling geographic load redistribution without adding semiconductor dependency at the connection points.</w:t>
      </w:r>
    </w:p>
    <w:p>
      <w:pPr>
        <w:spacing w:after="200"/>
      </w:pPr>
      <w:r>
        <w:rPr>
          <w:rFonts w:ascii="Cambria" w:cs="Cambria" w:eastAsia="Cambria" w:hAnsi="Cambria"/>
          <w:sz w:val="24"/>
          <w:szCs w:val="24"/>
        </w:rPr>
        <w:t xml:space="preserve">Pakistan’s people-led solar revolution provides the deployment model precedent. Self-taught technicians, learning from YouTube tutorials and WhatsApp groups, deployed an estimated 24+ GW of distributed solar using hyperlocal supply chains through informal merchandise networks—more than Canada or the UK installed in five years. No factory-trained commissioning engineers. No foreign specialists. The 12 Hz backbone’s transformer winding and installation can be taught through the same practical, community-based skill transfer that scaled Pakistan’s solar deployment. The cognitive demands are comparable: mechanical aptitude, procedural discipline, and hands-on practice—not oscilloscope waveform interpretation or control loop tuning.</w:t>
      </w:r>
    </w:p>
    <w:p>
      <w:pPr>
        <w:pStyle w:val="Heading2"/>
      </w:pPr>
      <w:r>
        <w:t xml:space="preserve">4.5 Global Export</w:t>
      </w:r>
    </w:p>
    <w:p>
      <w:pPr>
        <w:spacing w:after="200"/>
      </w:pPr>
      <w:r>
        <w:rPr>
          <w:rFonts w:ascii="Cambria" w:cs="Cambria" w:eastAsia="Cambria" w:hAnsi="Cambria"/>
          <w:sz w:val="24"/>
          <w:szCs w:val="24"/>
        </w:rPr>
        <w:t xml:space="preserve">The GOES constraint is global. Every nation building or expanding grid capacity faces the same multi-year transformer backlog. The first country to commercialize a proven 12 Hz grid architecture—with validated transformer designs, manufacturing processes, protection schemes, and operational procedures—captures a global infrastructure market. The total addressable market for power and distribution transformers exceeds $50 billion annually. A commodity-steel alternative that can be manufactured anywhere from locally available materials fundamentally disrupts this market.</w:t>
      </w:r>
    </w:p>
    <w:p>
      <w:r>
        <w:br w:type="page"/>
      </w:r>
    </w:p>
    <w:p>
      <w:pPr>
        <w:pStyle w:val="Heading1"/>
      </w:pPr>
      <w:r>
        <w:t xml:space="preserve">5. Path to Validation</w:t>
      </w:r>
    </w:p>
    <w:p>
      <w:pPr>
        <w:spacing w:after="200"/>
      </w:pPr>
      <w:r>
        <w:rPr>
          <w:rFonts w:ascii="Cambria" w:cs="Cambria" w:eastAsia="Cambria" w:hAnsi="Cambria"/>
          <w:sz w:val="24"/>
          <w:szCs w:val="24"/>
        </w:rPr>
        <w:t xml:space="preserve">The 12 Hz architecture requires a focused validation program, not a fundamental research effort. The underlying physics are settled and the engineering is proven at 16.7 Hz over 113 years. The validation effort targets the specific 12 Hz parameters and modern integrations that the Bahnstrom system does not employ:</w:t>
      </w:r>
    </w:p>
    <w:p>
      <w:pPr>
        <w:spacing w:after="200"/>
      </w:pPr>
      <w:r>
        <w:rPr>
          <w:rFonts w:ascii="Cambria" w:cs="Cambria" w:eastAsia="Cambria" w:hAnsi="Cambria"/>
          <w:b/>
          <w:bCs/>
          <w:sz w:val="24"/>
          <w:szCs w:val="24"/>
        </w:rPr>
        <w:t xml:space="preserve">Phase 0 Pilot (6–7 months, ~$85M): </w:t>
      </w:r>
      <w:r>
        <w:rPr>
          <w:rFonts w:ascii="Cambria" w:cs="Cambria" w:eastAsia="Cambria" w:hAnsi="Cambria"/>
          <w:sz w:val="24"/>
          <w:szCs w:val="24"/>
        </w:rPr>
        <w:t xml:space="preserve">A 10 MW 12 Hz microgrid demonstration at a national laboratory validates commodity-steel transformer manufacturing at distribution and sub-transmission voltage levels, electromechanical relay protection coordination, synchronous condenser reactive power compensation, DC-to-12Hz solar interconnect, sodium-ion battery grid-forming operation, and 50/12 Hz rotary frequency converter interface. The pilot leverages 113 years of Bahnstrom data as the baseline and focuses on the delta between 16.7 Hz and 12 Hz, plus the modern storage and renewable integrations.</w:t>
      </w:r>
    </w:p>
    <w:p>
      <w:pPr>
        <w:spacing w:after="200"/>
      </w:pPr>
      <w:r>
        <w:rPr>
          <w:rFonts w:ascii="Cambria" w:cs="Cambria" w:eastAsia="Cambria" w:hAnsi="Cambria"/>
          <w:b/>
          <w:bCs/>
          <w:sz w:val="24"/>
          <w:szCs w:val="24"/>
        </w:rPr>
        <w:t xml:space="preserve">National Lab Feasibility Assessment (concurrent, 60 days): </w:t>
      </w:r>
      <w:r>
        <w:rPr>
          <w:rFonts w:ascii="Cambria" w:cs="Cambria" w:eastAsia="Cambria" w:hAnsi="Cambria"/>
          <w:sz w:val="24"/>
          <w:szCs w:val="24"/>
        </w:rPr>
        <w:t xml:space="preserve">Independent technical review by national laboratory staff producing a formal feasibility determination. This is the document that underwrites authorization for any larger deployment.</w:t>
      </w:r>
    </w:p>
    <w:p>
      <w:pPr>
        <w:spacing w:after="200"/>
      </w:pPr>
      <w:r>
        <w:rPr>
          <w:rFonts w:ascii="Cambria" w:cs="Cambria" w:eastAsia="Cambria" w:hAnsi="Cambria"/>
          <w:b/>
          <w:bCs/>
          <w:sz w:val="24"/>
          <w:szCs w:val="24"/>
        </w:rPr>
        <w:t xml:space="preserve">Full-Scale Deployment: </w:t>
      </w:r>
      <w:r>
        <w:rPr>
          <w:rFonts w:ascii="Cambria" w:cs="Cambria" w:eastAsia="Cambria" w:hAnsi="Cambria"/>
          <w:sz w:val="24"/>
          <w:szCs w:val="24"/>
        </w:rPr>
        <w:t xml:space="preserve">Upon pilot validation, the architecture is ready for deployment at any scale—from single-facility microgrids to national grid reconstruction—using commodity materials, proven manufacturing processes, and a trained workforce developed through the pilot program.</w:t>
      </w:r>
    </w:p>
    <w:p>
      <w:r>
        <w:br w:type="page"/>
      </w:r>
    </w:p>
    <w:p>
      <w:pPr>
        <w:pStyle w:val="Heading1"/>
      </w:pPr>
      <w:r>
        <w:t xml:space="preserve">6. Conclusion</w:t>
      </w:r>
    </w:p>
    <w:p>
      <w:pPr>
        <w:spacing w:after="200"/>
      </w:pPr>
      <w:r>
        <w:rPr>
          <w:rFonts w:ascii="Cambria" w:cs="Cambria" w:eastAsia="Cambria" w:hAnsi="Cambria"/>
          <w:sz w:val="24"/>
          <w:szCs w:val="24"/>
        </w:rPr>
        <w:t xml:space="preserve">The global transformer shortage is not a temporary supply-chain disruption. It is a structural constraint imposed by the limited global supply of grain-oriented electrical steel. Factory expansion does not solve it; new factories compete for the same constrained GOES supply. The only way to break the bottleneck is to build transformers from something other than GOES.</w:t>
      </w:r>
    </w:p>
    <w:p>
      <w:pPr>
        <w:spacing w:after="200"/>
      </w:pPr>
      <w:r>
        <w:rPr>
          <w:rFonts w:ascii="Cambria" w:cs="Cambria" w:eastAsia="Cambria" w:hAnsi="Cambria"/>
          <w:sz w:val="24"/>
          <w:szCs w:val="24"/>
        </w:rPr>
        <w:t xml:space="preserve">Low-frequency AC grid architecture makes this possible, and 113 years of European Bahnstrom operation proves it works. At 12 Hz, transformer cores can be wound from the same mild steel used in buildings and bridges—a commodity produced at massive scale worldwide. A 12 Hz transformer factory can be commissioned in months, not years. The resulting grid is faster to build, cheaper to maintain, field-repairable from local materials, and free of the semiconductor and specialty-steel supply chains that make conventional grids fragile. And because the same transformer designs accept progressive core upgrades from commodity steel to NOES to GOES as supply permits, the 12 Hz architecture does not abandon the specialty steel industry—it removes specialty steel as a bottleneck for initial deployment while preserving it as the long-term performance optimization path.</w:t>
      </w:r>
    </w:p>
    <w:p>
      <w:pPr>
        <w:spacing w:after="200"/>
      </w:pPr>
      <w:r>
        <w:rPr>
          <w:rFonts w:ascii="Cambria" w:cs="Cambria" w:eastAsia="Cambria" w:hAnsi="Cambria"/>
          <w:sz w:val="24"/>
          <w:szCs w:val="24"/>
        </w:rPr>
        <w:t xml:space="preserve">The 12 Hz grid natively delivers consumer voltages compatible with the global 380V DC equipment ecosystem through simple bridge rectification, enabling direct integration with data center components, battery storage systems, and the growing market for DC-native appliances—without requiring any modification to the AC distribution system. The architecture connects existing distributed solar and PAYG deployments into a national grid through passive transformers, adding geographic load redistribution without adding semiconductor dependency. It can be installed and maintained by trade-skilled workers trained in weeks to months, using commodity materials available in any country.</w:t>
      </w:r>
    </w:p>
    <w:p>
      <w:pPr>
        <w:spacing w:after="200"/>
      </w:pPr>
      <w:r>
        <w:rPr>
          <w:rFonts w:ascii="Cambria" w:cs="Cambria" w:eastAsia="Cambria" w:hAnsi="Cambria"/>
          <w:sz w:val="24"/>
          <w:szCs w:val="24"/>
        </w:rPr>
        <w:t xml:space="preserve">The technology is not speculative. It is a straightforward engineering adaptation of the oldest and most extensively proven electrical power architecture in the world. What it requires is a focused validation pilot and the decision to deploy. The transformer crisis is here. The solution has been running in Europe since 1912.</w:t>
      </w:r>
    </w:p>
    <w:p>
      <w:pPr>
        <w:spacing w:before="600"/>
      </w:pPr>
    </w:p>
    <w:p>
      <w:pPr>
        <w:pBdr>
          <w:top w:val="single" w:color="1F3864" w:sz="4" w:space="1"/>
        </w:pBdr>
        <w:spacing w:after="200" w:before="200"/>
      </w:pPr>
    </w:p>
    <w:p>
      <w:pPr>
        <w:spacing w:after="100"/>
        <w:jc w:val="center"/>
      </w:pPr>
      <w:r>
        <w:rPr>
          <w:rFonts w:ascii="Cambria" w:cs="Cambria" w:eastAsia="Cambria" w:hAnsi="Cambria"/>
          <w:color w:val="666666"/>
          <w:sz w:val="22"/>
          <w:szCs w:val="22"/>
        </w:rPr>
        <w:t xml:space="preserve">Contact: David Walther</w:t>
      </w:r>
    </w:p>
    <w:p>
      <w:pPr>
        <w:spacing w:after="100"/>
        <w:jc w:val="center"/>
      </w:pPr>
      <w:r>
        <w:rPr>
          <w:rFonts w:ascii="Cambria" w:cs="Cambria" w:eastAsia="Cambria" w:hAnsi="Cambria"/>
          <w:color w:val="666666"/>
          <w:sz w:val="22"/>
          <w:szCs w:val="22"/>
        </w:rPr>
        <w:t xml:space="preserve">Inquiries: tederific@gmail.com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6"/>
        <w:szCs w:val="16"/>
      </w:rPr>
      <w:t xml:space="preserve">Page </w:t>
    </w:r>
    <w:r>
      <w:rPr>
        <w:rFonts w:ascii="Cambria" w:cs="Cambria" w:eastAsia="Cambria" w:hAnsi="Cambr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Cambria" w:cs="Cambria" w:eastAsia="Cambria" w:hAnsi="Cambria"/>
        <w:i/>
        <w:iCs/>
        <w:color w:val="666666"/>
        <w:sz w:val="18"/>
        <w:szCs w:val="18"/>
      </w:rPr>
      <w:t xml:space="preserve">Commodity-Steel Transformers at 12 Hz: Breaking the GOES Bottleneck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1F3864"/>
      <w:sz w:val="32"/>
      <w:szCs w:val="32"/>
    </w:rPr>
  </w:style>
  <w:style w:type="paragraph" w:styleId="Heading2">
    <w:name w:val="Heading 2"/>
    <w:basedOn w:val="Normal"/>
    <w:next w:val="Normal"/>
    <w:qFormat/>
    <w:pPr>
      <w:spacing w:after="180" w:before="360"/>
      <w:outlineLvl w:val="1"/>
    </w:pPr>
    <w:rPr>
      <w:rFonts w:ascii="Cambria" w:cs="Cambria" w:eastAsia="Cambria" w:hAnsi="Cambria"/>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2026-04-08T06:23:54.684Z</dcterms:created>
  <dcterms:modified xsi:type="dcterms:W3CDTF">2026-04-08T06:23:54.685Z</dcterms:modified>
</cp:coreProperties>
</file>

<file path=docProps/custom.xml><?xml version="1.0" encoding="utf-8"?>
<Properties xmlns="http://schemas.openxmlformats.org/officeDocument/2006/custom-properties" xmlns:vt="http://schemas.openxmlformats.org/officeDocument/2006/docPropsVTypes"/>
</file>