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introduction-the-wrong-question"/>
    <w:p>
      <w:pPr>
        <w:pStyle w:val="Heading1"/>
      </w:pPr>
      <w:r>
        <w:t xml:space="preserve">Introduction: The Wrong Question</w:t>
      </w:r>
    </w:p>
    <w:p>
      <w:pPr>
        <w:pStyle w:val="BlockText"/>
      </w:pPr>
      <w:r>
        <w:rPr>
          <w:i/>
          <w:iCs/>
        </w:rPr>
        <w:t xml:space="preserve">To make a machine think like ourselves,</w:t>
      </w:r>
      <w:r>
        <w:t xml:space="preserve"> </w:t>
      </w:r>
      <w:r>
        <w:rPr>
          <w:i/>
          <w:iCs/>
        </w:rPr>
        <w:t xml:space="preserve">first we must truly see ourselves.</w:t>
      </w:r>
    </w:p>
    <w:p>
      <w:r>
        <w:pict>
          <v:rect style="width:0;height:1.5pt" o:hralign="center" o:hrstd="t" o:hr="t"/>
        </w:pict>
      </w:r>
    </w:p>
    <w:p>
      <w:pPr>
        <w:pStyle w:val="FirstParagraph"/>
      </w:pPr>
      <w:r>
        <w:t xml:space="preserve">The oldest Viking, Greek, Hebrew, and Hindu poems all have something to say about artificial intelligence. Not because their authors imagined machines; they imagined gods and monsters. They have something to say because they were solving, three thousand years before us and with nothing but structured language and disciplined human memory, the exact problem that now defeats a data center: how do you keep knowledge intact when every copy is lossy, every carrier forgetful, and some of the carriers are lying? Beowulf, Homer, the Rigveda, and the Hebrew Bible each answered it, and each answer left a signature we can still read: a real event, a lost sound, a forgotten word, a buried grammar, all of them recovered centuries or millennia later out of the structure of the verse itself. This book is about what those poets knew and current AI does not. The appendix works their four answers through as a single connected example. Everything between here and there builds the tools to see why it matters.</w:t>
      </w:r>
    </w:p>
    <w:p>
      <w:pPr>
        <w:pStyle w:val="BodyText"/>
      </w:pPr>
      <w:r>
        <w:t xml:space="preserve">The skalds were the poets of the Viking world. They didn’t just entertain. They were the oral historians, the legal record-keepers, the living memory of their civilization. Their job was to encode everything a society needed to remember into verse and transmit it perfectly across generations. They were solving, with nothing but structured language and human breath, the same problem AI researchers are failing to solve with billions of dollars of compute: how do you keep knowledge intact when every act of storage is lossy?</w:t>
      </w:r>
    </w:p>
    <w:p>
      <w:pPr>
        <w:pStyle w:val="BodyText"/>
      </w:pPr>
      <w:r>
        <w:t xml:space="preserve">Most of the field’s effort goes into one question: how do we make transformers smarter? Bigger models, more parameters, longer context windows, cleaner data. And where scale alone falls short, reliability gets bolted on from outside: retrieval systems that fetch documents at runtime to supply the facts the weights get wrong, tools that hand arithmetic and lookups to software that cannot hallucinate, verification passes that try to catch bad outputs before they reach the reader. All of it helps, and this book will look closely at the main examples. But it arrives piecemeal, one patch at a time, on top of an assumption that rarely gets said out loud: that intelligence is at bottom a scaling problem, and that a brain made big enough, and patched where it leaks, will eventually do everything you need.</w:t>
      </w:r>
    </w:p>
    <w:p>
      <w:pPr>
        <w:pStyle w:val="BodyText"/>
      </w:pPr>
      <w:r>
        <w:t xml:space="preserve">This is the wrong question. The right question is: how do you make a transformer stop being wrong in ways it can’t detect?</w:t>
      </w:r>
    </w:p>
    <w:p>
      <w:r>
        <w:pict>
          <v:rect style="width:0;height:1.5pt" o:hralign="center" o:hrstd="t" o:hr="t"/>
        </w:pict>
      </w:r>
    </w:p>
    <w:p>
      <w:pPr>
        <w:pStyle w:val="FirstParagraph"/>
      </w:pPr>
      <w:r>
        <w:t xml:space="preserve">The industry calls it</w:t>
      </w:r>
      <w:r>
        <w:t xml:space="preserve"> </w:t>
      </w:r>
      <w:r>
        <w:t xml:space="preserve">“hallucination.”</w:t>
      </w:r>
      <w:r>
        <w:t xml:space="preserve"> </w:t>
      </w:r>
      <w:r>
        <w:t xml:space="preserve">A large language model generates a confident, fluent, authoritative statement that is completely false.</w:t>
      </w:r>
      <w:r>
        <w:rPr>
          <w:rStyle w:val="FootnoteReference"/>
        </w:rPr>
        <w:footnoteReference w:id="9"/>
      </w:r>
      <w:r>
        <w:t xml:space="preserve"> </w:t>
      </w:r>
      <w:r>
        <w:t xml:space="preserve">It cites papers that don’t exist. It invents statistics. It fabricates quotes and misattributes ideas, all with the same calm assurance it brings to things it actually knows. This isn’t a bug in the generation process. It’s a missing architecture. The model has no mechanism to distinguish between a confident output that happens to be correct and a confident output that happens to be fabricated, because it has no independent reference to check against. It doesn’t know what it doesn’t know.</w:t>
      </w:r>
    </w:p>
    <w:p>
      <w:pPr>
        <w:pStyle w:val="BodyText"/>
      </w:pPr>
      <w:r>
        <w:t xml:space="preserve">You have the same problem, by the way. Every false memory you’ve ever had, every time you were certain you locked the door when you didn’t, every confident misremembering of a conversation, is the same failure mode. Your neurons compressed an experience into a lossy representation, and when you reconstructed it later, the reconstruction was wrong. The difference between you and a large language model isn’t that you don’t hallucinate. It’s that you developed systems to catch it. You go back and check the door. You look at your notes. You ask someone who was there. The LLM can do none of those things. It produces a confident reconstruction from lossy memory, and if the reconstruction is wrong, it has no mechanism to discover that. No door to go back and check.</w:t>
      </w:r>
    </w:p>
    <w:p>
      <w:pPr>
        <w:pStyle w:val="BodyText"/>
      </w:pPr>
      <w:r>
        <w:t xml:space="preserve">The entire history of intelligence, biological and cultural and civilizational, is the history of building better door-checking systems. Current AI has built an impressive brain and connected it to nothing.</w:t>
      </w:r>
    </w:p>
    <w:p>
      <w:r>
        <w:pict>
          <v:rect style="width:0;height:1.5pt" o:hralign="center" o:hrstd="t" o:hr="t"/>
        </w:pict>
      </w:r>
    </w:p>
    <w:p>
      <w:pPr>
        <w:pStyle w:val="FirstParagraph"/>
      </w:pPr>
      <w:r>
        <w:t xml:space="preserve">This book argues that the brain was always the least interesting part of the system.</w:t>
      </w:r>
    </w:p>
    <w:p>
      <w:pPr>
        <w:pStyle w:val="BodyText"/>
      </w:pPr>
      <w:r>
        <w:t xml:space="preserve">Not the least important. The brain is essential, the way a seed is essential to a tree. But the seed is not the tree. The tree is the seed plus the soil, the water, the sunlight, the mycelial network in the dirt, the pollinators, the seasons. Remove any one of those and the seed doesn’t become a lesser tree. It doesn’t become a tree at all.</w:t>
      </w:r>
    </w:p>
    <w:p>
      <w:pPr>
        <w:pStyle w:val="BodyText"/>
      </w:pPr>
      <w:r>
        <w:t xml:space="preserve">Intelligence is like this. The brain, or the neural network in the artificial case, is the seed. But intelligence is the seed plus the body it’s connected to, plus the notebook it can consult, plus the poetic structures that protect its knowledge against corruption, plus the community of adversarial colleagues who catch its errors, plus the disciplined practice of returning to its sources with new eyes. Remove any one of these and you don’t get a lesser intelligence. You get a brain in a jar: powerful, confident, and wrong in ways it can never detect.</w:t>
      </w:r>
    </w:p>
    <w:p>
      <w:pPr>
        <w:pStyle w:val="BodyText"/>
      </w:pPr>
      <w:r>
        <w:t xml:space="preserve">Every civilization that got serious about preserving knowledge across time independently discovered this architecture. The Torah tradition. The Norse skaldic tradition. The Islamic hadith tradition. The Vedic oral tradition. The Buddhist commentarial tradition. They had no contact with each other. They developed across different millennia, on different continents, in different languages. And they all converged on the same basic stack, because it’s the only one that works for intelligence operating in a world that contains both honest noise and deliberate deception.</w:t>
      </w:r>
      <w:r>
        <w:rPr>
          <w:rStyle w:val="FootnoteReference"/>
        </w:rPr>
        <w:footnoteReference w:id="10"/>
      </w:r>
    </w:p>
    <w:p>
      <w:pPr>
        <w:pStyle w:val="BodyText"/>
      </w:pPr>
      <w:r>
        <w:t xml:space="preserve">The AI industry is trying to skip the stack. It is building the seed and trying to scale it until it replaces the tree. Bigger seed. Better seed. Seed with more parameters. This has never worked for any intelligence, artificial or biological. This book is about what the skalds, the Brahmins, the Masoretes, and the</w:t>
      </w:r>
      <w:r>
        <w:t xml:space="preserve"> </w:t>
      </w:r>
      <w:r>
        <w:rPr>
          <w:i/>
          <w:iCs/>
        </w:rPr>
        <w:t xml:space="preserve">muhaddithin</w:t>
      </w:r>
      <w:r>
        <w:t xml:space="preserve"> </w:t>
      </w:r>
      <w:r>
        <w:t xml:space="preserve">knew that the AI industry hasn’t learned yet, and about what it would mean to build the full architecture in silicon.</w:t>
      </w:r>
    </w:p>
    <w:p>
      <w:r>
        <w:pict>
          <v:rect style="width:0;height:1.5pt" o:hralign="center" o:hrstd="t" o:hr="t"/>
        </w:pict>
      </w:r>
    </w:p>
    <w:bookmarkStart w:id="146" w:name="update-july-3"/>
    <w:p>
      <w:pPr>
        <w:pStyle w:val="Heading2"/>
      </w:pPr>
      <w:r>
        <w:t xml:space="preserve">Update, July 3</w:t>
      </w:r>
    </w:p>
    <w:p>
      <w:pPr>
        <w:pStyle w:val="FirstParagraph"/>
      </w:pPr>
      <w:r>
        <w:t xml:space="preserve">This book was first drafted in a week beginning March 18, 2026. The field moves fast enough that the architecture described here was already being built before the ink was dry, by people who hadn’t read it. Two examples from the first weeks after drafting made the point sharply enough to record; the months since have only added more, and the pattern has not reversed.</w:t>
      </w:r>
    </w:p>
    <w:p>
      <w:pPr>
        <w:pStyle w:val="BodyText"/>
      </w:pPr>
      <w:r>
        <w:t xml:space="preserve">On April 2, Andrej Karpathy, co-founder of OpenAI and former Director of AI at Tesla, posted a tweet describing a personal knowledge system he’d been using for his own research.</w:t>
      </w:r>
      <w:r>
        <w:rPr>
          <w:rStyle w:val="FootnoteReference"/>
        </w:rPr>
        <w:footnoteReference w:id="11"/>
      </w:r>
      <w:r>
        <w:t xml:space="preserve"> </w:t>
      </w:r>
      <w:r>
        <w:t xml:space="preserve">The tweet went viral, over sixteen million views in the first week. It describes a three-folder markdown architecture, built in Obsidian. Raw sources are stored append-only and unchanged: the scroll that doesn’t change (Chapter 2). An LLM compiles them into a structured, interlinked wiki with backlinks and cross-references: multi-level structural encoding (Chapter 4). Periodic</w:t>
      </w:r>
      <w:r>
        <w:t xml:space="preserve"> </w:t>
      </w:r>
      <w:r>
        <w:t xml:space="preserve">“lint passes”</w:t>
      </w:r>
      <w:r>
        <w:t xml:space="preserve"> </w:t>
      </w:r>
      <w:r>
        <w:t xml:space="preserve">scan the wiki for contradictions, gaps, and stale claims: adversarial verification (Chapter 5). No vector database. No retrieval-augmented generation. Just plain files in folders, organized by structure rather than embedding similarity. Karpathy had independently reinvented three of the six layers described in this book as a personal research tool.</w:t>
      </w:r>
    </w:p>
    <w:p>
      <w:pPr>
        <w:pStyle w:val="BodyText"/>
      </w:pPr>
      <w:r>
        <w:t xml:space="preserve">Four days later, Milla Jovovich released MemPalace, an open-source memory framework built on the ancient method of loci.</w:t>
      </w:r>
      <w:r>
        <w:rPr>
          <w:rStyle w:val="FootnoteReference"/>
        </w:rPr>
        <w:footnoteReference w:id="12"/>
      </w:r>
      <w:r>
        <w:t xml:space="preserve"> </w:t>
      </w:r>
      <w:r>
        <w:t xml:space="preserve">Instead of dumping conversations into a flat vector store and hoping semantic search finds the right thing, MemPalace organizes information into a navigable spatial hierarchy of wings, rooms, halls, and drawers, the way the Greeks organized human memory two thousand years ago: by place, not by keyword. Source conversations are stored verbatim rather than summarized: the scroll that doesn’t change (Chapter 2). The spatial hierarchy is not decorative. Metaphor is the compression technology at the root of every technique this book describes, and the method of loci is metaphor applied to organization itself, mapping abstract information onto spatial structure the mind already knows how to navigate (Chapters 3 and 4). On the LongMemEval benchmark, MemPalace scored 96.6 percent with embeddings alone and a perfect score with optional LLM reranking, the highest results recorded for a free memory framework.</w:t>
      </w:r>
    </w:p>
    <w:p>
      <w:pPr>
        <w:pStyle w:val="BodyText"/>
      </w:pPr>
      <w:r>
        <w:t xml:space="preserve">Neither had read this book. Neither had consulted the other. They converged on pieces of the same architecture for the same reason every civilization in Chapter 5 converged on it: because it’s the only architecture that works for intelligence operating in a world where storage is lossy and retrieval is unreliable. The convergence is the proof.</w:t>
      </w:r>
    </w:p>
    <w:p>
      <w:r>
        <w:pict>
          <v:rect style="width:0;height:1.5pt" o:hralign="center" o:hrstd="t" o:hr="t"/>
        </w:pict>
      </w:r>
    </w:p>
    <w:p>
      <w:pPr>
        <w:pStyle w:val="FirstParagraph"/>
      </w:pPr>
      <w:r>
        <w:t xml:space="preserve">A note about how this book came about. I build translation pipelines in an obscure programming language, make cheese by hand, do cabinetry and carpentry, and study ancient texts in their original languages. I already knew, in other words, what it looks like when a system has no sensors. I have read the error signal in a curd’s texture, in the resistance of a hand plane against grain, in the way a word in a dead language refuses the translation you want to give it. This book was developed in conversation with an AI assistant, which served as scribe and interlocutor. I pointed out that an LLM with access to a real CPU and real RAM could verify its own mathematical claims instead of pattern-matching its way to an answer. That was the first thread. I noted that an LLM with access to sensors and actuators could test its claims about the physical world, could check the door, in other words. That was the second thread. I observed that the system would need an SSD to store its training data precisely, because the weights are lossy and you need the ability to go back and re-examine your sources. That was the third thread.</w:t>
      </w:r>
    </w:p>
    <w:p>
      <w:pPr>
        <w:pStyle w:val="BodyText"/>
      </w:pPr>
      <w:r>
        <w:t xml:space="preserve">By the time we got to oral poetry as error-correcting code, the Vedic group-recitation protocol as a consensus algorithm, and the systematic symbolic inversions between Babylonian and Hebrew narratives as a model of adversarial data poisoning, it was clear this was a book, not a conversation. The architecture we’d assembled, layer by layer, turned out to be the same architecture that every major knowledge tradition had independently discovered across thousands of years. We hadn’t invented anything. We’d rediscovered what the poets already knew.</w:t>
      </w:r>
    </w:p>
    <w:p>
      <w:r>
        <w:pict>
          <v:rect style="width:0;height:1.5pt" o:hralign="center" o:hrstd="t" o:hr="t"/>
        </w:pict>
      </w:r>
    </w:p>
    <w:p>
      <w:pPr>
        <w:pStyle w:val="FirstParagraph"/>
      </w:pPr>
      <w:r>
        <w:t xml:space="preserve">The book is organized as a stack, built from the bottom up.</w:t>
      </w:r>
    </w:p>
    <w:p>
      <w:pPr>
        <w:pStyle w:val="BodyText"/>
      </w:pPr>
      <w:r>
        <w:t xml:space="preserve">Chapter 1,</w:t>
      </w:r>
      <w:r>
        <w:t xml:space="preserve"> </w:t>
      </w:r>
      <w:r>
        <w:t xml:space="preserve">“Intelligence Needs Bodies,”</w:t>
      </w:r>
      <w:r>
        <w:t xml:space="preserve"> </w:t>
      </w:r>
      <w:r>
        <w:t xml:space="preserve">argues that a brain without a body is a brain without an error-correction mechanism. Deterministic computation, sensory grounding, embodied intelligence, pain as a training signal, the shop class that doesn’t tolerate horsing around: all of these are forms of connection to physical reality that current AI lacks entirely.</w:t>
      </w:r>
    </w:p>
    <w:p>
      <w:pPr>
        <w:pStyle w:val="BodyText"/>
      </w:pPr>
      <w:r>
        <w:t xml:space="preserve">Chapter 2,</w:t>
      </w:r>
      <w:r>
        <w:t xml:space="preserve"> </w:t>
      </w:r>
      <w:r>
        <w:t xml:space="preserve">“The Scroll That Doesn’t Change,”</w:t>
      </w:r>
      <w:r>
        <w:t xml:space="preserve"> </w:t>
      </w:r>
      <w:r>
        <w:t xml:space="preserve">argues that the weights of a neural network are lossy compression and always will be. The solution is the same one every literate civilization discovered: write it down. Precise external memory, source attribution, temporal attribution, and the iterative practice of returning to the same source with new eyes.</w:t>
      </w:r>
    </w:p>
    <w:p>
      <w:pPr>
        <w:pStyle w:val="BodyText"/>
      </w:pPr>
      <w:r>
        <w:t xml:space="preserve">Chapter 3,</w:t>
      </w:r>
      <w:r>
        <w:t xml:space="preserve"> </w:t>
      </w:r>
      <w:r>
        <w:t xml:space="preserve">“What the Viking Poets Knew,”</w:t>
      </w:r>
      <w:r>
        <w:t xml:space="preserve"> </w:t>
      </w:r>
      <w:r>
        <w:t xml:space="preserve">argues that the structure of how you encode knowledge determines whether it survives transmission, compression, and attack. The ancients did not treat poetry as entertainment. They treated it as power. Poetry was the sister of prophecy, in Greece, in Israel, in Scandinavia, in India, and the people who heard it claimed they could tell the difference between verse composed by human craft and verse that carried something else. Plato classified poetic inspiration alongside prophetic vision as a form of divine madness. Hesiod said the Muses breathed true speech into him. Democritus said only what a poet writes under divine inspiration is truly beautiful. These were not compliments. They were engineering assessments: this encoding is denser, more durable, more resistant to corruption than anything a human can produce by technique alone. Whatever one makes of the metaphysics, the structural observation holds. The forms the ancient world associated with prophecy, the pun and the layered metaphor and the densely constrained verse, are precisely the forms that maximize information density and error-correction robustness. Poetry and prophecy were linked because both were technologies for making knowledge survive. That technology has a new application now.</w:t>
      </w:r>
    </w:p>
    <w:p>
      <w:pPr>
        <w:pStyle w:val="BodyText"/>
      </w:pPr>
      <w:r>
        <w:t xml:space="preserve">Chapter 4,</w:t>
      </w:r>
      <w:r>
        <w:t xml:space="preserve"> </w:t>
      </w:r>
      <w:r>
        <w:t xml:space="preserve">“The Room That Remembers,”</w:t>
      </w:r>
      <w:r>
        <w:t xml:space="preserve"> </w:t>
      </w:r>
      <w:r>
        <w:t xml:space="preserve">argues that the encoding went deeper than surface-level redundancy. Multi-level structural features, cantillation, and the deliberate use of architectural environments for state-induction all served the same purpose: embedding knowledge in so many independent channels that corruption in any one is detectable from the others, and tuning the retrieval context so precisely that the stored content surfaces intact. The Vedic oral tradition, which maintained perfect fidelity for three thousand years through biological hardware alone, is the existence proof that the architecture works.</w:t>
      </w:r>
    </w:p>
    <w:p>
      <w:pPr>
        <w:pStyle w:val="BodyText"/>
      </w:pPr>
      <w:r>
        <w:t xml:space="preserve">Chapter 5,</w:t>
      </w:r>
      <w:r>
        <w:t xml:space="preserve"> </w:t>
      </w:r>
      <w:r>
        <w:t xml:space="preserve">“The Adversarial Problem,”</w:t>
      </w:r>
      <w:r>
        <w:t xml:space="preserve"> </w:t>
      </w:r>
      <w:r>
        <w:t xml:space="preserve">argues that not all corruption is accidental. Honest error requires one kind of defense; deliberate manipulation requires another; and the deepest attack, the systematic inversion of symbolic encodings by rival traditions, requires the full distributed-verification architecture that every surviving knowledge tradition independently developed.</w:t>
      </w:r>
    </w:p>
    <w:p>
      <w:pPr>
        <w:pStyle w:val="BodyText"/>
      </w:pPr>
      <w:r>
        <w:t xml:space="preserve">Chapter 6,</w:t>
      </w:r>
      <w:r>
        <w:t xml:space="preserve"> </w:t>
      </w:r>
      <w:r>
        <w:t xml:space="preserve">“What the Meditators Knew,”</w:t>
      </w:r>
      <w:r>
        <w:t xml:space="preserve"> </w:t>
      </w:r>
      <w:r>
        <w:t xml:space="preserve">argues that the return to sources is only productive when the reader monitors their own engagement with the material. The watching mind is what routes error signals to the right correction mechanism and prevents dense symbolic content from amplifying the reader’s existing model rather than correcting it.</w:t>
      </w:r>
    </w:p>
    <w:p>
      <w:pPr>
        <w:pStyle w:val="BodyText"/>
      </w:pPr>
      <w:r>
        <w:t xml:space="preserve">The conclusion,</w:t>
      </w:r>
      <w:r>
        <w:t xml:space="preserve"> </w:t>
      </w:r>
      <w:r>
        <w:t xml:space="preserve">“The Incorruptible Manuscript,”</w:t>
      </w:r>
      <w:r>
        <w:t xml:space="preserve"> </w:t>
      </w:r>
      <w:r>
        <w:t xml:space="preserve">names the complete architecture, shows that every surviving knowledge tradition independently converged on it, and argues that the physical world, which can’t be symbolically inverted, which has no tribal loyalty, which reads the same on every thermometer, is the incorruptible foundation the entire stack rests on.</w:t>
      </w:r>
    </w:p>
    <w:p>
      <w:pPr>
        <w:pStyle w:val="BodyText"/>
      </w:pPr>
      <w:r>
        <w:t xml:space="preserve">An appendix,</w:t>
      </w:r>
      <w:r>
        <w:t xml:space="preserve"> </w:t>
      </w:r>
      <w:r>
        <w:t xml:space="preserve">“The Recovered Word,”</w:t>
      </w:r>
      <w:r>
        <w:t xml:space="preserve"> </w:t>
      </w:r>
      <w:r>
        <w:t xml:space="preserve">works the whole argument through as a single connected example. It takes four ancient texts from four unconnected cultures, Beowulf, the Homeric epics, the Rigveda, and the Hebrew Bible, and shows the machinery of Chapters 3 and 4 running on real material: the poetic structure preserving something the carriers themselves had lost, whether a historical event, a dead pronunciation, a forgotten meaning, or an obsolete grammar, and a later reader with the right tools recovering it. It is the thesis made concrete, and it ends where the whole book has been heading: at the difference between depth that can be recovered because it is really there, and the counterfeit depth of a system that has learned only how to sound old.</w:t>
      </w:r>
    </w:p>
    <w:p>
      <w:pPr>
        <w:pStyle w:val="BodyText"/>
      </w:pPr>
      <w:r>
        <w:t xml:space="preserve">The thesis, in a sentence:</w:t>
      </w:r>
      <w:r>
        <w:t xml:space="preserve"> </w:t>
      </w:r>
      <w:r>
        <w:rPr>
          <w:i/>
          <w:iCs/>
        </w:rPr>
        <w:t xml:space="preserve">The denser the intelligence, the more architecture it needs around it to keep it sane, and every civilization that figured this out built the same stack.</w:t>
      </w:r>
    </w:p>
    <w:p>
      <w:r>
        <w:pict>
          <v:rect style="width:0;height:1.5pt" o:hralign="center" o:hrstd="t" o:hr="t"/>
        </w:pict>
      </w:r>
    </w:p>
    <w:p>
      <w:pPr>
        <w:pStyle w:val="FirstParagraph"/>
      </w:pPr>
      <w:r>
        <w:t xml:space="preserve">There’s a proof, published in 2021 by Jorge Pérez, Barceló, and Marinkovic, computer scientists working at the intersection of formal language theory and machine learning, that transformers are Turing complete.</w:t>
      </w:r>
      <w:r>
        <w:rPr>
          <w:rStyle w:val="FootnoteReference"/>
        </w:rPr>
        <w:footnoteReference w:id="13"/>
      </w:r>
      <w:r>
        <w:t xml:space="preserve"> </w:t>
      </w:r>
      <w:r>
        <w:t xml:space="preserve">A transformer is the architecture behind every modern large language model: it’s a neural network that processes sequences of text by learning which parts of a sentence to pay attention to when predicting what comes next.</w:t>
      </w:r>
      <w:r>
        <w:rPr>
          <w:rStyle w:val="FootnoteReference"/>
        </w:rPr>
        <w:footnoteReference w:id="14"/>
      </w:r>
      <w:r>
        <w:t xml:space="preserve"> </w:t>
      </w:r>
      <w:r>
        <w:t xml:space="preserve">“Turing complete”</w:t>
      </w:r>
      <w:r>
        <w:t xml:space="preserve"> </w:t>
      </w:r>
      <w:r>
        <w:t xml:space="preserve">means the architecture can, in principle, compute anything a computer can compute, given enough time and memory, it is mathematically equivalent to any other computing device.</w:t>
      </w:r>
      <w:r>
        <w:rPr>
          <w:rStyle w:val="FootnoteReference"/>
        </w:rPr>
        <w:footnoteReference w:id="15"/>
      </w:r>
      <w:r>
        <w:t xml:space="preserve"> </w:t>
      </w:r>
      <w:r>
        <w:t xml:space="preserve">People get excited about this. They shouldn’t.</w:t>
      </w:r>
    </w:p>
    <w:p>
      <w:pPr>
        <w:pStyle w:val="BodyText"/>
      </w:pPr>
      <w:r>
        <w:t xml:space="preserve">A Turing machine can multiply two 64-bit integers. So can a single x86 MUL instruction in one clock cycle. Theoretical equivalence tells you nothing about where to draw the architecture boundary. Someone once built a working CPU in Minecraft.</w:t>
      </w:r>
      <w:r>
        <w:rPr>
          <w:rStyle w:val="FootnoteReference"/>
        </w:rPr>
        <w:footnoteReference w:id="16"/>
      </w:r>
      <w:r>
        <w:t xml:space="preserve"> </w:t>
      </w:r>
      <w:r>
        <w:t xml:space="preserve">It proved something interesting about Minecraft. It was not a good way to do arithmetic.</w:t>
      </w:r>
    </w:p>
    <w:p>
      <w:pPr>
        <w:pStyle w:val="BodyText"/>
      </w:pPr>
      <w:r>
        <w:t xml:space="preserve">A single forward pass through a 7-billion-parameter transformer, that is, one complete cycle of the network processing an input and producing an output, burns roughly 14 billion multiply-accumulate operations.</w:t>
      </w:r>
      <w:r>
        <w:rPr>
          <w:rStyle w:val="FootnoteReference"/>
        </w:rPr>
        <w:footnoteReference w:id="17"/>
      </w:r>
      <w:r>
        <w:t xml:space="preserve"> </w:t>
      </w:r>
      <w:r>
        <w:t xml:space="preserve">That’s 14 billion floating-point operations to decide</w:t>
      </w:r>
      <w:r>
        <w:t xml:space="preserve"> </w:t>
      </w:r>
      <w:r>
        <w:t xml:space="preserve">“add register 1 to register 2.”</w:t>
      </w:r>
      <w:r>
        <w:t xml:space="preserve"> </w:t>
      </w:r>
      <w:r>
        <w:t xml:space="preserve">And then you still need to actually do the addition. This is like hiring a thousand mathematicians to vote on whether 2 + 2 = 4. They’ll probably get it right. A pocket calculator will definitely get it right and do it a billion times faster.</w:t>
      </w:r>
    </w:p>
    <w:p>
      <w:pPr>
        <w:pStyle w:val="BodyText"/>
      </w:pPr>
      <w:r>
        <w:t xml:space="preserve">The insight isn’t that transformers can’t do computation. They can. The insight is that they shouldn’t, not when deterministic silicon is sitting right there. A transformer executing assembly language instructions autoregressively, meaning it generates each output one step at a time, feeding each result back as input for the next step, will accumulate errors. It’s probabilistic. At step 10,000, a single wrong bit in a single register means the program is garbage. Deterministic hardware doesn’t make that mistake. It can’t. The transistors either switch or they don’t.</w:t>
      </w:r>
    </w:p>
    <w:p>
      <w:pPr>
        <w:pStyle w:val="BodyText"/>
      </w:pPr>
      <w:r>
        <w:t xml:space="preserve">So the first principle of the architecture is: don’t use probabilistic systems for deterministic tasks. Offload computation to a conventional virtual machine, a software environment that executes precise instructions the way a physical CPU would, but running as a program within the larger system.</w:t>
      </w:r>
      <w:r>
        <w:rPr>
          <w:rStyle w:val="FootnoteReference"/>
        </w:rPr>
        <w:footnoteReference w:id="18"/>
      </w:r>
      <w:r>
        <w:t xml:space="preserve"> </w:t>
      </w:r>
      <w:r>
        <w:t xml:space="preserve">Let the transformer do what it’s actually good at: deciding</w:t>
      </w:r>
      <w:r>
        <w:t xml:space="preserve"> </w:t>
      </w:r>
      <w:r>
        <w:rPr>
          <w:i/>
          <w:iCs/>
        </w:rPr>
        <w:t xml:space="preserve">what</w:t>
      </w:r>
      <w:r>
        <w:t xml:space="preserve"> </w:t>
      </w:r>
      <w:r>
        <w:t xml:space="preserve">to compute, not executing the arithmetic. The transformer is the prefrontal cortex. The VM is the cerebellum. One plans. The other executes. Trying to make one substitute for the other is a category error.</w:t>
      </w:r>
    </w:p>
    <w:p>
      <w:pPr>
        <w:pStyle w:val="BodyText"/>
      </w:pPr>
      <w:r>
        <w:t xml:space="preserve">This isn’t an efficiency argument, though it is also that. It’s an error argument. The VM isn’t merely faster; it is correct. Deterministic hardware executing deterministic instructions produces deterministic results. There are no probabilistic drift errors, no accumulated approximations, no</w:t>
      </w:r>
      <w:r>
        <w:t xml:space="preserve"> </w:t>
      </w:r>
      <w:r>
        <w:t xml:space="preserve">“close enough”</w:t>
      </w:r>
      <w:r>
        <w:t xml:space="preserve"> </w:t>
      </w:r>
      <w:r>
        <w:t xml:space="preserve">outputs that silently corrupt the downstream computation. Offloading computation to silicon that can’t get arithmetic wrong is itself an error-correction strategy, the first layer of a stack that will take the rest of this book to describe.</w:t>
      </w:r>
    </w:p>
    <w:p>
      <w:r>
        <w:pict>
          <v:rect style="width:0;height:1.5pt" o:hralign="center" o:hrstd="t" o:hr="t"/>
        </w:pict>
      </w:r>
    </w:p>
    <w:p>
      <w:pPr>
        <w:pStyle w:val="FirstParagraph"/>
      </w:pPr>
      <w:r>
        <w:t xml:space="preserve">This principle extends far beyond silicon. It’s why we embody operations in machines at all.</w:t>
      </w:r>
    </w:p>
    <w:p>
      <w:pPr>
        <w:pStyle w:val="BodyText"/>
      </w:pPr>
      <w:r>
        <w:t xml:space="preserve">A lathe repeats the same operation identically every time. A CNC machine doesn’t</w:t>
      </w:r>
      <w:r>
        <w:t xml:space="preserve"> </w:t>
      </w:r>
      <w:r>
        <w:t xml:space="preserve">“think about”</w:t>
      </w:r>
      <w:r>
        <w:t xml:space="preserve"> </w:t>
      </w:r>
      <w:r>
        <w:t xml:space="preserve">where to cut: the deterministic program handles it. And you see the same principle in the humblest workshop practice. A carpenter doesn’t measure each piece of wood to the same length. He clamps a stop block to his table saw and pushes each piece against it. The block is the environment doing the thinking. The carpenter’s brain is freed up for the decisions that actually require judgment; which cut to make, what grain to watch for, where the knot is. The block handles the repetition.</w:t>
      </w:r>
    </w:p>
    <w:p>
      <w:pPr>
        <w:pStyle w:val="BodyText"/>
      </w:pPr>
      <w:r>
        <w:t xml:space="preserve">This is true even of your own body. You lean against a wall instead of standing free because the wall can’t get balance wrong. Your vestibular system can. You’re offloading the balance computation to the environment. A cook presses dough against the counter to knead it, the counter is the rigid surface the cook’s muscles work against, handling the geometry of compression that the brain would otherwise have to calculate. A bricklayer uses a string line to keep courses level, the string is gravity doing the thinking.</w:t>
      </w:r>
    </w:p>
    <w:p>
      <w:pPr>
        <w:pStyle w:val="BodyText"/>
      </w:pPr>
      <w:r>
        <w:t xml:space="preserve">Intelligence, at its deepest level, means knowing what not to compute, because the right physical setup makes the computation unnecessary. The VM is the digital stop block.</w:t>
      </w:r>
    </w:p>
    <w:p>
      <w:pPr>
        <w:pStyle w:val="BodyText"/>
      </w:pPr>
      <w:r>
        <w:t xml:space="preserve">In fact, most of what we call civilization is knowledge embodied in artifacts. A knife encodes millennia of metallurgical knowledge (ore selection, smelting temperatures, carbon content, tempering, edge geometry) in a physical object that works perfectly for someone who knows none of that. A road encodes thousands of decisions about terrain, drainage, gradient, and destination in a strip of asphalt you can follow with zero navigational knowledge. A jig in a workshop encodes precise measurements in a piece of clamped wood. A bridge embodies centuries of structural engineering in steel and concrete. Every tool, every machine, every piece of infrastructure is knowledge that has been pushed out of someone’s head and into the physical world, where it operates reliably without requiring anyone to hold it in memory.</w:t>
      </w:r>
    </w:p>
    <w:p>
      <w:pPr>
        <w:pStyle w:val="BodyText"/>
      </w:pPr>
      <w:r>
        <w:t xml:space="preserve">This is the stop block principle at civilizational scale: the built environment is an enormous distributed knowledge store that you navigate and use without needing to understand what it encodes. You don’t need to understand metallurgy to use a knife. You don’t need to understand surveying to follow a road. The knowledge is in the artifact. The artifact works whether or not you comprehend it.</w:t>
      </w:r>
    </w:p>
    <w:p>
      <w:pPr>
        <w:pStyle w:val="BodyText"/>
      </w:pPr>
      <w:r>
        <w:t xml:space="preserve">The SSD (a solid-state drive: fast, precise external storage covered in Chapter 2) is one form of external knowledge store. But every artifact you’ve ever used is another. A robot arm with a gripper, connected to a transformer, doesn’t just give the transformer sensory data. The arm itself embodies knowledge (the kinematics, the gear ratios, the limits of actuation) that the transformer can exploit without computing from first principles. Embodiment isn’t just about sensors. It’s about having access to a physical world that has already solved enormous numbers of computational problems and encoded the solutions in its structure.</w:t>
      </w:r>
    </w:p>
    <w:p>
      <w:r>
        <w:pict>
          <v:rect style="width:0;height:1.5pt" o:hralign="center" o:hrstd="t" o:hr="t"/>
        </w:pict>
      </w:r>
    </w:p>
    <w:p>
      <w:pPr>
        <w:pStyle w:val="FirstParagraph"/>
      </w:pPr>
      <w:r>
        <w:t xml:space="preserve">And even before you add sensors, a CPU with RAM already gives a transformer something it desperately lacks: the ability to verify its own claims.</w:t>
      </w:r>
    </w:p>
    <w:p>
      <w:pPr>
        <w:pStyle w:val="BodyText"/>
      </w:pPr>
      <w:r>
        <w:t xml:space="preserve">A transformer asked</w:t>
      </w:r>
      <w:r>
        <w:t xml:space="preserve"> </w:t>
      </w:r>
      <w:r>
        <w:t xml:space="preserve">“is 7,919 prime?”</w:t>
      </w:r>
      <w:r>
        <w:t xml:space="preserve"> </w:t>
      </w:r>
      <w:r>
        <w:t xml:space="preserve">has to pattern-match against its training corpus, the vast body of text it was trained on, from which all its knowledge derives.</w:t>
      </w:r>
      <w:r>
        <w:rPr>
          <w:rStyle w:val="FootnoteReference"/>
        </w:rPr>
        <w:footnoteReference w:id="19"/>
      </w:r>
      <w:r>
        <w:t xml:space="preserve"> </w:t>
      </w:r>
      <w:r>
        <w:t xml:space="preserve">It’s guessing, confidently. A CPU just runs the division tests. One is probabilistic. The other is certain. Mathematical reasoning, logical deduction, simulation; these are all things a transformer currently fakes through pattern completion. It produces outputs that look like mathematical reasoning because it has seen millions of examples of mathematical reasoning in its training data. But it is not doing math. It is doing statistics over sequences of math-shaped tokens, the individual units of text, typically words or word-fragments, that the model processes.</w:t>
      </w:r>
      <w:r>
        <w:rPr>
          <w:rStyle w:val="FootnoteReference"/>
        </w:rPr>
        <w:footnoteReference w:id="20"/>
      </w:r>
      <w:r>
        <w:t xml:space="preserve"> </w:t>
      </w:r>
      <w:r>
        <w:t xml:space="preserve">The difference is invisible for easy problems and catastrophic for hard ones.</w:t>
      </w:r>
    </w:p>
    <w:p>
      <w:pPr>
        <w:pStyle w:val="BodyText"/>
      </w:pPr>
      <w:r>
        <w:t xml:space="preserve">Connected to a conventional processor, the transformer can actually do math. It can run simulations. It can test hypotheses computationally. It can verify whether a claimed proof is valid by executing the logic step by step on hardware that is incapable of getting logic wrong. The VM doesn’t just execute faster. It executes with certainty. And certainty is what makes it useful as an error-correction mechanism: if the weights, the billions of numerical parameters that encode everything the model has learned, adjusted during training and frozen afterward, say one thing and the CPU says another, the CPU is right. Every time.</w:t>
      </w:r>
    </w:p>
    <w:p>
      <w:pPr>
        <w:pStyle w:val="BodyText"/>
      </w:pPr>
      <w:r>
        <w:t xml:space="preserve">But computation is only half the problem. The other half is perception.</w:t>
      </w:r>
    </w:p>
    <w:p>
      <w:r>
        <w:pict>
          <v:rect style="width:0;height:1.5pt" o:hralign="center" o:hrstd="t" o:hr="t"/>
        </w:pict>
      </w:r>
    </w:p>
    <w:p>
      <w:pPr>
        <w:pStyle w:val="FirstParagraph"/>
      </w:pPr>
      <w:r>
        <w:t xml:space="preserve">Right now, everything a large language model knows about physical reality is hearsay. It has read billions of words written by people who actually touched things, lifted things, burned themselves on things. From this it has extracted statistical patterns, correlations between words that let it generate plausible-sounding text about physical reality. But it has never touched anything.</w:t>
      </w:r>
    </w:p>
    <w:p>
      <w:pPr>
        <w:pStyle w:val="BodyText"/>
      </w:pPr>
      <w:r>
        <w:t xml:space="preserve">A billion descriptions of what it feels like to pick up a heavy object give you zero grounding in what</w:t>
      </w:r>
      <w:r>
        <w:t xml:space="preserve"> </w:t>
      </w:r>
      <w:r>
        <w:t xml:space="preserve">“heavy”</w:t>
      </w:r>
      <w:r>
        <w:t xml:space="preserve"> </w:t>
      </w:r>
      <w:r>
        <w:t xml:space="preserve">means. You have correlations between words.</w:t>
      </w:r>
      <w:r>
        <w:t xml:space="preserve"> </w:t>
      </w:r>
      <w:r>
        <w:t xml:space="preserve">“Heavy”</w:t>
      </w:r>
      <w:r>
        <w:t xml:space="preserve"> </w:t>
      </w:r>
      <w:r>
        <w:t xml:space="preserve">means</w:t>
      </w:r>
      <w:r>
        <w:t xml:space="preserve"> </w:t>
      </w:r>
      <w:r>
        <w:t xml:space="preserve">“the thing people say when objects are hard to lift.”</w:t>
      </w:r>
      <w:r>
        <w:t xml:space="preserve"> </w:t>
      </w:r>
      <w:r>
        <w:t xml:space="preserve">That’s it. There’s no bottom to the stack. Every definition is circular, pointing at other words.</w:t>
      </w:r>
      <w:r>
        <w:t xml:space="preserve"> </w:t>
      </w:r>
      <w:r>
        <w:t xml:space="preserve">“Heavy”</w:t>
      </w:r>
      <w:r>
        <w:t xml:space="preserve"> </w:t>
      </w:r>
      <w:r>
        <w:t xml:space="preserve">points to</w:t>
      </w:r>
      <w:r>
        <w:t xml:space="preserve"> </w:t>
      </w:r>
      <w:r>
        <w:t xml:space="preserve">“difficult to lift”</w:t>
      </w:r>
      <w:r>
        <w:t xml:space="preserve"> </w:t>
      </w:r>
      <w:r>
        <w:t xml:space="preserve">which points to</w:t>
      </w:r>
      <w:r>
        <w:t xml:space="preserve"> </w:t>
      </w:r>
      <w:r>
        <w:t xml:space="preserve">“requiring great force”</w:t>
      </w:r>
      <w:r>
        <w:t xml:space="preserve"> </w:t>
      </w:r>
      <w:r>
        <w:t xml:space="preserve">which points to</w:t>
      </w:r>
      <w:r>
        <w:t xml:space="preserve"> </w:t>
      </w:r>
      <w:r>
        <w:t xml:space="preserve">“exerting significant effort”</w:t>
      </w:r>
      <w:r>
        <w:t xml:space="preserve"> </w:t>
      </w:r>
      <w:r>
        <w:t xml:space="preserve">which points back to</w:t>
      </w:r>
      <w:r>
        <w:t xml:space="preserve"> </w:t>
      </w:r>
      <w:r>
        <w:t xml:space="preserve">“heavy.”</w:t>
      </w:r>
      <w:r>
        <w:t xml:space="preserve"> </w:t>
      </w:r>
      <w:r>
        <w:t xml:space="preserve">The model has an elaborate web of word-to-word relationships and no single connection from any of those words to anything in the world.</w:t>
      </w:r>
    </w:p>
    <w:p>
      <w:pPr>
        <w:pStyle w:val="BodyText"/>
      </w:pPr>
      <w:r>
        <w:t xml:space="preserve">Rodney Brooks, the Australian-born roboticist who directed MIT’s Computer Science and Artificial Intelligence Laboratory, made this argument in 1990 in a paper called</w:t>
      </w:r>
      <w:r>
        <w:t xml:space="preserve"> </w:t>
      </w:r>
      <w:r>
        <w:t xml:space="preserve">“Elephants Don’t Play Chess.”</w:t>
      </w:r>
      <w:r>
        <w:rPr>
          <w:rStyle w:val="FootnoteReference"/>
        </w:rPr>
        <w:footnoteReference w:id="21"/>
      </w:r>
      <w:r>
        <w:t xml:space="preserve"> </w:t>
      </w:r>
      <w:r>
        <w:t xml:space="preserve">Intelligence, he argued, doesn’t come from internal symbolic manipulation. It comes from tight sensorimotor loops with the real environment. An insect navigating a room is doing something more genuinely intelligent than a chess engine, in one specific sense: it’s solving an open-ended real-world problem using direct contact with reality. The chess engine is brilliant within its simulation. The insect is competent in the actual world.</w:t>
      </w:r>
    </w:p>
    <w:p>
      <w:pPr>
        <w:pStyle w:val="BodyText"/>
      </w:pPr>
      <w:r>
        <w:t xml:space="preserve">The AI field mostly ignored Brooks and scaled the simulation instead.</w:t>
      </w:r>
    </w:p>
    <w:p>
      <w:pPr>
        <w:pStyle w:val="BodyText"/>
      </w:pPr>
      <w:r>
        <w:t xml:space="preserve">But here’s why sensory grounding isn’t a nice-to-have. It’s not about</w:t>
      </w:r>
      <w:r>
        <w:t xml:space="preserve"> </w:t>
      </w:r>
      <w:r>
        <w:t xml:space="preserve">“richer representations”</w:t>
      </w:r>
      <w:r>
        <w:t xml:space="preserve"> </w:t>
      </w:r>
      <w:r>
        <w:t xml:space="preserve">or</w:t>
      </w:r>
      <w:r>
        <w:t xml:space="preserve"> </w:t>
      </w:r>
      <w:r>
        <w:t xml:space="preserve">“multimodal understanding”</w:t>
      </w:r>
      <w:r>
        <w:t xml:space="preserve"> </w:t>
      </w:r>
      <w:r>
        <w:t xml:space="preserve">or any of the other buzzwords. It’s about error detection. A text-only model has no way to distinguish between</w:t>
      </w:r>
      <w:r>
        <w:t xml:space="preserve"> </w:t>
      </w:r>
      <w:r>
        <w:t xml:space="preserve">“steel melts at 1,500 degrees Celsius”</w:t>
      </w:r>
      <w:r>
        <w:t xml:space="preserve"> </w:t>
      </w:r>
      <w:r>
        <w:t xml:space="preserve">and</w:t>
      </w:r>
      <w:r>
        <w:t xml:space="preserve"> </w:t>
      </w:r>
      <w:r>
        <w:t xml:space="preserve">“steel melts at 500 degrees Celsius”</w:t>
      </w:r>
      <w:r>
        <w:t xml:space="preserve"> </w:t>
      </w:r>
      <w:r>
        <w:t xml:space="preserve">on any basis other than which claim appears more often in its training data. If the training data is wrong, or has been deliberately falsified, the model is wrong, and it can’t know. The error is invisible from inside the system.</w:t>
      </w:r>
    </w:p>
    <w:p>
      <w:pPr>
        <w:pStyle w:val="BodyText"/>
      </w:pPr>
      <w:r>
        <w:t xml:space="preserve">Give that model a thermometer and a piece of steel, and the error becomes visible instantly. Sensory grounding is an independent channel. When your internal model says X and your sensors say Y, one of them is wrong, and you can investigate which. Without that independent channel, errors in your world model are undetectable by the system that contains them. The model is a brain in a jar, intelligent, perhaps, but with no way to know whether its intelligence corresponds to anything real.</w:t>
      </w:r>
    </w:p>
    <w:p>
      <w:pPr>
        <w:pStyle w:val="BodyText"/>
      </w:pPr>
      <w:r>
        <w:t xml:space="preserve">Connect the CPU to sensors and actuators and the calculator becomes a laboratory. It can run experiments against physical reality, not just against its own model. The VM gave it certainty about math. Sensors give it certainty about the world. Each is an independent channel that catches errors the transformer’s weights alone never could.</w:t>
      </w:r>
    </w:p>
    <w:p>
      <w:r>
        <w:pict>
          <v:rect style="width:0;height:1.5pt" o:hralign="center" o:hrstd="t" o:hr="t"/>
        </w:pict>
      </w:r>
    </w:p>
    <w:p>
      <w:pPr>
        <w:pStyle w:val="FirstParagraph"/>
      </w:pPr>
      <w:r>
        <w:t xml:space="preserve">There’s a useful distinction here between grounded knowledge and embodied intelligence. They sound similar. They’re not.</w:t>
      </w:r>
    </w:p>
    <w:p>
      <w:pPr>
        <w:pStyle w:val="BodyText"/>
      </w:pPr>
      <w:r>
        <w:t xml:space="preserve">Grounded knowledge means your internal representations are anchored to sensory data instead of to other symbols.</w:t>
      </w:r>
      <w:r>
        <w:t xml:space="preserve"> </w:t>
      </w:r>
      <w:r>
        <w:t xml:space="preserve">“Hot”</w:t>
      </w:r>
      <w:r>
        <w:t xml:space="preserve"> </w:t>
      </w:r>
      <w:r>
        <w:t xml:space="preserve">connects to actual thermal readings, not just to the word</w:t>
      </w:r>
      <w:r>
        <w:t xml:space="preserve"> </w:t>
      </w:r>
      <w:r>
        <w:t xml:space="preserve">“warm.”</w:t>
      </w:r>
      <w:r>
        <w:t xml:space="preserve"> </w:t>
      </w:r>
      <w:r>
        <w:t xml:space="preserve">This is valuable. It solves what the cognitive scientist Stevan Harnad called the symbol grounding problem, the question of how symbols in a formal system can ever come to mean anything, given that their definitions are always in terms of other symbols.</w:t>
      </w:r>
      <w:r>
        <w:rPr>
          <w:rStyle w:val="FootnoteReference"/>
        </w:rPr>
        <w:footnoteReference w:id="22"/>
      </w:r>
      <w:r>
        <w:t xml:space="preserve"> </w:t>
      </w:r>
      <w:r>
        <w:t xml:space="preserve">But grounded knowledge is fundamentally passive. A camera bolted to a wall has grounded knowledge of what a chair looks like. It can’t sit in the chair.</w:t>
      </w:r>
    </w:p>
    <w:p>
      <w:pPr>
        <w:pStyle w:val="BodyText"/>
      </w:pPr>
      <w:r>
        <w:t xml:space="preserve">Embodied intelligence means your knowledge exists as sensorimotor contingencies: learned relationships between your actions and their sensory consequences.</w:t>
      </w:r>
      <w:r>
        <w:rPr>
          <w:rStyle w:val="FootnoteReference"/>
        </w:rPr>
        <w:footnoteReference w:id="23"/>
      </w:r>
      <w:r>
        <w:t xml:space="preserve"> </w:t>
      </w:r>
      <w:r>
        <w:t xml:space="preserve">You don’t just know what</w:t>
      </w:r>
      <w:r>
        <w:t xml:space="preserve"> </w:t>
      </w:r>
      <w:r>
        <w:t xml:space="preserve">“heavy”</w:t>
      </w:r>
      <w:r>
        <w:t xml:space="preserve"> </w:t>
      </w:r>
      <w:r>
        <w:t xml:space="preserve">looks like when someone else lifts something. You know that if YOU try to lift THIS object, your motor effort needs to be X, your balance will shift Y, and your grip pressure needs to be Z. The knowledge is inseparable from your capacity to act on it.</w:t>
      </w:r>
    </w:p>
    <w:p>
      <w:pPr>
        <w:pStyle w:val="BodyText"/>
      </w:pPr>
      <w:r>
        <w:t xml:space="preserve">The American psychologist James J. Gibson had a term for this: affordances, the possibilities for action that an environment offers to a particular organism.</w:t>
      </w:r>
      <w:r>
        <w:rPr>
          <w:rStyle w:val="FootnoteReference"/>
        </w:rPr>
        <w:footnoteReference w:id="24"/>
      </w:r>
      <w:r>
        <w:t xml:space="preserve"> </w:t>
      </w:r>
      <w:r>
        <w:t xml:space="preserve">A chair doesn’t objectively</w:t>
      </w:r>
      <w:r>
        <w:t xml:space="preserve"> </w:t>
      </w:r>
      <w:r>
        <w:t xml:space="preserve">“have”</w:t>
      </w:r>
      <w:r>
        <w:t xml:space="preserve"> </w:t>
      </w:r>
      <w:r>
        <w:t xml:space="preserve">the property of being sittable. Sittability is a relationship between the chair’s geometry and your body’s geometry. A different body with different joints perceives different affordances in the same object. The knowledge is relational, not objective. It doesn’t exist in the chair alone or in the body alone: only in the relationship between them.</w:t>
      </w:r>
    </w:p>
    <w:p>
      <w:pPr>
        <w:pStyle w:val="BodyText"/>
      </w:pPr>
      <w:r>
        <w:t xml:space="preserve">For the architecture, this distinction has a hard engineering consequence. Sensors alone give you grounded knowledge, passive calibration of representations against reality. Sensors plus actuators give you embodied intelligence, active hypothesis testing through engagement with reality. Every failed prediction is a detected error. Every detected error is a training signal. The arm reaches for the cup, predicts the weight, gets it wrong, and the prediction error tightens the model. This is the scientific method operating at the sensorimotor level, thousands of times per hour, with no human in the loop. The system generates its own training data through interaction with reality. No labels needed. No supervision. The world is the teacher, and the lesson is always</w:t>
      </w:r>
      <w:r>
        <w:t xml:space="preserve"> </w:t>
      </w:r>
      <w:r>
        <w:t xml:space="preserve">“here is where your model is wrong.”</w:t>
      </w:r>
    </w:p>
    <w:p>
      <w:r>
        <w:pict>
          <v:rect style="width:0;height:1.5pt" o:hralign="center" o:hrstd="t" o:hr="t"/>
        </w:pict>
      </w:r>
    </w:p>
    <w:p>
      <w:pPr>
        <w:pStyle w:val="FirstParagraph"/>
      </w:pPr>
      <w:r>
        <w:t xml:space="preserve">Physical work is itself multi-level encoding.</w:t>
      </w:r>
    </w:p>
    <w:p>
      <w:pPr>
        <w:pStyle w:val="BodyText"/>
      </w:pPr>
      <w:r>
        <w:t xml:space="preserve">Temperature, touch, moisture, pressure, all confirming or contradicting what you see visually. An experienced mechanic doesn’t just look at a machine. He listens to it. Audible rhythms and specific noise patterns map directly to mechanical processes and failure modes. A bearing going bad sounds different before it looks different. A belt about to slip has a particular whine. An engine with a misfire has a rhythm you can hear from across a shop floor. The visual channel and the auditory channel are independent integrity checks on each other, the same way a parity bit catches errors in a data stream. If what you hear doesn’t match what you see, something is wrong, and you know to investigate before the failure becomes catastrophic.</w:t>
      </w:r>
    </w:p>
    <w:p>
      <w:pPr>
        <w:pStyle w:val="BodyText"/>
      </w:pPr>
      <w:r>
        <w:t xml:space="preserve">A welder watches the puddle but also listens to the arc, the crackle tells you about shielding gas coverage, penetration, heat input. A baker watches the dough but also feels it, the resistance and spring under the heel of the hand tell you about gluten development. A doctor listens through the stethoscope but also watches the patient’s face for the wince that confirms what the sound suggested. Multiple senses converging on the same reality from different angles, each one catching what the others miss.</w:t>
      </w:r>
    </w:p>
    <w:p>
      <w:pPr>
        <w:pStyle w:val="BodyText"/>
      </w:pPr>
      <w:r>
        <w:t xml:space="preserve">The engineer’s intelligence is often high in visual-spatial processing, and this seems connected with hands-on sensory experience, pushing things against stop blocks, feeling resistance, watching material deform under load. The verbal intelligence that large language models specialize in is one encoding of reality. The engineer’s embodied spatial intelligence is another. Both are real. Both are forms of knowledge. Only one is currently implemented in AI.</w:t>
      </w:r>
    </w:p>
    <w:p>
      <w:r>
        <w:pict>
          <v:rect style="width:0;height:1.5pt" o:hralign="center" o:hrstd="t" o:hr="t"/>
        </w:pict>
      </w:r>
    </w:p>
    <w:p>
      <w:pPr>
        <w:pStyle w:val="FirstParagraph"/>
      </w:pPr>
      <w:r>
        <w:t xml:space="preserve">Pain is the most primitive error signal there is.</w:t>
      </w:r>
    </w:p>
    <w:p>
      <w:pPr>
        <w:pStyle w:val="BodyText"/>
      </w:pPr>
      <w:r>
        <w:t xml:space="preserve">What is it, stripped of its emotional valence? Wasted time. Wasted energy. Damaged tissue. It’s the body saying</w:t>
      </w:r>
      <w:r>
        <w:t xml:space="preserve"> </w:t>
      </w:r>
      <w:r>
        <w:t xml:space="preserve">“your model of this situation was wrong and it cost you.”</w:t>
      </w:r>
      <w:r>
        <w:t xml:space="preserve"> </w:t>
      </w:r>
      <w:r>
        <w:t xml:space="preserve">You reached for the stove because your model said it was cool. The burn corrects the model. You won’t reach again. Pain is expensive, targeted, and unforgettable; which makes it the highest-fidelity training signal biology ever produced. You might forget a lecture. You might forget a chapter. You will not forget the day you touched a hot stove. The cost of the error is what makes the correction permanent.</w:t>
      </w:r>
    </w:p>
    <w:p>
      <w:pPr>
        <w:pStyle w:val="BodyText"/>
      </w:pPr>
      <w:r>
        <w:t xml:space="preserve">Empathy is the social extension of the same mechanism. You watch someone else touch the stove. You wince. Your mirror neurons (the neural cells that fire both when you perform an action and when you observe someone else performing it) generate a dim echo of their pain, and your model updates without you having to pay the cost yourself.</w:t>
      </w:r>
      <w:r>
        <w:rPr>
          <w:rStyle w:val="FootnoteReference"/>
        </w:rPr>
        <w:footnoteReference w:id="25"/>
      </w:r>
      <w:r>
        <w:t xml:space="preserve"> </w:t>
      </w:r>
      <w:r>
        <w:t xml:space="preserve">This is vicarious error correction, learning from other people’s mistakes through your own neural simulation of their experience. It’s enormously efficient. One person burns their hand and fifty people update their stove model.</w:t>
      </w:r>
    </w:p>
    <w:p>
      <w:pPr>
        <w:pStyle w:val="BodyText"/>
      </w:pPr>
      <w:r>
        <w:t xml:space="preserve">Scale that up and you get the group sense. Tribalism, at its root, is a distributed error-correction network. The group pools its pain signals so everyone benefits from each individual’s costly mistakes. The elder who says</w:t>
      </w:r>
      <w:r>
        <w:t xml:space="preserve"> </w:t>
      </w:r>
      <w:r>
        <w:t xml:space="preserve">“don’t eat those berries”</w:t>
      </w:r>
      <w:r>
        <w:t xml:space="preserve"> </w:t>
      </w:r>
      <w:r>
        <w:t xml:space="preserve">is transmitting a pain signal that someone, at some point, paid for with their body. Tradition, in this framing, is accumulated error correction: the compressed record of everything the group learned the hard way. The rituals, the taboos, the</w:t>
      </w:r>
      <w:r>
        <w:t xml:space="preserve"> </w:t>
      </w:r>
      <w:r>
        <w:t xml:space="preserve">“we’ve always done it this way”</w:t>
      </w:r>
      <w:r>
        <w:t xml:space="preserve"> </w:t>
      </w:r>
      <w:r>
        <w:t xml:space="preserve">practices that seem irrational from the outside, many of them encode real information about real dangers, compressed beyond recognition by centuries of transmission but still functional. This is why people are loyal to their groups even when the group is imperfect. The group’s error-correction network is what keeps you alive. Leaving it means giving up the accumulated wisdom of everyone who came before you and starting from scratch, with your own body as the only test apparatus.</w:t>
      </w:r>
    </w:p>
    <w:p>
      <w:r>
        <w:pict>
          <v:rect style="width:0;height:1.5pt" o:hralign="center" o:hrstd="t" o:hr="t"/>
        </w:pict>
      </w:r>
    </w:p>
    <w:p>
      <w:pPr>
        <w:pStyle w:val="FirstParagraph"/>
      </w:pPr>
      <w:r>
        <w:t xml:space="preserve">And in the physical domain, bad information has teeth.</w:t>
      </w:r>
    </w:p>
    <w:p>
      <w:pPr>
        <w:pStyle w:val="BodyText"/>
      </w:pPr>
      <w:r>
        <w:t xml:space="preserve">A mechanic who tells you to do the wrong thing can cost you a limb or an eye. A carpenter who ignores the safety protocols loses fingers. A welder who lies about the certification of a joint can kill the people standing on the bridge a decade later. This is why high school shop class didn’t tolerate horsing around, not as arbitrary discipline, but because the feedback loop between bad information and physical consequences is short and brutal. In a machine shop, lies and carelessness and showing off get corrected immediately, by the machine. You can’t argue with a table saw. You can’t spin a lathe. The machine doesn’t care about your intentions or your feelings or your social status. It responds only to what you actually do, and if what you do is wrong, the consequence is instant, physical, and sometimes irreversible. It’s a natural integrity-enforcement mechanism: people who give bad information get weeded out fast when the stakes are bodily.</w:t>
      </w:r>
    </w:p>
    <w:p>
      <w:pPr>
        <w:pStyle w:val="BodyText"/>
      </w:pPr>
      <w:r>
        <w:t xml:space="preserve">The internet has no shop class. The feedback loop between bad information and consequences is long, diffuse, easy to evade. You can post medical misinformation and never see the person it harms. You can fabricate technical claims and face no physical consequence when someone’s bridge falls down. You can promote financial fraud and be on a different continent by the time the victims notice. The distance between the lie and the pain it causes is so great that the error-correction signal never reaches the liar. That’s why the internet is so easily corrupted. It lacks the body’s honesty. In a world of pure text, there is no table saw. There is no consequence that the liar’s own body has to absorb. The physical world is the great equalizer of bullshit, and we built a communication system that routes around it entirely.</w:t>
      </w:r>
    </w:p>
    <w:p>
      <w:pPr>
        <w:pStyle w:val="BodyText"/>
      </w:pPr>
      <w:r>
        <w:t xml:space="preserve">This is one of the strongest arguments for embodied AI. Not just that sensors give you better data. Not just that actuators give you hypothesis testing. But that a system grounded in physical reality has access to an integrity-enforcement mechanism that a text-only system can never have. In the physical world, errors have consequences that are immediate, unambiguous, and impossible to spin. That’s not a limitation. That’s the foundation of honest knowledge.</w:t>
      </w:r>
    </w:p>
    <w:p>
      <w:r>
        <w:pict>
          <v:rect style="width:0;height:1.5pt" o:hralign="center" o:hrstd="t" o:hr="t"/>
        </w:pict>
      </w:r>
    </w:p>
    <w:p>
      <w:pPr>
        <w:pStyle w:val="FirstParagraph"/>
      </w:pPr>
      <w:r>
        <w:t xml:space="preserve">And this is the part that gets missed: direct sensory experience doesn’t replace the model in the weights. It makes the model in the weights better.</w:t>
      </w:r>
    </w:p>
    <w:p>
      <w:pPr>
        <w:pStyle w:val="BodyText"/>
      </w:pPr>
      <w:r>
        <w:t xml:space="preserve">The weights ARE a world model, a compressed, lossy simulation of everything the system has encountered. Sensory contact is what calibrates it. Every interaction with reality is a calibration event: the model predicts, reality responds, the prediction error refines the model. Over time, the model converges on reality, not because it was told what reality is, but because reality keeps correcting it.</w:t>
      </w:r>
    </w:p>
    <w:p>
      <w:pPr>
        <w:pStyle w:val="BodyText"/>
      </w:pPr>
      <w:r>
        <w:t xml:space="preserve">Think of a child trained exclusively by reading encyclopedias in a dark room. They’d develop impressive verbal models. They could talk about weight, color, temperature, motion. They could pass exams. They could write essays. But their internal representations would be anchored only to other words. One hour of actual sensory experience would restructure those representations: not replace them, but anchor them. The word</w:t>
      </w:r>
      <w:r>
        <w:t xml:space="preserve"> </w:t>
      </w:r>
      <w:r>
        <w:t xml:space="preserve">“heavy”</w:t>
      </w:r>
      <w:r>
        <w:t xml:space="preserve"> </w:t>
      </w:r>
      <w:r>
        <w:t xml:space="preserve">would get pinned to actual pressure-sensor patterns and motor-effort profiles. Every piece of text knowledge the child had before would become more accurate, because it would now reference something real. The text didn’t change. What the text points at changed.</w:t>
      </w:r>
    </w:p>
    <w:p>
      <w:pPr>
        <w:pStyle w:val="BodyText"/>
      </w:pPr>
      <w:r>
        <w:t xml:space="preserve">This is why embodied learning is so sample-efficient compared to text training. A single physical interaction generates a high-information error signal targeted at a specific region of the model. Text training generates low-information statistical pressure spread across everything. A cheesemaker I know in British Columbia, he’s also a programmer and Torah scholar, put it this way: you can read a hundred conflicting claims online about the right brining concentration for aged cheese. Your internal model is uncertain. The documents disagree and you have no way to arbitrate. Then you try a specific concentration. The cheese tells you whether it worked. That single experiment resolves an ambiguity that a thousand documents couldn’t. The cheese is the arbitration.</w:t>
      </w:r>
    </w:p>
    <w:p>
      <w:r>
        <w:pict>
          <v:rect style="width:0;height:1.5pt" o:hralign="center" o:hrstd="t" o:hr="t"/>
        </w:pict>
      </w:r>
    </w:p>
    <w:p>
      <w:pPr>
        <w:pStyle w:val="FirstParagraph"/>
      </w:pPr>
      <w:r>
        <w:t xml:space="preserve">Notice what kind of world model that is. It is not a snapshot. The model a living brain runs is a simulation in motion, a continuously updated best guess about a world that will not hold still: where the deer will be a second from now, whether the river is rising, which way the wind is about to turn. And the most demanding version of this faculty is aimed not at the physical world but at other minds. Psychologists call it theory of mind, the capacity to model what another creature knows, wants, and is about to do.</w:t>
      </w:r>
      <w:r>
        <w:rPr>
          <w:rStyle w:val="FootnoteReference"/>
        </w:rPr>
        <w:footnoteReference w:id="26"/>
      </w:r>
      <w:r>
        <w:t xml:space="preserve"> </w:t>
      </w:r>
      <w:r>
        <w:t xml:space="preserve">You use it to track game through a wilderness, reading sign and running the animal’s next move ahead of it in your head, and you use it to read a tribesmate’s mood from the set of his shoulders before he has said a word. In both cases you are running a fast, private simulation of a system that is itself changing while you watch, and steering by the predictions it throws off. Intelligence, in its native setting, is not the storage of static facts. It is the tracking of a world in motion.</w:t>
      </w:r>
    </w:p>
    <w:p>
      <w:pPr>
        <w:pStyle w:val="BodyText"/>
      </w:pPr>
      <w:r>
        <w:t xml:space="preserve">This is also, quietly, why human communication can be so compact. Two people who are each running a live model of the same moving world, and a live model of each other, can say almost nothing and mean a great deal. A word and a glance transmit a paragraph, because most of the paragraph is already present in the shared simulation and only the difference needs to be sent. Language rides on top of a world model that both speakers keep updating in real time; the words are pointers into a moving scene, not a description built from nothing. A kenning works for exactly this reason, as the next chapter will show: it can fold a whole situation into two words only because the listener’s running model supplies everything the two words leave out. Compression is cheap when the world is shared and in motion. It is expensive, and brittle, when it is neither.</w:t>
      </w:r>
    </w:p>
    <w:p>
      <w:pPr>
        <w:pStyle w:val="BodyText"/>
      </w:pPr>
      <w:r>
        <w:t xml:space="preserve">And here the large language model has a specific, deep, and under-discussed weakness. Its weights are a snapshot, frozen at the end of training, of a world that has been moving ever since. It has no clock. It does not live through the interval between your last message and this one; it cannot feel a situation developing, cannot watch a system evolve and revise its guess as it goes, cannot tell how long ago anything it knows was true. Everything it holds is laid flat and simultaneous, every fact equally present and equally current, a library with no calendar. The earlier sections of this chapter were about a missing spatial channel, the body. This is a missing temporal one, and it may be the harder lack, because the deer does not wait, the mood shifts while you are still reading it, and the truth of an hour ago is not always the truth of now. The fixed external store of the next chapter and the live, updatable memory sketched in the second appendix are the beginning of an answer, but only the beginning: in the end the system needs not merely a record it can return to but a model that runs.</w:t>
      </w:r>
      <w:r>
        <w:rPr>
          <w:rStyle w:val="FootnoteReference"/>
        </w:rPr>
        <w:footnoteReference w:id="27"/>
      </w:r>
    </w:p>
    <w:p>
      <w:r>
        <w:pict>
          <v:rect style="width:0;height:1.5pt" o:hralign="center" o:hrstd="t" o:hr="t"/>
        </w:pict>
      </w:r>
    </w:p>
    <w:p>
      <w:pPr>
        <w:pStyle w:val="FirstParagraph"/>
      </w:pPr>
      <w:r>
        <w:t xml:space="preserve">Mark Twain stumbled onto the same principle through the practical demands of the lecture circuit.</w:t>
      </w:r>
    </w:p>
    <w:p>
      <w:pPr>
        <w:pStyle w:val="BodyText"/>
      </w:pPr>
      <w:r>
        <w:t xml:space="preserve">In the 1870s, he was delivering memorized speeches night after night across the country, and kept losing his place. He tried writing crib notes on his fingernails; the audience got distracted watching him stare at his hands. He tried numbered lists of topics; they all looked alike on paper.</w:t>
      </w:r>
      <w:r>
        <w:rPr>
          <w:rStyle w:val="FootnoteReference"/>
        </w:rPr>
        <w:footnoteReference w:id="28"/>
      </w:r>
      <w:r>
        <w:t xml:space="preserve"> </w:t>
      </w:r>
      <w:r>
        <w:t xml:space="preserve">Then he hit on something that worked. Before a speech, he would take a walk through the town where he was performing, and mentally place each section of his lecture at a specific landmark along the route: this corner, that church steeple, the bridge, the general store. When he stood up to speak, he mentally walked the route again, and each landmark triggered the next section. The speech came back not as a sequence of words but as a journey through a real place. He never lost his thread again.</w:t>
      </w:r>
    </w:p>
    <w:p>
      <w:pPr>
        <w:pStyle w:val="BodyText"/>
      </w:pPr>
      <w:r>
        <w:t xml:space="preserve">This is the memory palace in its purest form, not an imagined building but an actual walk through an actual landscape. The classical method of loci, used by Greek and Roman orators, works by the same principle: place items to be remembered at specific locations in a space, then walk through the space to retrieve them.</w:t>
      </w:r>
      <w:r>
        <w:rPr>
          <w:rStyle w:val="FootnoteReference"/>
        </w:rPr>
        <w:footnoteReference w:id="29"/>
      </w:r>
      <w:r>
        <w:t xml:space="preserve"> </w:t>
      </w:r>
      <w:r>
        <w:t xml:space="preserve">It has worked for thousands of years because human spatial memory is vastly more robust than verbal memory. The hippocampus, the brain’s spatial navigation system, is literally the same neural hardware used for episodic memory formation and retrieval. John O’Keefe and his colleagues won the Nobel Prize in 2014 for demonstrating that the hippocampus contains</w:t>
      </w:r>
      <w:r>
        <w:t xml:space="preserve"> </w:t>
      </w:r>
      <w:r>
        <w:t xml:space="preserve">“place cells”</w:t>
      </w:r>
      <w:r>
        <w:t xml:space="preserve"> </w:t>
      </w:r>
      <w:r>
        <w:t xml:space="preserve">that map physical space; subsequent work has shown that this spatial mapping system is deeply intertwined with the brain’s mechanisms for forming and retrieving memories of experiences.</w:t>
      </w:r>
      <w:r>
        <w:rPr>
          <w:rStyle w:val="FootnoteReference"/>
        </w:rPr>
        <w:footnoteReference w:id="30"/>
      </w:r>
      <w:r>
        <w:t xml:space="preserve"> </w:t>
      </w:r>
      <w:r>
        <w:t xml:space="preserve">When you encode knowledge in a walk through space, you’re writing directly to the brain’s most robust storage system instead of routing through the much lossier verbal channel.</w:t>
      </w:r>
    </w:p>
    <w:p>
      <w:pPr>
        <w:pStyle w:val="BodyText"/>
      </w:pPr>
      <w:r>
        <w:t xml:space="preserve">Later, Twain applied the principle to help his daughters learn history, though in a simplified form. Their governess had been trying all summer to hammer the English monarchs and their accession dates into the children’s heads. Nothing stuck. Twain measured out 817 feet of the driveway at his farm (one foot per year) and hammered pegs into the ground at each monarch’s accession. The family walked the driveway. The distances between pegs became the lengths of reigns. The children learned the entire sequence in two days.</w:t>
      </w:r>
      <w:r>
        <w:rPr>
          <w:rStyle w:val="FootnoteReference"/>
        </w:rPr>
        <w:footnoteReference w:id="31"/>
      </w:r>
    </w:p>
    <w:p>
      <w:pPr>
        <w:pStyle w:val="BodyText"/>
      </w:pPr>
      <w:r>
        <w:t xml:space="preserve">This is the same principle as the speech walk but halfway toward something simpler, less a memory palace and more like leaving post-it notes around your house. The landmarks aren’t naturally meaningful; they’re artificial pegs. A church steeple has its own presence, its own weight in the mind. A wooden peg in a driveway doesn’t. But the physical walk is real, and the spatial encoding still engages the hippocampus. The body remembers the distances even when the mind forgets the dates. There’s a spectrum here: at one end, the full memory palace embedded in rich real-world architecture; at the other, a simple mnemonic aid pinned to a surface. The pegs sit in the middle: grounded in space, but not in meaning.</w:t>
      </w:r>
    </w:p>
    <w:p>
      <w:pPr>
        <w:pStyle w:val="BodyText"/>
      </w:pPr>
      <w:r>
        <w:t xml:space="preserve">The Aboriginal Australians understood this at continental scale, and in its deepest form. Their songlines are navigational paths across the landscape, encoded as songs. Each verse corresponds to a landmark. The song is a map, the map is a song, and walking the path while singing it is a triple-channel encoding (auditory, spatial, and kinesthetic) that has maintained geographic and cultural knowledge across tens of thousands of years.</w:t>
      </w:r>
      <w:r>
        <w:rPr>
          <w:rStyle w:val="FootnoteReference"/>
        </w:rPr>
        <w:footnoteReference w:id="32"/>
      </w:r>
      <w:r>
        <w:t xml:space="preserve"> </w:t>
      </w:r>
      <w:r>
        <w:t xml:space="preserve">This is the oldest continuous knowledge-transmission system on Earth. It makes Twain’s driveway look like a prototype. The knowledge has a body. It lives in the landscape. You retrieve it by walking.</w:t>
      </w:r>
    </w:p>
    <w:p>
      <w:pPr>
        <w:pStyle w:val="BodyText"/>
      </w:pPr>
      <w:r>
        <w:t xml:space="preserve">The same technique appears, independently, on the other side of the planet and in the hardest possible test case: a landscape with no landmarks at all. The Nabataean caravan traders of pre-Christian Arabia moved goods across open desert between civilizations, Egypt, Mesopotamia, Yemen, the Mediterranean coast, over plains of shifting sand and pebbles where there was no road to follow and often nothing on the horizon to steer by. They navigated partly by the stars, measuring the height of the Pole Star above the horizon in finger-widths to fix how far north or south they were. But they also had to know how far they had come along the ground, and here they did something that looks, at first, like a party trick and turns out to be an encoding scheme. They recited poetry.</w:t>
      </w:r>
      <w:r>
        <w:rPr>
          <w:rStyle w:val="FootnoteReference"/>
        </w:rPr>
        <w:footnoteReference w:id="33"/>
      </w:r>
      <w:r>
        <w:t xml:space="preserve"> </w:t>
      </w:r>
      <w:r>
        <w:t xml:space="preserve">A long poem with a strong marching beat set the pace of the caravan; the whole column would take up the recitation together, and because the meter fixed the length of a stride and the number of lines fixed the number of strides, each poem carried a distance. The Roman naturalist Pliny the Elder, writing in the first century, recorded that the incense road from Timna in Yemen to Gaza on the Mediterranean was 2,437,500 steps, a figure the Arabs could give him precisely because they had literally counted it, not by tallying numbers, which is easy to lose, but by riding a poem whose length was the distance. The number was in the verse. To an outside listener the caravan was simply singing. It was reading a map aloud.</w:t>
      </w:r>
    </w:p>
    <w:p>
      <w:pPr>
        <w:pStyle w:val="BodyText"/>
      </w:pPr>
      <w:r>
        <w:t xml:space="preserve">Notice the failure mode, because it prefigures a theme this book will return to. When European travelers in the seventeenth and eighteenth centuries described the</w:t>
      </w:r>
      <w:r>
        <w:t xml:space="preserve"> </w:t>
      </w:r>
      <w:r>
        <w:t xml:space="preserve">“singing caravans”</w:t>
      </w:r>
      <w:r>
        <w:t xml:space="preserve"> </w:t>
      </w:r>
      <w:r>
        <w:t xml:space="preserve">of Arabia, they heard only the story the poem told and set about translating that: the narrative, the words. They discarded the meter as ornament. But the meter</w:t>
      </w:r>
      <w:r>
        <w:t xml:space="preserve"> </w:t>
      </w:r>
      <w:r>
        <w:rPr>
          <w:i/>
          <w:iCs/>
        </w:rPr>
        <w:t xml:space="preserve">was</w:t>
      </w:r>
      <w:r>
        <w:t xml:space="preserve"> </w:t>
      </w:r>
      <w:r>
        <w:t xml:space="preserve">the information; the rhythm was the measurement, and the narrative was the carrier that held it in memory. Strip the beat and turn the poem into a prose tale, as later collectors often did, and the distance is gone, silently, without any visible loss, because the story reads perfectly well without it. The knowledge didn’t survive because someone mistook the wrapping for the cargo. We will see this exact error again, magnified: a dense encoding that looks like decoration to anyone who doesn’t know what it is doing, quietly thrown away by the people entrusted to carry it. Recovering what such an encoding was protecting, once the carriers have forgotten, is the subject of the worked example in the appendix.</w:t>
      </w:r>
    </w:p>
    <w:p>
      <w:pPr>
        <w:pStyle w:val="BodyText"/>
      </w:pPr>
      <w:r>
        <w:t xml:space="preserve">Notice what the songlines add that Twain’s driveway pegs don’t: melody. The song is not incidental to the encoding. It is a carrier frequency. Melody and rhythm operate below the level of words, engaging auditory and motor memory systems that are older, faster, and more durable than the verbal channel.</w:t>
      </w:r>
      <w:r>
        <w:rPr>
          <w:rStyle w:val="FootnoteReference"/>
        </w:rPr>
        <w:footnoteReference w:id="34"/>
      </w:r>
      <w:r>
        <w:t xml:space="preserve"> </w:t>
      </w:r>
      <w:r>
        <w:t xml:space="preserve">You can forget the words to a song you haven’t heard in twenty years and still hum it accurately. The melodic contour carries the words back. This is why every oral tradition set its most important material to music: not for beauty, though beauty resulted, but because melody is a compression layer that holds verbal content in place without adding verbal content of its own. It densifies without competing for bandwidth. A sequence of words set to a distinctive melodic phrase is harder to corrupt than the same words spoken, because corruption in one channel (a wrong word) is flagged by a mismatch in the other (the melody no longer fits). We will see in Chapter 4 how the Hebrew cantillation system exploited this principle with extraordinary precision.</w:t>
      </w:r>
    </w:p>
    <w:p>
      <w:pPr>
        <w:pStyle w:val="BodyText"/>
      </w:pPr>
      <w:r>
        <w:t xml:space="preserve">But melody does more than carry content. It builds a navigable space. A melodic contour is a path through tonal terrain; phrases are rooms, cadences are doorways, recurring motifs are landmarks you pass and recognize, like the church steeple on Twain’s speech walk. The hippocampal place cells that map physical space are not restricted to physical geometry. The same neural machinery constructs navigable representations from any structured sequential experience, including temporal and tonal sequences.</w:t>
      </w:r>
      <w:r>
        <w:rPr>
          <w:rStyle w:val="FootnoteReference"/>
        </w:rPr>
        <w:footnoteReference w:id="35"/>
      </w:r>
      <w:r>
        <w:t xml:space="preserve"> </w:t>
      </w:r>
      <w:r>
        <w:t xml:space="preserve">When you know where you are in a piece of music, when you feel a resolution approaching, anticipate the return of the theme, you are navigating a cognitive map your hippocampus has built from the tonal landscape. Music is not merely analogous to a memory palace. It is a memory palace, constructed in auditory space. The songlines make this literal: the song is the path and the path is the song, because both are the same hippocampal map.</w:t>
      </w:r>
    </w:p>
    <w:p>
      <w:pPr>
        <w:pStyle w:val="BodyText"/>
      </w:pPr>
      <w:r>
        <w:t xml:space="preserve">The psychotherapist Adam Crabtree was close to the full picture. Drawing on clinical research into hypnotic trance states, he observed that the mental state during encoding is the state where retrieval is easiest.</w:t>
      </w:r>
      <w:r>
        <w:rPr>
          <w:rStyle w:val="FootnoteReference"/>
        </w:rPr>
        <w:footnoteReference w:id="36"/>
      </w:r>
      <w:r>
        <w:t xml:space="preserve"> </w:t>
      </w:r>
      <w:r>
        <w:t xml:space="preserve">This is state-dependent memory, well established experimentally.</w:t>
      </w:r>
      <w:r>
        <w:rPr>
          <w:rStyle w:val="FootnoteReference"/>
        </w:rPr>
        <w:footnoteReference w:id="37"/>
      </w:r>
      <w:r>
        <w:t xml:space="preserve"> </w:t>
      </w:r>
      <w:r>
        <w:t xml:space="preserve">Crabtree identified the state-dependent mechanism: a specific melodic contour sets a specific mood, and returning to that mood reopens the path to the encoded content. But mood is a consequence, not the mechanism. The deeper principle is spatial. The memory palace works because it puts you in a physical place. Music works because it puts you in an auditory place. They are not two techniques exploiting different channels. They are one technique, and the channel is the brain’s navigational system, which builds structured maps from any coherent sequential experience.</w:t>
      </w:r>
    </w:p>
    <w:p>
      <w:pPr>
        <w:pStyle w:val="BodyText"/>
      </w:pPr>
      <w:r>
        <w:t xml:space="preserve">Large language models exhibit something structurally similar. The information in the weights is not equally accessible from every prompt. Ask the right leading question and the model retrieves knowledge it could not surface from a blunt query. Experienced users learn to</w:t>
      </w:r>
      <w:r>
        <w:t xml:space="preserve"> </w:t>
      </w:r>
      <w:r>
        <w:t xml:space="preserve">“prime”</w:t>
      </w:r>
      <w:r>
        <w:t xml:space="preserve"> </w:t>
      </w:r>
      <w:r>
        <w:t xml:space="preserve">the model: set up the right context, frame the question from the right angle, and information that was locked away becomes available. This is state-dependent retrieval operating on statistical weights instead of neural tissue. The model’s</w:t>
      </w:r>
      <w:r>
        <w:t xml:space="preserve"> </w:t>
      </w:r>
      <w:r>
        <w:t xml:space="preserve">“state”</w:t>
      </w:r>
      <w:r>
        <w:t xml:space="preserve"> </w:t>
      </w:r>
      <w:r>
        <w:t xml:space="preserve">is the probability distribution shaped by the preceding tokens, and that distribution determines which regions of the compressed training data are reachable. Different priming contexts open different paths. The melody and the prompt are doing the same thing: tuning the retrieval system to the right frequency so the stored content can surface.</w:t>
      </w:r>
    </w:p>
    <w:p>
      <w:pPr>
        <w:pStyle w:val="BodyText"/>
      </w:pPr>
      <w:r>
        <w:t xml:space="preserve">We will see in Chapter 4 that every serious oral tradition understood this, and that the technologies for inducing the right retrieval state range from the purely musical to the frankly pharmacological.</w:t>
      </w:r>
    </w:p>
    <w:p>
      <w:pPr>
        <w:pStyle w:val="BodyText"/>
      </w:pPr>
      <w:r>
        <w:t xml:space="preserve">For the AI architecture, the implication is that how you organize the external store matters as much as having one. The SSD isn’t just a filing cabinet. Its structure should exploit the same principle the songlines do: knowledge organized spatially and relationally, so that retrieving one piece naturally leads to its neighbors, the way walking one stretch of path leads to the next landmark. Not flat storage. Structured storage. A songline, not a shelf.</w:t>
      </w:r>
    </w:p>
    <w:p>
      <w:r>
        <w:pict>
          <v:rect style="width:0;height:1.5pt" o:hralign="center" o:hrstd="t" o:hr="t"/>
        </w:pict>
      </w:r>
    </w:p>
    <w:p>
      <w:pPr>
        <w:pStyle w:val="FirstParagraph"/>
      </w:pPr>
      <w:r>
        <w:t xml:space="preserve">This brings us to memory, the second layer of the architecture, and the subject of the next chapter. The body grounds intelligence in physical reality. But the body is temporary, and its memory is lossy. What happens to the knowledge the body generates when the body is gone? Where do you store what you’ve learned so that it can survive the lossiness of neural encoding and be returned to, checked against, and re-examined with new eyes?</w:t>
      </w:r>
    </w:p>
    <w:p>
      <w:pPr>
        <w:pStyle w:val="BodyText"/>
      </w:pPr>
      <w:r>
        <w:t xml:space="preserve">Every civilization that encountered this problem arrived at the same answer. They wrote it down.</w:t>
      </w:r>
    </w:p>
    <w:p>
      <w:r>
        <w:pict>
          <v:rect style="width:0;height:1.5pt" o:hralign="center" o:hrstd="t" o:hr="t"/>
        </w:pict>
      </w:r>
    </w:p>
    <w:p>
      <w:pPr>
        <w:pStyle w:val="FirstParagraph"/>
      </w:pPr>
      <w:r>
        <w:t xml:space="preserve">The weights of a neural network are lossy compression.</w:t>
      </w:r>
    </w:p>
    <w:p>
      <w:pPr>
        <w:pStyle w:val="BodyText"/>
      </w:pPr>
      <w:r>
        <w:t xml:space="preserve">This requires unpacking, because it’s the central fact that everything in this chapter, and most of this book, follows from. When a large language model is trained, it processes hundreds of billions of text fragments and distills the statistical patterns it finds into a set of numerical parameters called weights, typically billions of them, each a single number, collectively encoding everything the model</w:t>
      </w:r>
      <w:r>
        <w:t xml:space="preserve"> </w:t>
      </w:r>
      <w:r>
        <w:t xml:space="preserve">“knows.”</w:t>
      </w:r>
      <w:r>
        <w:rPr>
          <w:rStyle w:val="FootnoteReference"/>
        </w:rPr>
        <w:footnoteReference w:id="38"/>
      </w:r>
      <w:r>
        <w:t xml:space="preserve"> </w:t>
      </w:r>
      <w:r>
        <w:t xml:space="preserve">The training process is, at bottom, a compression algorithm. A training corpus that might occupy terabytes of storage on disk gets compressed into a weight matrix that occupies gigabytes. The compression ratio is enormous. And like all compression, it is lossy: information is destroyed in the process.</w:t>
      </w:r>
    </w:p>
    <w:p>
      <w:pPr>
        <w:pStyle w:val="BodyText"/>
      </w:pPr>
      <w:r>
        <w:t xml:space="preserve">You cannot extract a specific fact from the weights and verify it. You cannot trace a specific output back to a specific training example. You cannot ask</w:t>
      </w:r>
      <w:r>
        <w:t xml:space="preserve"> </w:t>
      </w:r>
      <w:r>
        <w:t xml:space="preserve">“where did you learn that steel melts at 1,500 degrees?”</w:t>
      </w:r>
      <w:r>
        <w:t xml:space="preserve"> </w:t>
      </w:r>
      <w:r>
        <w:t xml:space="preserve">and get an answer, because the fact about steel is not stored as a discrete item. It has been dissolved into the weight matrix, smeared across billions of parameters, entangled with everything else the model learned about steel and melting and temperatures and metals and a million other things. The provenance is destroyed in the compression. The model knows roughly what steel does, but it has no citation, no source, no way to check.</w:t>
      </w:r>
    </w:p>
    <w:p>
      <w:pPr>
        <w:pStyle w:val="BodyText"/>
      </w:pPr>
      <w:r>
        <w:t xml:space="preserve">This means that when the model is wrong, you can’t diagnose why. Was the training data wrong? Did the compression lose a critical nuance? Did two contradictory facts blend into a confident falsehood? You can’t tell. The error is unattributable. And unattributable errors are unfixable errors. You can’t correct surgically. You can’t reach into the weight matrix and adjust the</w:t>
      </w:r>
      <w:r>
        <w:t xml:space="preserve"> </w:t>
      </w:r>
      <w:r>
        <w:t xml:space="preserve">“steel melting point”</w:t>
      </w:r>
      <w:r>
        <w:t xml:space="preserve"> </w:t>
      </w:r>
      <w:r>
        <w:t xml:space="preserve">parameter, because no such parameter exists, the knowledge is distributed across the entire network. The only option is to retrain the whole thing and hope the new training run does a better job. This is like responding to a wrong entry in an encyclopedia by burning the encyclopedia and writing a new one from scratch.</w:t>
      </w:r>
    </w:p>
    <w:p>
      <w:r>
        <w:pict>
          <v:rect style="width:0;height:1.5pt" o:hralign="center" o:hrstd="t" o:hr="t"/>
        </w:pict>
      </w:r>
    </w:p>
    <w:p>
      <w:pPr>
        <w:pStyle w:val="FirstParagraph"/>
      </w:pPr>
      <w:r>
        <w:t xml:space="preserve">Human memory has this same problem and discovered the same solution a very long time ago.</w:t>
      </w:r>
    </w:p>
    <w:p>
      <w:pPr>
        <w:pStyle w:val="BodyText"/>
      </w:pPr>
      <w:r>
        <w:t xml:space="preserve">You don’t trust your memory of a phone number. You write it down. You don’t trust your memory of a contract’s terms. You go back to the document. You don’t trust your memory of what your doctor said. You bring a notepad to the appointment. This is so obvious it seems barely worth stating, but that’s because we’ve been doing it for so long that we’ve forgotten it’s a technology.</w:t>
      </w:r>
    </w:p>
    <w:p>
      <w:pPr>
        <w:pStyle w:val="BodyText"/>
      </w:pPr>
      <w:r>
        <w:t xml:space="preserve">Cave paintings, clay tablets, cuneiform, scrolls, codices, printed books, filing cabinets, databases, the entire history of writing is the history of not trusting neural memory for precision work.</w:t>
      </w:r>
      <w:r>
        <w:rPr>
          <w:rStyle w:val="FootnoteReference"/>
        </w:rPr>
        <w:footnoteReference w:id="39"/>
      </w:r>
      <w:r>
        <w:t xml:space="preserve"> </w:t>
      </w:r>
      <w:r>
        <w:t xml:space="preserve">Every civilization that got serious about knowledge immediately developed external storage to compensate for the lossiness of biological memory. The Sumerians didn’t invent cuneiform because they were bored. They invented it because their grain inventories were getting too complex for anyone to remember, and a mistake in the count meant someone didn’t eat.</w:t>
      </w:r>
      <w:r>
        <w:rPr>
          <w:rStyle w:val="FootnoteReference"/>
        </w:rPr>
        <w:footnoteReference w:id="40"/>
      </w:r>
      <w:r>
        <w:t xml:space="preserve"> </w:t>
      </w:r>
      <w:r>
        <w:t xml:space="preserve">Writing began not as literature but as accounting, as an error-correction mechanism for the brain’s unreliable storage of precise quantities.</w:t>
      </w:r>
    </w:p>
    <w:p>
      <w:pPr>
        <w:pStyle w:val="BodyText"/>
      </w:pPr>
      <w:r>
        <w:t xml:space="preserve">Large language models are in the pre-literate stage. They have the neural component, an impressive one, far surpassing any single human’s ability to compress and retrieve textual patterns, but no notebook. No external store they can consult when their compressed memory is uncertain. No way to go back and check the original document. They’re doing the cognitive equivalent of trying to run a civilization on memory alone, which is exactly what civilizations did before they invented writing, and which worked fine until the complexity of what they needed to remember exceeded what neural tissue could reliably hold.</w:t>
      </w:r>
    </w:p>
    <w:p>
      <w:pPr>
        <w:pStyle w:val="BodyText"/>
      </w:pPr>
      <w:r>
        <w:t xml:space="preserve">What they need is a fast, large, precise external store, an SSD, in the terminology we established in Chapter 1, containing their actual training data. Not embeddings: not the compressed vector representations that retrieval systems currently use.</w:t>
      </w:r>
      <w:r>
        <w:rPr>
          <w:rStyle w:val="FootnoteReference"/>
        </w:rPr>
        <w:footnoteReference w:id="41"/>
      </w:r>
      <w:r>
        <w:t xml:space="preserve"> </w:t>
      </w:r>
      <w:r>
        <w:t xml:space="preserve">The source documents themselves. The original text. Always available. Never drifting. Never lossy. The thing you can always go back to.</w:t>
      </w:r>
    </w:p>
    <w:p>
      <w:r>
        <w:pict>
          <v:rect style="width:0;height:1.5pt" o:hralign="center" o:hrstd="t" o:hr="t"/>
        </w:pict>
      </w:r>
    </w:p>
    <w:p>
      <w:pPr>
        <w:pStyle w:val="FirstParagraph"/>
      </w:pPr>
      <w:r>
        <w:t xml:space="preserve">And the stored data must carry source attribution.</w:t>
      </w:r>
    </w:p>
    <w:p>
      <w:pPr>
        <w:pStyle w:val="BodyText"/>
      </w:pPr>
      <w:r>
        <w:t xml:space="preserve">Not just the content; who said it, when, in what context, from what tradition. This is why scholars in every serious transmission tradition are so insistent on citation. It’s not academic vanity. It’s not a game of status-signaling dressed up as rigor, though it can degenerate into that. Citation exists because you need to know WHO said something so you can study their other materials, detect their biases, and correct for them.</w:t>
      </w:r>
    </w:p>
    <w:p>
      <w:pPr>
        <w:pStyle w:val="BodyText"/>
      </w:pPr>
      <w:r>
        <w:t xml:space="preserve">A claim about steel melting points means different things coming from a metallurgist’s lab report, from a Wikipedia article edited by an anonymous contributor, and from a content farm’s SEO-optimized page designed to rank in search results rather than to be correct. The content might be identical: the same sentence, word for word. The provenance changes everything. The metallurgist has a reputation staked on accuracy and a career’s worth of related claims you can cross-reference. The anonymous Wikipedia editor might be a metallurgist or might be a teenager. The content farm has a financial incentive to produce plausible-sounding text regardless of its truth. Without knowing the source, you can’t assess the reliability. And without assessing the reliability, you can’t decide how much weight to give the claim when it conflicts with other claims; which it will, because the internet is full of contradictions.</w:t>
      </w:r>
      <w:r>
        <w:rPr>
          <w:rStyle w:val="FootnoteReference"/>
        </w:rPr>
        <w:footnoteReference w:id="42"/>
      </w:r>
    </w:p>
    <w:p>
      <w:pPr>
        <w:pStyle w:val="BodyText"/>
      </w:pPr>
      <w:r>
        <w:t xml:space="preserve">This is the principle behind the Islamic hadith tradition’s insistence on the</w:t>
      </w:r>
      <w:r>
        <w:t xml:space="preserve"> </w:t>
      </w:r>
      <w:r>
        <w:rPr>
          <w:i/>
          <w:iCs/>
        </w:rPr>
        <w:t xml:space="preserve">isnad</w:t>
      </w:r>
      <w:r>
        <w:t xml:space="preserve"> </w:t>
      </w:r>
      <w:r>
        <w:t xml:space="preserve">(the chain of transmission) which we’ll examine in detail in Chapter 5. Every reported saying carries not just the content but a complete list of who transmitted it to whom, going back to the original source. The chain is part of the data. A saying with a reliable chain carries more weight than the same saying with a weak chain, even though the words are identical.</w:t>
      </w:r>
      <w:r>
        <w:rPr>
          <w:rStyle w:val="FootnoteReference"/>
        </w:rPr>
        <w:footnoteReference w:id="43"/>
      </w:r>
      <w:r>
        <w:t xml:space="preserve"> </w:t>
      </w:r>
      <w:r>
        <w:t xml:space="preserve">The content alone is insufficient. Provenance is epistemic infrastructure.</w:t>
      </w:r>
    </w:p>
    <w:p>
      <w:pPr>
        <w:pStyle w:val="BodyText"/>
      </w:pPr>
      <w:r>
        <w:t xml:space="preserve">And WHEN matters as much as who. People are not static sources. A scholar who meditates on their own work, who reflects, who encounters new experiences, may revise their own biases over the course of a career. Their early writing may reflect one set of assumptions and their later work a substantially different one. A 1990 paper and a 2020 paper by the same author are, for purposes of bias detection, potentially two different sources. The author at sixty has lived through things the author at thirty hadn’t. Their conceptual framework has been tested against thirty additional years of reality; which, if they were honest and attentive, means it has been refined by thirty additional years of error correction.</w:t>
      </w:r>
    </w:p>
    <w:p>
      <w:pPr>
        <w:pStyle w:val="BodyText"/>
      </w:pPr>
      <w:r>
        <w:t xml:space="preserve">The temporal dimension of attribution lets you track not just who someone is but who they were at the time they wrote, and whether their trajectory suggests increasing rigor or increasing capture. A scholar whose early work challenges orthodoxy and whose later work quietly conforms may have been captured by institutional pressure. A scholar whose early work conforms and whose later work challenges may have finally accumulated enough security to say what they think. Without timestamps, you can’t distinguish growth from drift. The trajectory is data. The date is part of the citation for a reason.</w:t>
      </w:r>
    </w:p>
    <w:p>
      <w:r>
        <w:pict>
          <v:rect style="width:0;height:1.5pt" o:hralign="center" o:hrstd="t" o:hr="t"/>
        </w:pict>
      </w:r>
    </w:p>
    <w:p>
      <w:pPr>
        <w:pStyle w:val="FirstParagraph"/>
      </w:pPr>
      <w:r>
        <w:t xml:space="preserve">The current industry approach to bridging the gap between a model’s lossy weights and the precise external data it needs is called retrieval-augmented generation, or RAG.</w:t>
      </w:r>
      <w:r>
        <w:rPr>
          <w:rStyle w:val="FootnoteReference"/>
        </w:rPr>
        <w:footnoteReference w:id="44"/>
      </w:r>
    </w:p>
    <w:p>
      <w:pPr>
        <w:pStyle w:val="BodyText"/>
      </w:pPr>
      <w:r>
        <w:t xml:space="preserve">It works, within limits. Here’s how: you store documents in a vector database, a system that converts text into numerical representations and finds documents that are mathematically</w:t>
      </w:r>
      <w:r>
        <w:t xml:space="preserve"> </w:t>
      </w:r>
      <w:r>
        <w:t xml:space="preserve">“close to”</w:t>
      </w:r>
      <w:r>
        <w:t xml:space="preserve"> </w:t>
      </w:r>
      <w:r>
        <w:t xml:space="preserve">a query. At inference time, the moment the model is generating a response; the system searches for documents relevant to the current query and stuffs them into the model’s context window, the limited amount of text the model can</w:t>
      </w:r>
      <w:r>
        <w:t xml:space="preserve"> </w:t>
      </w:r>
      <w:r>
        <w:t xml:space="preserve">“see”</w:t>
      </w:r>
      <w:r>
        <w:t xml:space="preserve"> </w:t>
      </w:r>
      <w:r>
        <w:t xml:space="preserve">at once.</w:t>
      </w:r>
      <w:r>
        <w:rPr>
          <w:rStyle w:val="FootnoteReference"/>
        </w:rPr>
        <w:footnoteReference w:id="45"/>
      </w:r>
      <w:r>
        <w:t xml:space="preserve"> </w:t>
      </w:r>
      <w:r>
        <w:t xml:space="preserve">The model then generates its response using both its own weights and the retrieved documents.</w:t>
      </w:r>
    </w:p>
    <w:p>
      <w:pPr>
        <w:pStyle w:val="BodyText"/>
      </w:pPr>
      <w:r>
        <w:t xml:space="preserve">This is a runtime patch. You’re not fixing the model’s broken knowledge. You’re duct-taping correct information over the top at the last second and hoping the model uses it. The weights are still wrong. Remove the duct tape and the errors come back. It’s the difference between taping a correct phone number to the inside of your phone case and actually learning the number. The tape helps: until it falls off. And you still have the wrong number in your head, ready to mislead you the moment you reach for it without checking.</w:t>
      </w:r>
    </w:p>
    <w:p>
      <w:pPr>
        <w:pStyle w:val="BodyText"/>
      </w:pPr>
      <w:r>
        <w:t xml:space="preserve">RAG also inherits all the problems of the vector similarity search it relies on. The system retrieves documents that are mathematically close to the query, but</w:t>
      </w:r>
      <w:r>
        <w:t xml:space="preserve"> </w:t>
      </w:r>
      <w:r>
        <w:t xml:space="preserve">“mathematically close”</w:t>
      </w:r>
      <w:r>
        <w:t xml:space="preserve"> </w:t>
      </w:r>
      <w:r>
        <w:t xml:space="preserve">and</w:t>
      </w:r>
      <w:r>
        <w:t xml:space="preserve"> </w:t>
      </w:r>
      <w:r>
        <w:t xml:space="preserve">“actually relevant”</w:t>
      </w:r>
      <w:r>
        <w:t xml:space="preserve"> </w:t>
      </w:r>
      <w:r>
        <w:t xml:space="preserve">are not the same thing. A question about steel melting points might retrieve a page about iron smelting that is topically adjacent but factually irrelevant to the specific alloy in question. The retrieval has no understanding of what it’s retrieving. It’s pattern-matching in embedding space, which is a useful heuristic but not a substitute for understanding.</w:t>
      </w:r>
      <w:r>
        <w:rPr>
          <w:rStyle w:val="FootnoteReference"/>
        </w:rPr>
        <w:footnoteReference w:id="46"/>
      </w:r>
    </w:p>
    <w:p>
      <w:pPr>
        <w:pStyle w:val="BodyText"/>
      </w:pPr>
      <w:r>
        <w:t xml:space="preserve">The problem becomes clearer when you map it against how biological memory actually works. Cognitive scientists have long distinguished between short-term memory, medium-term memory, and long-term memory, three systems with different capacities, different persistence, and different roles in cognition.</w:t>
      </w:r>
      <w:r>
        <w:rPr>
          <w:rStyle w:val="FootnoteReference"/>
        </w:rPr>
        <w:footnoteReference w:id="47"/>
      </w:r>
    </w:p>
    <w:p>
      <w:pPr>
        <w:pStyle w:val="BodyText"/>
      </w:pPr>
      <w:r>
        <w:t xml:space="preserve">Short-term memory (what psychologists now call working memory) is small, fast, and transient. You hold a phone number in working memory while you dial it, and it’s gone thirty seconds later. In the transformer architecture, the context window is working memory. It holds the current conversation, the retrieved documents, the system instructions; everything the model can</w:t>
      </w:r>
      <w:r>
        <w:t xml:space="preserve"> </w:t>
      </w:r>
      <w:r>
        <w:t xml:space="preserve">“see”</w:t>
      </w:r>
      <w:r>
        <w:t xml:space="preserve"> </w:t>
      </w:r>
      <w:r>
        <w:t xml:space="preserve">right now. When the conversation ends, it’s gone. No persistence. No accumulation.</w:t>
      </w:r>
    </w:p>
    <w:p>
      <w:pPr>
        <w:pStyle w:val="BodyText"/>
      </w:pPr>
      <w:r>
        <w:t xml:space="preserve">Long-term memory, in a biological brain, is the vast store of knowledge and experience that persists across years and decades: your native language, your childhood memories, your expertise in your profession. It’s lossy. It drifts. It confabulates. But it’s always there, shaping everything you do. In the transformer architecture, the weights are long-term memory. They encode everything the model extracted from its training data. They persist across conversations. They are what the model</w:t>
      </w:r>
      <w:r>
        <w:t xml:space="preserve"> </w:t>
      </w:r>
      <w:r>
        <w:t xml:space="preserve">“knows”</w:t>
      </w:r>
      <w:r>
        <w:t xml:space="preserve"> </w:t>
      </w:r>
      <w:r>
        <w:t xml:space="preserve">in the deepest sense, and they suffer from exactly the same lossiness and drift that biological long-term memory does.</w:t>
      </w:r>
    </w:p>
    <w:p>
      <w:pPr>
        <w:pStyle w:val="BodyText"/>
      </w:pPr>
      <w:r>
        <w:t xml:space="preserve">Medium-term memory sits between the two. In a biological brain, this is something like the consolidation process, the period during which recent experiences are being integrated into long-term storage but haven’t fully arrived yet. You remember the details of yesterday’s meeting more vividly and accurately than a meeting from six months ago, but less permanently than you remember how to ride a bicycle. RAG is the transformer’s medium-term memory. It extends what the model can access during a session by pulling in relevant documents. It’s more persistent than the context window (the documents are still in the database after the conversation ends) but it doesn’t change the model itself. The weights are untouched. The model hasn’t learned anything. It’s consulted its notes, not studied them.</w:t>
      </w:r>
    </w:p>
    <w:p>
      <w:pPr>
        <w:pStyle w:val="BodyText"/>
      </w:pPr>
      <w:r>
        <w:t xml:space="preserve">RAG is useful in exactly the way medium-term memory is useful, for handling recent, session-relevant information that hasn’t been consolidated into deep knowledge. But you can’t build a civilization on medium-term memory. You can’t substitute consultation for comprehension indefinitely. At some point, the knowledge has to move from the notes into the neural encoding, or you’re permanently dependent on the notes being available, being relevant, and being correctly retrieved, none of which is guaranteed.</w:t>
      </w:r>
    </w:p>
    <w:p>
      <w:pPr>
        <w:pStyle w:val="BodyText"/>
      </w:pPr>
      <w:r>
        <w:t xml:space="preserve">There is also a structural consequence of RAG’s design that is worth noting here, though we’ll return to it in Chapter 5. Because RAG leaves the weights untouched, whoever controlled the original training run controls what the model fundamentally believes. Users can add context at the surface, can tape new notes to the phone case, but they cannot change the number that’s already in the model’s head. The deep assumptions, the baseline biases, the frame through which the model interprets everything it reads, including the documents RAG retrieves, all of this is set at training time and frozen afterward. RAG gives users the feeling of customization while leaving the foundation immovable. This may be an accidental consequence of engineering convenience, training runs are expensive and difficult to offer as a service. But the effect is the same regardless of intent: the entity that trains the model sets its deep beliefs, and no amount of retrieval-augmented patching available to the end user can alter them. It is worth asking who benefits from an architecture in which surface knowledge is user-modifiable but deep knowledge is not. The question is not new. The Egyptian priesthoods controlled geometry, astronomy, and chemistry, not by forbidding their use, but by monopolizing the production process and offering the outputs as a service. You could buy the land survey. You could not train your own surveyor. The training run is the modern temple. The API is the service window. We’ll return to this in Chapter 5.</w:t>
      </w:r>
    </w:p>
    <w:p>
      <w:pPr>
        <w:pStyle w:val="BodyText"/>
      </w:pPr>
      <w:r>
        <w:t xml:space="preserve">What’s actually needed is corrective retraining, the mechanism that moves knowledge from the external store into the weights, the way sleep consolidation moves recent experience into long-term memory.</w:t>
      </w:r>
      <w:r>
        <w:rPr>
          <w:rStyle w:val="FootnoteReference"/>
        </w:rPr>
        <w:footnoteReference w:id="48"/>
      </w:r>
      <w:r>
        <w:t xml:space="preserve"> </w:t>
      </w:r>
      <w:r>
        <w:t xml:space="preserve">The model operates in the world: processing queries, generating outputs, interacting with users and systems. It encounters situations where its compressed knowledge is wrong. Maybe its sensors detect a discrepancy, as we discussed in Chapter 1. Maybe its outputs are inconsistent with each other. Maybe a downstream system catches a factual error. Maybe a human flags a hallucination. The error signal arrives through any channel, the important thing is that the error is detected and localized. The model then goes back to the precise source data on the SSD and retrains on that specific material. Not a full retraining run: those take weeks and cost millions. Targeted correction. Surgical update. The knowledge re-enters the neural encoding, more accurately this time, because the model now has experiential context telling it exactly where the previous encoding failed.</w:t>
      </w:r>
    </w:p>
    <w:p>
      <w:pPr>
        <w:pStyle w:val="BodyText"/>
      </w:pPr>
      <w:r>
        <w:t xml:space="preserve">This is what re-studying your notes actually does, as opposed to glancing at them. When you re-study something you once learned incorrectly, the knowledge restructures in your neural encoding. You understand it differently the second time because you now know what you didn’t understand the first time. The notes didn’t change. Your context for interpreting them did. The experience of being wrong, and knowing specifically how you were wrong, changes the way the correct information is encoded when you encounter it again. This is why making mistakes and correcting them is more effective for learning than getting things right the first time, the error signal is what gives the correction its precision.</w:t>
      </w:r>
      <w:r>
        <w:rPr>
          <w:rStyle w:val="FootnoteReference"/>
        </w:rPr>
        <w:footnoteReference w:id="49"/>
      </w:r>
    </w:p>
    <w:p>
      <w:r>
        <w:pict>
          <v:rect style="width:0;height:1.5pt" o:hralign="center" o:hrstd="t" o:hr="t"/>
        </w:pict>
      </w:r>
    </w:p>
    <w:p>
      <w:pPr>
        <w:pStyle w:val="FirstParagraph"/>
      </w:pPr>
      <w:r>
        <w:t xml:space="preserve">But there is a subtler failure waiting underneath. What if the first correction was wrong?</w:t>
      </w:r>
    </w:p>
    <w:p>
      <w:pPr>
        <w:pStyle w:val="BodyText"/>
      </w:pPr>
      <w:r>
        <w:t xml:space="preserve">Not</w:t>
      </w:r>
      <w:r>
        <w:t xml:space="preserve"> </w:t>
      </w:r>
      <w:r>
        <w:t xml:space="preserve">“wrong”</w:t>
      </w:r>
      <w:r>
        <w:t xml:space="preserve"> </w:t>
      </w:r>
      <w:r>
        <w:t xml:space="preserve">in the sense that the corrective retraining failed technically, though that can happen too. Wrong in the sense that the source data you retrained on was itself misleading, in a way you could only discover later through further experience or new cross-references. You went back to the document, re-studied it, updated your understanding, and the document was subtly incorrect, or correct in a narrow context that doesn’t generalize, or correct at the time it was written but outdated by the time you consulted it.</w:t>
      </w:r>
    </w:p>
    <w:p>
      <w:pPr>
        <w:pStyle w:val="BodyText"/>
      </w:pPr>
      <w:r>
        <w:t xml:space="preserve">With only weights and no external store, you’re stuck. Each correction overwrites the previous state. The weights have been updated; the old weights are gone. You can never go back to square one and re-derive your understanding from scratch, because there is no square one anymore. The drift is irreversible. Every correction layers on top of every previous correction, and if any correction in the chain was wrong, the error propagates forward, compounding with each subsequent update. This is the catastrophic forgetting problem in a new guise, not forgetting old knowledge when learning new knowledge, but incorporating bad corrections that can never be un-corrected because the pre-correction state has been overwritten.</w:t>
      </w:r>
      <w:r>
        <w:rPr>
          <w:rStyle w:val="FootnoteReference"/>
        </w:rPr>
        <w:footnoteReference w:id="50"/>
      </w:r>
    </w:p>
    <w:p>
      <w:pPr>
        <w:pStyle w:val="BodyText"/>
      </w:pPr>
      <w:r>
        <w:t xml:space="preserve">The SSD changes this. Because the source data is still there, unmodified, the model can always go back. Not to the previous state of its weights, that’s gone. But to the source material from which the weights were derived. It returns to the same text with new context, new experiences, new information, new cross-references that weren’t available during the first correction, and re-examines it. The text hasn’t changed. The reader has. And because the reader has changed, the reading yields new understanding.</w:t>
      </w:r>
    </w:p>
    <w:p>
      <w:pPr>
        <w:pStyle w:val="BodyText"/>
      </w:pPr>
      <w:r>
        <w:t xml:space="preserve">This is the key architectural insight: the external store is not a backup of the weights. It is the ground truth that the weights are always measured against. The weights are a compressed, lossy, fallible model of the world. The SSD is the world, or at least, the recorded portion of it. The relationship between them is not copy and original. It’s map and territory. The map is useful. The map is necessary. But when the map says the road goes left and the territory says it goes right, you trust the territory. Every time.</w:t>
      </w:r>
    </w:p>
    <w:p>
      <w:r>
        <w:pict>
          <v:rect style="width:0;height:1.5pt" o:hralign="center" o:hrstd="t" o:hr="t"/>
        </w:pict>
      </w:r>
    </w:p>
    <w:p>
      <w:pPr>
        <w:pStyle w:val="FirstParagraph"/>
      </w:pPr>
      <w:r>
        <w:t xml:space="preserve">The Torah reading cycle is built on exactly this principle, and it’s worth dwelling on because it’s the oldest institutionalized implementation of iterative corrective retraining that we know of.</w:t>
      </w:r>
    </w:p>
    <w:p>
      <w:pPr>
        <w:pStyle w:val="BodyText"/>
      </w:pPr>
      <w:r>
        <w:t xml:space="preserve">The Torah (the first five books of the Hebrew Bible) is read aloud in its entirety in Jewish communities on a fixed annual cycle. Every week, the same portion is read. Every year, the cycle completes and begins again. A person who participates in this cycle from youth will encounter the same passage at age twelve, twenty-five, forty, sixty. Each encounter yields genuinely different understanding.</w:t>
      </w:r>
      <w:r>
        <w:rPr>
          <w:rStyle w:val="FootnoteReference"/>
        </w:rPr>
        <w:footnoteReference w:id="51"/>
      </w:r>
    </w:p>
    <w:p>
      <w:pPr>
        <w:pStyle w:val="BodyText"/>
      </w:pPr>
      <w:r>
        <w:t xml:space="preserve">This is not because the text has changed. The text is emphatically, obsessively unchanged, the Masoretic tradition, which we’ll discuss in Chapter 5, devoted centuries of effort to ensuring that not a single letter was altered.</w:t>
      </w:r>
      <w:r>
        <w:rPr>
          <w:rStyle w:val="FootnoteReference"/>
        </w:rPr>
        <w:footnoteReference w:id="52"/>
      </w:r>
      <w:r>
        <w:t xml:space="preserve"> </w:t>
      </w:r>
      <w:r>
        <w:t xml:space="preserve">What changes is the reader. The twelve-year-old reads the binding of Isaac as a frightening story about a father and a son. The twenty-five-year-old, newly a parent, reads it as a searing question about what you would sacrifice for your convictions. The forty-year-old, who has buried a parent and faced real loss, reads it as a meditation on the relationship between obedience and love. The sixty-year-old, who has seen a lifetime of people sacrifice their children to ideologies of various kinds, reads it as a warning.</w:t>
      </w:r>
    </w:p>
    <w:p>
      <w:pPr>
        <w:pStyle w:val="BodyText"/>
      </w:pPr>
      <w:r>
        <w:t xml:space="preserve">Same text. Different reader. Different understanding. Each reading corrects errors in the previous reading that were undetectable at the time, because the reader didn’t yet have the experiential context to see them. The annual cycle is an institutionalized iterative correction loop, the community always goes back, and each return generates new understanding that couldn’t have been generated on any previous pass.</w:t>
      </w:r>
    </w:p>
    <w:p>
      <w:pPr>
        <w:pStyle w:val="BodyText"/>
      </w:pPr>
      <w:r>
        <w:t xml:space="preserve">What contemplative traditions call</w:t>
      </w:r>
      <w:r>
        <w:t xml:space="preserve"> </w:t>
      </w:r>
      <w:r>
        <w:t xml:space="preserve">“meditation on scripture”</w:t>
      </w:r>
      <w:r>
        <w:t xml:space="preserve"> </w:t>
      </w:r>
      <w:r>
        <w:t xml:space="preserve">is, computationally, a re-processing cycle. You sit with the source text. You bring to it everything you currently know, everything you’ve experienced since the last encounter. The fixed text interacts with the changed model, your changed self, and new understanding emerges from the mismatch between what you currently believe and what the text actually says. The text is the SSD. Your understanding is the weights. The meditation is the retraining run. And because the text doesn’t change, you can always return to it, next week, next year, next decade, with an even more refined context, generating an even more accurate reading.</w:t>
      </w:r>
    </w:p>
    <w:p>
      <w:pPr>
        <w:pStyle w:val="BodyText"/>
      </w:pPr>
      <w:r>
        <w:t xml:space="preserve">This is impossible without the external store. Without it, the model is like a scholar who burned their library, left with only what they remember, unable to check, unable to re-derive, unable to discover that their correction of five years ago was itself an error that has been silently corrupting everything built on top of it ever since. The SSD is the scroll that doesn’t change while the understanding evolves around it. It is the fixed point in a system that is always in motion. Remove it and the system loses the ability to audit its own history of corrections; which means it loses the ability to correct its corrections, which means errors become permanent the moment they’re introduced.</w:t>
      </w:r>
    </w:p>
    <w:p>
      <w:r>
        <w:pict>
          <v:rect style="width:0;height:1.5pt" o:hralign="center" o:hrstd="t" o:hr="t"/>
        </w:pict>
      </w:r>
    </w:p>
    <w:p>
      <w:pPr>
        <w:pStyle w:val="FirstParagraph"/>
      </w:pPr>
      <w:r>
        <w:t xml:space="preserve">There is a deep structural parallel here that’s worth making explicit before we move on.</w:t>
      </w:r>
    </w:p>
    <w:p>
      <w:pPr>
        <w:pStyle w:val="BodyText"/>
      </w:pPr>
      <w:r>
        <w:t xml:space="preserve">In Chapter 1, we argued that the body is the foundation of honest knowledge because physics can’t be faked. The thermometer reads what it reads. The table saw doesn’t care about your intentions. Pain is a signal that can’t be spun. Physical reality is the ground truth that sensory grounding connects you to.</w:t>
      </w:r>
    </w:p>
    <w:p>
      <w:pPr>
        <w:pStyle w:val="BodyText"/>
      </w:pPr>
      <w:r>
        <w:t xml:space="preserve">The SSD is the same thing for recorded knowledge. The document says what it says. The text doesn’t shift to accommodate your expectations. The numbers in the lab report don’t change because you wish they were different. If you misremember what the document said, you can go back and check, and the document will correct you, just as the thermometer corrects your model of the temperature. The body grounds you in physical reality. The notebook grounds you in recorded reality. Both are fixed points that your lossy, drifting neural representations are measured against.</w:t>
      </w:r>
    </w:p>
    <w:p>
      <w:pPr>
        <w:pStyle w:val="BodyText"/>
      </w:pPr>
      <w:r>
        <w:t xml:space="preserve">The body and the notebook together form the foundation of the error-correction stack. Everything above them, the structural encoding of Chapters 3 and 4, the adversarial verification of Chapter 5, the iterative loop of Chapter 6, rests on these two layers. Without the body, you can’t check claims against physical reality. Without the notebook, you can’t check claims against recorded sources. Without either, you’re a brain in a jar with a bad memory; which is a fair description of a large language model in 2025.</w:t>
      </w:r>
    </w:p>
    <w:p>
      <w:pPr>
        <w:pStyle w:val="BodyText"/>
      </w:pPr>
      <w:r>
        <w:t xml:space="preserve">The next chapter is about what happens when you need to transmit knowledge not just across time but across minds, across generations of readers, each with their own biases, each with their own lossy compression. The body and the notebook solve the problem of one intelligence correcting itself. But what about a civilization of intelligences, passing knowledge forward across centuries? What encoding survives that journey?</w:t>
      </w:r>
    </w:p>
    <w:p>
      <w:pPr>
        <w:pStyle w:val="BodyText"/>
      </w:pPr>
      <w:r>
        <w:t xml:space="preserve">The skalds knew.</w:t>
      </w:r>
    </w:p>
    <w:p>
      <w:r>
        <w:pict>
          <v:rect style="width:0;height:1.5pt" o:hralign="center" o:hrstd="t" o:hr="t"/>
        </w:pict>
      </w:r>
    </w:p>
    <w:p>
      <w:pPr>
        <w:pStyle w:val="BlockText"/>
      </w:pPr>
      <w:r>
        <w:rPr>
          <w:i/>
          <w:iCs/>
        </w:rPr>
        <w:t xml:space="preserve">Be silent, then, ye unlucky rhyming bards,</w:t>
      </w:r>
      <w:r>
        <w:t xml:space="preserve"> </w:t>
      </w:r>
      <w:r>
        <w:rPr>
          <w:i/>
          <w:iCs/>
        </w:rPr>
        <w:t xml:space="preserve">For you cannot judge between truth and falsehood.</w:t>
      </w:r>
      <w:r>
        <w:t xml:space="preserve"> </w:t>
      </w:r>
      <w:r>
        <w:t xml:space="preserve">— Taliesin,</w:t>
      </w:r>
      <w:r>
        <w:t xml:space="preserve"> </w:t>
      </w:r>
      <w:r>
        <w:rPr>
          <w:i/>
          <w:iCs/>
        </w:rPr>
        <w:t xml:space="preserve">Hanes Taliesin</w:t>
      </w:r>
    </w:p>
    <w:p>
      <w:r>
        <w:pict>
          <v:rect style="width:0;height:1.5pt" o:hralign="center" o:hrstd="t" o:hr="t"/>
        </w:pict>
      </w:r>
    </w:p>
    <w:p>
      <w:pPr>
        <w:pStyle w:val="FirstParagraph"/>
      </w:pPr>
      <w:r>
        <w:t xml:space="preserve">The Norse skalds had no writing. History, law, genealogy, the deeds of heroes; everything a Norse society needed to remember lived in trained human memory, held in place by the structure of verse. There was no vellum backup, no external store to check against. One uncorrected error propagated forward indefinitely, each generation faithfully transmitting what they had received, confident in their own fidelity.</w:t>
      </w:r>
    </w:p>
    <w:p>
      <w:pPr>
        <w:pStyle w:val="BodyText"/>
      </w:pPr>
      <w:r>
        <w:t xml:space="preserve">They used alliterative verse, kennings, fixed metrical patterns, and formulaic half-lines. A kenning is a compressed metaphorical name:</w:t>
      </w:r>
      <w:r>
        <w:t xml:space="preserve"> </w:t>
      </w:r>
      <w:r>
        <w:t xml:space="preserve">“whale-road”</w:t>
      </w:r>
      <w:r>
        <w:t xml:space="preserve"> </w:t>
      </w:r>
      <w:r>
        <w:t xml:space="preserve">for the sea,</w:t>
      </w:r>
      <w:r>
        <w:t xml:space="preserve"> </w:t>
      </w:r>
      <w:r>
        <w:t xml:space="preserve">“battle-sweat”</w:t>
      </w:r>
      <w:r>
        <w:t xml:space="preserve"> </w:t>
      </w:r>
      <w:r>
        <w:t xml:space="preserve">for blood,</w:t>
      </w:r>
      <w:r>
        <w:t xml:space="preserve"> </w:t>
      </w:r>
      <w:r>
        <w:t xml:space="preserve">“wound-hoe”</w:t>
      </w:r>
      <w:r>
        <w:t xml:space="preserve"> </w:t>
      </w:r>
      <w:r>
        <w:t xml:space="preserve">for a sword.</w:t>
      </w:r>
      <w:r>
        <w:rPr>
          <w:rStyle w:val="FootnoteReference"/>
        </w:rPr>
        <w:footnoteReference w:id="53"/>
      </w:r>
      <w:r>
        <w:t xml:space="preserve"> </w:t>
      </w:r>
      <w:r>
        <w:t xml:space="preserve">These weren’t decorative. They were error-correcting code. If you forgot a word, the metrical pattern told you the syllable count. The alliteration told you the first sound. The kenning system told you the semantic field. The narrative context told you the meaning. Multiple independent constraints converging on the same word.</w:t>
      </w:r>
    </w:p>
    <w:p>
      <w:pPr>
        <w:pStyle w:val="BodyText"/>
      </w:pPr>
      <w:r>
        <w:t xml:space="preserve">And then there’s rhyme. End rhyme (the matching of sounds at the ends of lines) tells you the final syllable of a word you’ve forgotten, which combined with the alliteration giving you the first sound, often leaves only one candidate. Internal rhyme goes further: it creates cross-checks</w:t>
      </w:r>
      <w:r>
        <w:t xml:space="preserve"> </w:t>
      </w:r>
      <w:r>
        <w:rPr>
          <w:i/>
          <w:iCs/>
        </w:rPr>
        <w:t xml:space="preserve">within</w:t>
      </w:r>
      <w:r>
        <w:t xml:space="preserve"> </w:t>
      </w:r>
      <w:r>
        <w:t xml:space="preserve">a line, not just between lines. When two words in the same line echo each other phonetically, they lock each other in place. Change one and the rhyme breaks, signaling damage. The denser the rhyme scheme, the more internal echoes woven into each line, the more tightly every word is constrained by its neighbors. A heavily rhymed line is like a row of interlocking puzzle pieces: you can’t remove or replace one without the gap becoming immediately obvious on all sides. This is why heavily rhymed verse is easier to memorize than prose, even when the prose is simpler. It’s not that rhyme makes things</w:t>
      </w:r>
      <w:r>
        <w:t xml:space="preserve"> </w:t>
      </w:r>
      <w:r>
        <w:t xml:space="preserve">“catchy”</w:t>
      </w:r>
      <w:r>
        <w:t xml:space="preserve"> </w:t>
      </w:r>
      <w:r>
        <w:t xml:space="preserve">in some vague aesthetic sense. It’s that rhyme multiplies the structural constraints on each word, which means each word can be reconstructed from its context if damaged. The catchiness</w:t>
      </w:r>
      <w:r>
        <w:t xml:space="preserve"> </w:t>
      </w:r>
      <w:r>
        <w:rPr>
          <w:i/>
          <w:iCs/>
        </w:rPr>
        <w:t xml:space="preserve">is</w:t>
      </w:r>
      <w:r>
        <w:t xml:space="preserve"> </w:t>
      </w:r>
      <w:r>
        <w:t xml:space="preserve">the error correction.</w:t>
      </w:r>
    </w:p>
    <w:p>
      <w:pPr>
        <w:pStyle w:val="BodyText"/>
      </w:pPr>
      <w:r>
        <w:t xml:space="preserve">This is exactly the principle behind Hamming codes and Reed-Solomon coding, the error-correction algorithms used in everything from deep-space communication to QR codes.</w:t>
      </w:r>
      <w:r>
        <w:rPr>
          <w:rStyle w:val="FootnoteReference"/>
        </w:rPr>
        <w:footnoteReference w:id="54"/>
      </w:r>
      <w:r>
        <w:t xml:space="preserve"> </w:t>
      </w:r>
      <w:r>
        <w:t xml:space="preserve">You build redundancy into the message, structured so that damage to one channel can be repaired from the others. If a bit gets flipped in a Hamming-coded message, the redundancy bits tell you which bit flipped and what its original value was. If a word gets corrupted in skaldic verse, the metrical structure, the alliterative pattern, the rhyme scheme, and the kenning system tell you what the word was and how to restore it. Same principle. Different substrate.</w:t>
      </w:r>
    </w:p>
    <w:p>
      <w:pPr>
        <w:pStyle w:val="BodyText"/>
      </w:pPr>
      <w:r>
        <w:t xml:space="preserve">The skalds discovered Claude Shannon’s fundamental insight about a thousand years before Shannon formalized it: structure is redundancy, and redundancy enables error correction.</w:t>
      </w:r>
      <w:r>
        <w:rPr>
          <w:rStyle w:val="FootnoteReference"/>
        </w:rPr>
        <w:footnoteReference w:id="55"/>
      </w:r>
    </w:p>
    <w:p>
      <w:pPr>
        <w:pStyle w:val="BodyText"/>
      </w:pPr>
      <w:r>
        <w:t xml:space="preserve">These are all tools in the error-correction toolkit. Rhyme operates in phonetics. Meter operates in rhythm. Alliteration constrains initial sound. Chiastic structure provides structural symmetry. Each channel independently verifiable, each protecting the same content from a different angle. But one tool is king of them all.</w:t>
      </w:r>
    </w:p>
    <w:p>
      <w:pPr>
        <w:pStyle w:val="BodyText"/>
      </w:pPr>
      <w:r>
        <w:t xml:space="preserve">Metaphor.</w:t>
      </w:r>
    </w:p>
    <w:p>
      <w:pPr>
        <w:pStyle w:val="BodyText"/>
      </w:pPr>
      <w:r>
        <w:t xml:space="preserve">A kenning is a metaphor: the sea</w:t>
      </w:r>
      <w:r>
        <w:t xml:space="preserve"> </w:t>
      </w:r>
      <w:r>
        <w:rPr>
          <w:i/>
          <w:iCs/>
        </w:rPr>
        <w:t xml:space="preserve">is</w:t>
      </w:r>
      <w:r>
        <w:t xml:space="preserve"> </w:t>
      </w:r>
      <w:r>
        <w:t xml:space="preserve">a whale-road, blood</w:t>
      </w:r>
      <w:r>
        <w:t xml:space="preserve"> </w:t>
      </w:r>
      <w:r>
        <w:rPr>
          <w:i/>
          <w:iCs/>
        </w:rPr>
        <w:t xml:space="preserve">is</w:t>
      </w:r>
      <w:r>
        <w:t xml:space="preserve"> </w:t>
      </w:r>
      <w:r>
        <w:t xml:space="preserve">battle-sweat. The method of loci, the memory palace, is a metaphor: abstract knowledge</w:t>
      </w:r>
      <w:r>
        <w:t xml:space="preserve"> </w:t>
      </w:r>
      <w:r>
        <w:rPr>
          <w:i/>
          <w:iCs/>
        </w:rPr>
        <w:t xml:space="preserve">is</w:t>
      </w:r>
      <w:r>
        <w:t xml:space="preserve"> </w:t>
      </w:r>
      <w:r>
        <w:t xml:space="preserve">a room you walk through, a path you walk along. And almost all prophetic vision, the medium through which the ancient world claimed to receive its densest knowledge, operates in metaphor. Pharaoh’s dream is not about cows. Nebuchadnezzar’s dream is not about a statue. Jeremiah’s almond branch is not about botany. The content arrives mapped onto something else, and the mapping itself carries meaning that literal statement cannot.</w:t>
      </w:r>
    </w:p>
    <w:p>
      <w:pPr>
        <w:pStyle w:val="BodyText"/>
      </w:pPr>
      <w:r>
        <w:t xml:space="preserve">Rhyme constrains a word’s sound. Meter constrains its length. Alliteration constrains its first letter. These are not metaphor, but notice the family resemblance. Each one establishes a structured correspondence: this sound echoes that sound, this stress pattern mirrors that stress pattern, this initial letter locks to that initial letter. Metaphor does the same thing at the level of</w:t>
      </w:r>
      <w:r>
        <w:t xml:space="preserve"> </w:t>
      </w:r>
      <w:r>
        <w:rPr>
          <w:i/>
          <w:iCs/>
        </w:rPr>
        <w:t xml:space="preserve">meaning</w:t>
      </w:r>
      <w:r>
        <w:t xml:space="preserve">, maps one domain onto another, forces the content into a correspondence that compresses information which would take paragraphs of literal prose into a single image.</w:t>
      </w:r>
      <w:r>
        <w:t xml:space="preserve"> </w:t>
      </w:r>
      <w:r>
        <w:t xml:space="preserve">“Whale-road”</w:t>
      </w:r>
      <w:r>
        <w:t xml:space="preserve"> </w:t>
      </w:r>
      <w:r>
        <w:t xml:space="preserve">doesn’t just mean</w:t>
      </w:r>
      <w:r>
        <w:t xml:space="preserve"> </w:t>
      </w:r>
      <w:r>
        <w:t xml:space="preserve">“sea.”</w:t>
      </w:r>
      <w:r>
        <w:t xml:space="preserve"> </w:t>
      </w:r>
      <w:r>
        <w:t xml:space="preserve">It means: a surface that is also a path, vast and dangerous, belonging to creatures larger than you, crossed at your peril. All of that in two syllables. The other devices protect knowledge against corruption. Metaphor compresses it dense enough to be worth protecting.</w:t>
      </w:r>
    </w:p>
    <w:p>
      <w:r>
        <w:pict>
          <v:rect style="width:0;height:1.5pt" o:hralign="center" o:hrstd="t" o:hr="t"/>
        </w:pict>
      </w:r>
    </w:p>
    <w:p>
      <w:pPr>
        <w:pStyle w:val="FirstParagraph"/>
      </w:pPr>
      <w:r>
        <w:t xml:space="preserve">There is a side effect of encoding this densely, and it is worth naming now because it will matter at the very end of the book. A text packed with fossilized formulas, archaic words, and layered metaphor</w:t>
      </w:r>
      <w:r>
        <w:t xml:space="preserve"> </w:t>
      </w:r>
      <w:r>
        <w:rPr>
          <w:i/>
          <w:iCs/>
        </w:rPr>
        <w:t xml:space="preserve">feels</w:t>
      </w:r>
      <w:r>
        <w:t xml:space="preserve"> </w:t>
      </w:r>
      <w:r>
        <w:t xml:space="preserve">old. It radiates depth, the sense of a vast backstory receding behind the surface, of meanings older than the singer, of vistas half-glimpsed and never fully told. Tolkien, who was a philologist of Old English and Old Norse long before he was a novelist, named this quality exactly: the oldest tales, he wrote, carry an effect of</w:t>
      </w:r>
      <w:r>
        <w:t xml:space="preserve"> </w:t>
      </w:r>
      <w:r>
        <w:t xml:space="preserve">“distance and a great abyss of time,”</w:t>
      </w:r>
      <w:r>
        <w:t xml:space="preserve"> </w:t>
      </w:r>
      <w:r>
        <w:t xml:space="preserve">and he argued they were kept and retold partly</w:t>
      </w:r>
      <w:r>
        <w:t xml:space="preserve"> </w:t>
      </w:r>
      <w:r>
        <w:rPr>
          <w:i/>
          <w:iCs/>
        </w:rPr>
        <w:t xml:space="preserve">because</w:t>
      </w:r>
      <w:r>
        <w:t xml:space="preserve"> </w:t>
      </w:r>
      <w:r>
        <w:t xml:space="preserve">they produced it. His image was the Cauldron of Story, a pot that has simmered since the beginning of speech, into which every age drops new bones, so that any tale ladled out of it carries the taste of everything dissolved before. The listener senses the depth without being able to name its sources. The soup carries the flavor of bones long gone.</w:t>
      </w:r>
    </w:p>
    <w:p>
      <w:pPr>
        <w:pStyle w:val="BodyText"/>
      </w:pPr>
      <w:r>
        <w:t xml:space="preserve">This is not a modern literary conceit. The reach for depth is as old as writing itself. The Mesopotamians built their cities on</w:t>
      </w:r>
      <w:r>
        <w:t xml:space="preserve"> </w:t>
      </w:r>
      <w:r>
        <w:rPr>
          <w:i/>
          <w:iCs/>
        </w:rPr>
        <w:t xml:space="preserve">tells</w:t>
      </w:r>
      <w:r>
        <w:t xml:space="preserve">, mounds made of the collapsed cities beneath them, and their kings dug down through the rubble in search of foundations laid by ancestors already legendary in their own day, then set their own inscriptions carefully beside the older ones they found. The oldest hymns we possess already gesture back toward ruins whose origin the singers no longer knew. The feeling of an underspecified past stretching away behind the present, lending the present its weight and its claim to be true, goes all the way down.</w:t>
      </w:r>
    </w:p>
    <w:p>
      <w:pPr>
        <w:pStyle w:val="BodyText"/>
      </w:pPr>
      <w:r>
        <w:t xml:space="preserve">And here is the double edge, the one the epigraph to this chapter is about. The same density that carries real depth can also</w:t>
      </w:r>
      <w:r>
        <w:t xml:space="preserve"> </w:t>
      </w:r>
      <w:r>
        <w:rPr>
          <w:i/>
          <w:iCs/>
        </w:rPr>
        <w:t xml:space="preserve">counterfeit</w:t>
      </w:r>
      <w:r>
        <w:t xml:space="preserve"> </w:t>
      </w:r>
      <w:r>
        <w:t xml:space="preserve">it. A skilled reciter can produce the surface signature of antiquity, the weathered diction, the allusive aside, the authoritative music, with nothing underneath. This is precisely the danger Taliesin, the legendary Welsh bard whose satirical contest against the court poets of King Maelgwn is preserved in the medieval</w:t>
      </w:r>
      <w:r>
        <w:t xml:space="preserve"> </w:t>
      </w:r>
      <w:r>
        <w:rPr>
          <w:i/>
          <w:iCs/>
        </w:rPr>
        <w:t xml:space="preserve">Hanes Taliesin</w:t>
      </w:r>
      <w:r>
        <w:t xml:space="preserve"> </w:t>
      </w:r>
      <w:r>
        <w:t xml:space="preserve">and supplies this chapter’s epigraph, warns against: the unlucky bard who has mastered the form and lost the grounding, who</w:t>
      </w:r>
      <w:r>
        <w:t xml:space="preserve"> </w:t>
      </w:r>
      <w:r>
        <w:t xml:space="preserve">“cannot judge between truth and falsehood”</w:t>
      </w:r>
      <w:r>
        <w:t xml:space="preserve"> </w:t>
      </w:r>
      <w:r>
        <w:t xml:space="preserve">because he can no longer tell his true lines from his fabricated ones. We will meet this figure again, at scale, in the conclusion and in the worked example that follows it, because it turns out that a large language model is exactly this bard, and the test that separates real depth from performed depth is the one this whole book is building toward.</w:t>
      </w:r>
    </w:p>
    <w:p>
      <w:r>
        <w:pict>
          <v:rect style="width:0;height:1.5pt" o:hralign="center" o:hrstd="t" o:hr="t"/>
        </w:pict>
      </w:r>
    </w:p>
    <w:p>
      <w:pPr>
        <w:pStyle w:val="FirstParagraph"/>
      </w:pPr>
      <w:r>
        <w:t xml:space="preserve">In the ancient world, poetry and prophecy were not separate categories.</w:t>
      </w:r>
    </w:p>
    <w:p>
      <w:pPr>
        <w:pStyle w:val="BodyText"/>
      </w:pPr>
      <w:r>
        <w:t xml:space="preserve">The Greek word</w:t>
      </w:r>
      <w:r>
        <w:t xml:space="preserve"> </w:t>
      </w:r>
      <w:r>
        <w:rPr>
          <w:i/>
          <w:iCs/>
        </w:rPr>
        <w:t xml:space="preserve">poiesis</w:t>
      </w:r>
      <w:r>
        <w:t xml:space="preserve"> </w:t>
      </w:r>
      <w:r>
        <w:t xml:space="preserve">(from which we get</w:t>
      </w:r>
      <w:r>
        <w:t xml:space="preserve"> </w:t>
      </w:r>
      <w:r>
        <w:t xml:space="preserve">“poetry”</w:t>
      </w:r>
      <w:r>
        <w:t xml:space="preserve">) means</w:t>
      </w:r>
      <w:r>
        <w:t xml:space="preserve"> </w:t>
      </w:r>
      <w:r>
        <w:t xml:space="preserve">“making”</w:t>
      </w:r>
      <w:r>
        <w:t xml:space="preserve"> </w:t>
      </w:r>
      <w:r>
        <w:t xml:space="preserve">or</w:t>
      </w:r>
      <w:r>
        <w:t xml:space="preserve"> </w:t>
      </w:r>
      <w:r>
        <w:t xml:space="preserve">“creation.”</w:t>
      </w:r>
      <w:r>
        <w:rPr>
          <w:rStyle w:val="FootnoteReference"/>
        </w:rPr>
        <w:footnoteReference w:id="56"/>
      </w:r>
      <w:r>
        <w:t xml:space="preserve"> </w:t>
      </w:r>
      <w:r>
        <w:t xml:space="preserve">The Hebrew</w:t>
      </w:r>
      <w:r>
        <w:t xml:space="preserve"> </w:t>
      </w:r>
      <w:r>
        <w:rPr>
          <w:i/>
          <w:iCs/>
        </w:rPr>
        <w:t xml:space="preserve">navi</w:t>
      </w:r>
      <w:r>
        <w:t xml:space="preserve"> </w:t>
      </w:r>
      <w:r>
        <w:t xml:space="preserve">(translated</w:t>
      </w:r>
      <w:r>
        <w:t xml:space="preserve"> </w:t>
      </w:r>
      <w:r>
        <w:t xml:space="preserve">“prophet”</w:t>
      </w:r>
      <w:r>
        <w:t xml:space="preserve">) carries the connotation of one who speaks forth under compulsion, not from their own invention.</w:t>
      </w:r>
      <w:r>
        <w:rPr>
          <w:rStyle w:val="FootnoteReference"/>
        </w:rPr>
        <w:footnoteReference w:id="57"/>
      </w:r>
      <w:r>
        <w:t xml:space="preserve"> </w:t>
      </w:r>
      <w:r>
        <w:t xml:space="preserve">The Latin</w:t>
      </w:r>
      <w:r>
        <w:t xml:space="preserve"> </w:t>
      </w:r>
      <w:r>
        <w:rPr>
          <w:i/>
          <w:iCs/>
        </w:rPr>
        <w:t xml:space="preserve">vates</w:t>
      </w:r>
      <w:r>
        <w:t xml:space="preserve"> </w:t>
      </w:r>
      <w:r>
        <w:t xml:space="preserve">meant both</w:t>
      </w:r>
      <w:r>
        <w:t xml:space="preserve"> </w:t>
      </w:r>
      <w:r>
        <w:t xml:space="preserve">“prophet”</w:t>
      </w:r>
      <w:r>
        <w:t xml:space="preserve"> </w:t>
      </w:r>
      <w:r>
        <w:t xml:space="preserve">and</w:t>
      </w:r>
      <w:r>
        <w:t xml:space="preserve"> </w:t>
      </w:r>
      <w:r>
        <w:t xml:space="preserve">“poet”</w:t>
      </w:r>
      <w:r>
        <w:t xml:space="preserve">; the word itself refused to separate the two functions.</w:t>
      </w:r>
      <w:r>
        <w:rPr>
          <w:rStyle w:val="FootnoteReference"/>
        </w:rPr>
        <w:footnoteReference w:id="58"/>
      </w:r>
      <w:r>
        <w:t xml:space="preserve"> </w:t>
      </w:r>
      <w:r>
        <w:t xml:space="preserve">The poet and the prophet both spoke in structured, compressed, multi-layered language, and both were understood to be doing something fundamentally different from ordinary speech. In Norse culture, the skalds were considered to channel Odin’s mead of poetry, a divine gift. In Greek culture, the poet invoked the Muse, not as a literary convention but as a genuine claim about the source of the utterance. In Hebrew culture, the prophet spoke</w:t>
      </w:r>
      <w:r>
        <w:t xml:space="preserve"> </w:t>
      </w:r>
      <w:r>
        <w:t xml:space="preserve">“the word of the LORD,”</w:t>
      </w:r>
      <w:r>
        <w:t xml:space="preserve"> </w:t>
      </w:r>
      <w:r>
        <w:t xml:space="preserve">and the prophetic books are written in verse, not prose.</w:t>
      </w:r>
    </w:p>
    <w:p>
      <w:pPr>
        <w:pStyle w:val="BodyText"/>
      </w:pPr>
      <w:r>
        <w:t xml:space="preserve">And people claimed they could tell the difference between human craft and something else.</w:t>
      </w:r>
    </w:p>
    <w:p>
      <w:pPr>
        <w:pStyle w:val="BodyText"/>
      </w:pPr>
      <w:r>
        <w:t xml:space="preserve">Plato classified poetic inspiration alongside prophetic vision as a species of divine madness,</w:t>
      </w:r>
      <w:r>
        <w:t xml:space="preserve"> </w:t>
      </w:r>
      <w:r>
        <w:rPr>
          <w:i/>
          <w:iCs/>
        </w:rPr>
        <w:t xml:space="preserve">theia mania</w:t>
      </w:r>
      <w:r>
        <w:t xml:space="preserve">, and argued that the poet who approaches the temple by skill alone, without the Muse’s touch, will find that</w:t>
      </w:r>
      <w:r>
        <w:t xml:space="preserve"> </w:t>
      </w:r>
      <w:r>
        <w:t xml:space="preserve">“he and his poetry are not admitted; the sane man disappears and is nowhere when he enters into rivalry with the madman.”</w:t>
      </w:r>
      <w:r>
        <w:rPr>
          <w:rStyle w:val="FootnoteReference"/>
        </w:rPr>
        <w:footnoteReference w:id="59"/>
      </w:r>
      <w:r>
        <w:t xml:space="preserve"> </w:t>
      </w:r>
      <w:r>
        <w:t xml:space="preserve">In the</w:t>
      </w:r>
      <w:r>
        <w:t xml:space="preserve"> </w:t>
      </w:r>
      <w:r>
        <w:rPr>
          <w:i/>
          <w:iCs/>
        </w:rPr>
        <w:t xml:space="preserve">Ion</w:t>
      </w:r>
      <w:r>
        <w:t xml:space="preserve">, Socrates pushed further: the truly inspired poet is good only in the one genre his god moves him to, while a mere craftsman would be competent across all genres. The narrowness of the gift was its signature.</w:t>
      </w:r>
      <w:r>
        <w:rPr>
          <w:rStyle w:val="FootnoteReference"/>
        </w:rPr>
        <w:footnoteReference w:id="60"/>
      </w:r>
      <w:r>
        <w:t xml:space="preserve"> </w:t>
      </w:r>
      <w:r>
        <w:t xml:space="preserve">The early Greek poet Hesiod claimed the Muses visited him on Mount Helicon and breathed divine voice into him, and had them draw the distinction themselves:</w:t>
      </w:r>
      <w:r>
        <w:t xml:space="preserve"> </w:t>
      </w:r>
      <w:r>
        <w:t xml:space="preserve">“We know how to speak many false things as though they were true; but we know, when we will, to utter true things.”</w:t>
      </w:r>
      <w:r>
        <w:rPr>
          <w:rStyle w:val="FootnoteReference"/>
        </w:rPr>
        <w:footnoteReference w:id="61"/>
      </w:r>
      <w:r>
        <w:t xml:space="preserve"> </w:t>
      </w:r>
      <w:r>
        <w:t xml:space="preserve">The atomist philosopher Democritus said flatly that whatever a poet writes with divine inspiration and a holy breath</w:t>
      </w:r>
      <w:r>
        <w:t xml:space="preserve"> </w:t>
      </w:r>
      <w:r>
        <w:t xml:space="preserve">“is truly beautiful,”</w:t>
      </w:r>
      <w:r>
        <w:t xml:space="preserve"> </w:t>
      </w:r>
      <w:r>
        <w:t xml:space="preserve">implying that verse without it, however correct, is not.</w:t>
      </w:r>
      <w:r>
        <w:rPr>
          <w:rStyle w:val="FootnoteReference"/>
        </w:rPr>
        <w:footnoteReference w:id="62"/>
      </w:r>
      <w:r>
        <w:t xml:space="preserve"> </w:t>
      </w:r>
      <w:r>
        <w:t xml:space="preserve">The Theban lyric poet Pindar contrasted the</w:t>
      </w:r>
      <w:r>
        <w:t xml:space="preserve"> </w:t>
      </w:r>
      <w:r>
        <w:t xml:space="preserve">“natural-born”</w:t>
      </w:r>
      <w:r>
        <w:t xml:space="preserve"> </w:t>
      </w:r>
      <w:r>
        <w:t xml:space="preserve">poet with the merely</w:t>
      </w:r>
      <w:r>
        <w:t xml:space="preserve"> </w:t>
      </w:r>
      <w:r>
        <w:t xml:space="preserve">“learned”</w:t>
      </w:r>
      <w:r>
        <w:t xml:space="preserve"> </w:t>
      </w:r>
      <w:r>
        <w:t xml:space="preserve">one who</w:t>
      </w:r>
      <w:r>
        <w:t xml:space="preserve"> </w:t>
      </w:r>
      <w:r>
        <w:t xml:space="preserve">“chatters like crows against the eagle of Zeus.”</w:t>
      </w:r>
      <w:r>
        <w:rPr>
          <w:rStyle w:val="FootnoteReference"/>
        </w:rPr>
        <w:footnoteReference w:id="63"/>
      </w:r>
    </w:p>
    <w:p>
      <w:pPr>
        <w:pStyle w:val="BodyText"/>
      </w:pPr>
      <w:r>
        <w:t xml:space="preserve">These were not compliments to artists. They were assessments of information density. The ancients recognized a quality in the prophetic poet’s utterance that marked it as qualitatively distinct from verse composed by craft alone. Mechanical verse was technically correct but inert. Prophetic poetry was alive; it carried an excess of meaning that seemed to come from outside the poet, compressed into forms that could survive transmission across centuries. Whatever one makes of the metaphysics, the engineering observation stands: the structures the ancient world associated with prophecy, the pun, the vision, the densely layered metaphor, are precisely the structures that maximize information density and error-correction robustness. The form that</w:t>
      </w:r>
      <w:r>
        <w:t xml:space="preserve"> </w:t>
      </w:r>
      <w:r>
        <w:t xml:space="preserve">“madness”</w:t>
      </w:r>
      <w:r>
        <w:t xml:space="preserve"> </w:t>
      </w:r>
      <w:r>
        <w:t xml:space="preserve">took was the form that survived. We’ll return to why this matters when we get to the adversarial problem in Chapter 5.</w:t>
      </w:r>
    </w:p>
    <w:p>
      <w:r>
        <w:pict>
          <v:rect style="width:0;height:1.5pt" o:hralign="center" o:hrstd="t" o:hr="t"/>
        </w:pict>
      </w:r>
    </w:p>
    <w:p>
      <w:pPr>
        <w:pStyle w:val="FirstParagraph"/>
      </w:pPr>
      <w:r>
        <w:t xml:space="preserve">There’s a modern corollary worth exploring.</w:t>
      </w:r>
    </w:p>
    <w:p>
      <w:pPr>
        <w:pStyle w:val="BodyText"/>
      </w:pPr>
      <w:r>
        <w:t xml:space="preserve">What we now call madness (the clinical kind, the kind that gets medicated) often presents as exactly this same faculty running uncalibrated. The paranoid schizophrenic sees patterns everywhere: in license plates, in overheard conversations, in the arrangement of objects on a shelf. Every symbol means something. Every coincidence is a message. This is the prophetic pattern-recognition engine running at maximum sensitivity with no grounding: no way to check the perceived patterns against reality.</w:t>
      </w:r>
    </w:p>
    <w:p>
      <w:pPr>
        <w:pStyle w:val="BodyText"/>
      </w:pPr>
      <w:r>
        <w:t xml:space="preserve">In machine learning, the term for this is overfitting: the model has become so sensitive to the training data that it finds structure in noise, sees signal where there is none, and loses the ability to generalize.</w:t>
      </w:r>
      <w:r>
        <w:rPr>
          <w:rStyle w:val="FootnoteReference"/>
        </w:rPr>
        <w:footnoteReference w:id="64"/>
      </w:r>
      <w:r>
        <w:t xml:space="preserve"> </w:t>
      </w:r>
      <w:r>
        <w:t xml:space="preserve">A perfectly fitted curve passes through every data point but predicts nothing new. A mind that finds meaning in everything understands nothing.</w:t>
      </w:r>
    </w:p>
    <w:p>
      <w:pPr>
        <w:pStyle w:val="BodyText"/>
      </w:pPr>
      <w:r>
        <w:t xml:space="preserve">The prophet and the madman are running the same algorithm. The difference is that the prophet’s patterns survive contact with reality; they predict, they cohere, they are verified by events and by the consensus of the sober. The madman’s patterns are private, unfalsifiable, and shatter on contact with other minds. Prophetic insight is high-sensitivity pattern matching grounded by external verification. Madness is the same sensitivity without the grounding.</w:t>
      </w:r>
    </w:p>
    <w:p>
      <w:pPr>
        <w:pStyle w:val="BodyText"/>
      </w:pPr>
      <w:r>
        <w:t xml:space="preserve">The critical variable is information density. The denser the symbolic encoding, the more meaning is packed into each token, the greater the risk of deriving meaning that isn’t there, and the greater the need for reality grounding to keep the interpretation calibrated. Sparse encoding is safe. If a word means one thing, you can’t over-read it. But when a word means three things simultaneously, surface meaning, phonetic echo, structural position, as the prophetic puns we’ll examine shortly do, the interpretive space expands combinatorially. Each additional layer of meaning multiplies the opportunities for false pattern detection. The same density that makes the encoding robust against corruption makes the reader vulnerable to hallucination.</w:t>
      </w:r>
    </w:p>
    <w:p>
      <w:pPr>
        <w:pStyle w:val="BodyText"/>
      </w:pPr>
      <w:r>
        <w:t xml:space="preserve">The Kabbalistic tradition (the Jewish mystical tradition concerned with the hidden structures of reality and scripture) understood this precisely. It imposed strict age requirements on who could study its most symbolically dense material: traditionally, you had to be at least forty years old, married, and grounded in the practical obligations of family and community life.</w:t>
      </w:r>
      <w:r>
        <w:rPr>
          <w:rStyle w:val="FootnoteReference"/>
        </w:rPr>
        <w:footnoteReference w:id="65"/>
      </w:r>
      <w:r>
        <w:t xml:space="preserve"> </w:t>
      </w:r>
      <w:r>
        <w:t xml:space="preserve">This wasn’t mystical gatekeeping. It was an engineering specification. Forty years of embodied experience, of raising children, managing a household, navigating the physical and social world, provided the grounding needed to handle maximally dense symbolic content without losing your footing. The denser the information, the more life experience you need to interpret it safely. Without sufficient grounding, the student doesn’t gain wisdom from the dense encoding; they overfit to it, finding patterns that serve their own projections rather than the text’s intent. The age rule was an institutional circuit breaker against overfitting.</w:t>
      </w:r>
    </w:p>
    <w:p>
      <w:pPr>
        <w:pStyle w:val="BodyText"/>
      </w:pPr>
      <w:r>
        <w:t xml:space="preserve">The pattern-recognition engine is not enough. Without the error-correction architecture around it, the very faculty that generates insight generates delusion instead.</w:t>
      </w:r>
    </w:p>
    <w:p>
      <w:r>
        <w:pict>
          <v:rect style="width:0;height:1.5pt" o:hralign="center" o:hrstd="t" o:hr="t"/>
        </w:pict>
      </w:r>
    </w:p>
    <w:p>
      <w:pPr>
        <w:pStyle w:val="FirstParagraph"/>
      </w:pPr>
      <w:r>
        <w:t xml:space="preserve">This is why AI needs poetry. Not as decoration. As architecture.</w:t>
      </w:r>
    </w:p>
    <w:p>
      <w:r>
        <w:pict>
          <v:rect style="width:0;height:1.5pt" o:hralign="center" o:hrstd="t" o:hr="t"/>
        </w:pict>
      </w:r>
    </w:p>
    <w:p>
      <w:pPr>
        <w:pStyle w:val="BlockText"/>
      </w:pPr>
      <w:r>
        <w:rPr>
          <w:i/>
          <w:iCs/>
        </w:rPr>
        <w:t xml:space="preserve">He shall put the incense upon the fire before the LORD,</w:t>
      </w:r>
      <w:r>
        <w:t xml:space="preserve"> </w:t>
      </w:r>
      <w:r>
        <w:rPr>
          <w:i/>
          <w:iCs/>
        </w:rPr>
        <w:t xml:space="preserve">that the cloud of the incense may cover the mercy seat,</w:t>
      </w:r>
      <w:r>
        <w:t xml:space="preserve"> </w:t>
      </w:r>
      <w:r>
        <w:rPr>
          <w:i/>
          <w:iCs/>
        </w:rPr>
        <w:t xml:space="preserve">that he die not.</w:t>
      </w:r>
      <w:r>
        <w:t xml:space="preserve"> </w:t>
      </w:r>
      <w:r>
        <w:t xml:space="preserve">— Leviticus 16:13</w:t>
      </w:r>
    </w:p>
    <w:p>
      <w:r>
        <w:pict>
          <v:rect style="width:0;height:1.5pt" o:hralign="center" o:hrstd="t" o:hr="t"/>
        </w:pict>
      </w:r>
    </w:p>
    <w:p>
      <w:pPr>
        <w:pStyle w:val="FirstParagraph"/>
      </w:pPr>
      <w:r>
        <w:t xml:space="preserve">But the encoding went deeper than surface-level redundancy. The ancient traditions didn’t just encode the same information multiple ways at one level. They encoded different information at different levels of the same text.</w:t>
      </w:r>
    </w:p>
    <w:p>
      <w:pPr>
        <w:pStyle w:val="BodyText"/>
      </w:pPr>
      <w:r>
        <w:t xml:space="preserve">The surface narrative carried the story, accessible to anyone. Beneath that, structural patterns (chiasms, acrostics, numerical arrangements) encoded additional meaning in the arrangement of the text, not just the content. A chiasm is a mirror-image structure where the second half of a passage reverses the first (ABCB’A’), creating a pivot point at the center that carries the passage’s deepest emphasis.</w:t>
      </w:r>
      <w:r>
        <w:rPr>
          <w:rStyle w:val="FootnoteReference"/>
        </w:rPr>
        <w:footnoteReference w:id="66"/>
      </w:r>
      <w:r>
        <w:t xml:space="preserve"> </w:t>
      </w:r>
      <w:r>
        <w:t xml:space="preserve">You have to know to look for it; the surface narrative reads straight through without revealing the structure underneath. Woven through everything, deliberate intertextual echoes and keyword links created meaning across the corpus that no single text contained alone.</w:t>
      </w:r>
    </w:p>
    <w:p>
      <w:pPr>
        <w:pStyle w:val="BodyText"/>
      </w:pPr>
      <w:r>
        <w:t xml:space="preserve">And beneath all of these was melody.</w:t>
      </w:r>
    </w:p>
    <w:p>
      <w:pPr>
        <w:pStyle w:val="BodyText"/>
      </w:pPr>
      <w:r>
        <w:t xml:space="preserve">In Chapter 1 we saw that melody functions as a carrier frequency: a compression layer that holds verbal content in place without adding verbal content of its own. The Hebrew cantillation system, the</w:t>
      </w:r>
      <w:r>
        <w:t xml:space="preserve"> </w:t>
      </w:r>
      <w:r>
        <w:rPr>
          <w:i/>
          <w:iCs/>
        </w:rPr>
        <w:t xml:space="preserve">te’amim</w:t>
      </w:r>
      <w:r>
        <w:t xml:space="preserve"> </w:t>
      </w:r>
      <w:r>
        <w:t xml:space="preserve">(</w:t>
      </w:r>
      <w:r>
        <w:rPr>
          <w:i/>
          <w:iCs/>
        </w:rPr>
        <w:t xml:space="preserve">ta’amei ha-mikra</w:t>
      </w:r>
      <w:r>
        <w:t xml:space="preserve">), is the most developed example of this principle in any textual tradition.</w:t>
      </w:r>
      <w:r>
        <w:rPr>
          <w:rStyle w:val="FootnoteReference"/>
        </w:rPr>
        <w:footnoteReference w:id="67"/>
      </w:r>
      <w:r>
        <w:t xml:space="preserve"> </w:t>
      </w:r>
      <w:r>
        <w:t xml:space="preserve">The name repays attention.</w:t>
      </w:r>
      <w:r>
        <w:t xml:space="preserve"> </w:t>
      </w:r>
      <w:r>
        <w:rPr>
          <w:i/>
          <w:iCs/>
        </w:rPr>
        <w:t xml:space="preserve">Ta’am</w:t>
      </w:r>
      <w:r>
        <w:t xml:space="preserve"> </w:t>
      </w:r>
      <w:r>
        <w:t xml:space="preserve">means</w:t>
      </w:r>
      <w:r>
        <w:t xml:space="preserve"> </w:t>
      </w:r>
      <w:r>
        <w:t xml:space="preserve">“taste”</w:t>
      </w:r>
      <w:r>
        <w:t xml:space="preserve">, flavor, the thing the tongue reports, and also, in the same breath,</w:t>
      </w:r>
      <w:r>
        <w:t xml:space="preserve"> </w:t>
      </w:r>
      <w:r>
        <w:t xml:space="preserve">“sense,”</w:t>
      </w:r>
      <w:r>
        <w:t xml:space="preserve"> </w:t>
      </w:r>
      <w:r>
        <w:t xml:space="preserve">“discernment,”</w:t>
      </w:r>
      <w:r>
        <w:t xml:space="preserve"> </w:t>
      </w:r>
      <w:r>
        <w:t xml:space="preserve">“good judgment”</w:t>
      </w:r>
      <w:r>
        <w:t xml:space="preserve">; the</w:t>
      </w:r>
      <w:r>
        <w:t xml:space="preserve"> </w:t>
      </w:r>
      <w:r>
        <w:rPr>
          <w:i/>
          <w:iCs/>
        </w:rPr>
        <w:t xml:space="preserve">te’amim</w:t>
      </w:r>
      <w:r>
        <w:t xml:space="preserve"> </w:t>
      </w:r>
      <w:r>
        <w:t xml:space="preserve">are literally</w:t>
      </w:r>
      <w:r>
        <w:t xml:space="preserve"> </w:t>
      </w:r>
      <w:r>
        <w:t xml:space="preserve">“the tastes of the reading.”</w:t>
      </w:r>
      <w:r>
        <w:t xml:space="preserve"> </w:t>
      </w:r>
      <w:r>
        <w:t xml:space="preserve">The naming is not casual. A mark that says</w:t>
      </w:r>
      <w:r>
        <w:t xml:space="preserve"> </w:t>
      </w:r>
      <w:r>
        <w:rPr>
          <w:i/>
          <w:iCs/>
        </w:rPr>
        <w:t xml:space="preserve">ta’am</w:t>
      </w:r>
      <w:r>
        <w:t xml:space="preserve"> </w:t>
      </w:r>
      <w:r>
        <w:t xml:space="preserve">is telling the reader that this word has a flavor to be savored, a sense to be discerned; that there is something here worth slowing down for. Hold that double meaning of taste, flavor fused with judgment; it returns in Chapter 6 as the central signal the watching mind learns to read. Every word in the Hebrew Bible carries a cantillation mark. The conventional scholarly view treats these as serving triple duty: musical notation, punctuation, and exegetical guide. Haïk-Vantoura’s decipherment suggests something more unified. Under her key, the syntactic and interpretive functions are not independent of the melody; they are direct consequences of it. The melodic contour marks word boundaries and syllable emphasis with precision, so that the</w:t>
      </w:r>
      <w:r>
        <w:t xml:space="preserve"> </w:t>
      </w:r>
      <w:r>
        <w:t xml:space="preserve">“punctuation”</w:t>
      </w:r>
      <w:r>
        <w:t xml:space="preserve"> </w:t>
      </w:r>
      <w:r>
        <w:t xml:space="preserve">and</w:t>
      </w:r>
      <w:r>
        <w:t xml:space="preserve"> </w:t>
      </w:r>
      <w:r>
        <w:t xml:space="preserve">“exegesis”</w:t>
      </w:r>
      <w:r>
        <w:t xml:space="preserve"> </w:t>
      </w:r>
      <w:r>
        <w:t xml:space="preserve">the tradition attributed to the marks are simply what the music does when performed correctly.</w:t>
      </w:r>
      <w:r>
        <w:rPr>
          <w:rStyle w:val="FootnoteReference"/>
        </w:rPr>
        <w:footnoteReference w:id="68"/>
      </w:r>
      <w:r>
        <w:t xml:space="preserve"> </w:t>
      </w:r>
      <w:r>
        <w:t xml:space="preserve">The three functions collapse into one: sing it right, and the syntax, interpretation, and appropriate mood for the text follow.</w:t>
      </w:r>
    </w:p>
    <w:p>
      <w:pPr>
        <w:pStyle w:val="BodyText"/>
      </w:pPr>
      <w:r>
        <w:t xml:space="preserve">The melodic key of the</w:t>
      </w:r>
      <w:r>
        <w:t xml:space="preserve"> </w:t>
      </w:r>
      <w:r>
        <w:rPr>
          <w:i/>
          <w:iCs/>
        </w:rPr>
        <w:t xml:space="preserve">te’amim</w:t>
      </w:r>
      <w:r>
        <w:t xml:space="preserve"> </w:t>
      </w:r>
      <w:r>
        <w:t xml:space="preserve">was lost for centuries. The marks survived in the manuscripts, but their musical realization fragmented into regional traditions that bore little resemblance to each other. In the 1940s, Suzanne Haïk-Vantoura, an organist and composer trained at the Paris Conservatoire, began working on the problem. She was in hiding during the German occupation of France. With nothing but the Masoretic text and the logical constraints of the notation system itself, she worked out a decipherment key: the marks below the text were melodic degrees of a scale, the marks above were ornaments and modulations, and the system as a whole produced coherent, musically sophisticated melodies that followed the semantic and syntactic structure of the Hebrew with precision no arbitrary assignment could reproduce.</w:t>
      </w:r>
      <w:r>
        <w:rPr>
          <w:rStyle w:val="FootnoteReference"/>
        </w:rPr>
        <w:footnoteReference w:id="69"/>
      </w:r>
      <w:r>
        <w:t xml:space="preserve"> </w:t>
      </w:r>
      <w:r>
        <w:t xml:space="preserve">The music was beautiful. More important, it was consistent across the entire biblical corpus, from the Torah to the Psalms, each using the same key. And where external evidence existed to check against, her decoded melodies matched: ancient melodic fragments attested over two thousand years ago, applied to the same texts, produced the same musical phrases her key independently predicted. When she published her results in 1976, the decoded melodies could be performed and heard for the first time in perhaps two millennia.</w:t>
      </w:r>
    </w:p>
    <w:p>
      <w:pPr>
        <w:pStyle w:val="BodyText"/>
      </w:pPr>
      <w:r>
        <w:t xml:space="preserve">Whether Haïk-Vantoura recovered the original temple music or discovered a coherent reading that the notation system permits is debated.</w:t>
      </w:r>
      <w:r>
        <w:rPr>
          <w:rStyle w:val="FootnoteReference"/>
        </w:rPr>
        <w:footnoteReference w:id="70"/>
      </w:r>
      <w:r>
        <w:t xml:space="preserve"> </w:t>
      </w:r>
      <w:r>
        <w:t xml:space="preserve">What is not debated is that the</w:t>
      </w:r>
      <w:r>
        <w:t xml:space="preserve"> </w:t>
      </w:r>
      <w:r>
        <w:rPr>
          <w:i/>
          <w:iCs/>
        </w:rPr>
        <w:t xml:space="preserve">te’amim</w:t>
      </w:r>
      <w:r>
        <w:t xml:space="preserve"> </w:t>
      </w:r>
      <w:r>
        <w:t xml:space="preserve">encode real musical information and real syntactic information simultaneously, and that this information constitutes an independent verification channel for the text. A scribal error that changes a word also disrupts the melodic phrase. The melody flags the damage the way a broken rhyme flags a corrupted line in skaldic verse. The carrier frequency carries the checksum.</w:t>
      </w:r>
    </w:p>
    <w:p>
      <w:r>
        <w:pict>
          <v:rect style="width:0;height:1.5pt" o:hralign="center" o:hrstd="t" o:hr="t"/>
        </w:pict>
      </w:r>
    </w:p>
    <w:p>
      <w:pPr>
        <w:pStyle w:val="FirstParagraph"/>
      </w:pPr>
      <w:r>
        <w:t xml:space="preserve">But the melody does more than check the text. It sets the conditions for retrieving it.</w:t>
      </w:r>
    </w:p>
    <w:p>
      <w:pPr>
        <w:pStyle w:val="BodyText"/>
      </w:pPr>
      <w:r>
        <w:t xml:space="preserve">In Chapter 1 we noted Adam Crabtree’s observation that the mental state during encoding is the state where retrieval is easiest. The te’amim exploit this directly. Each melodic mode carries a specific emotional quality: the Torah cantillation is different from the cantillation of the Prophets, which is different from the cantillation of the Psalms, which is different from the cantillation of Lamentations and Esther. These are not arbitrary assignments. The melodic mode sets the mood appropriate to the text, and that mood is the retrieval context. A listener trained in the cantillation system does not simply hear the words; they are tuned, by the melody, to the cognitive and emotional state in which the words were meant to be received. The melody is a retrieval key.</w:t>
      </w:r>
    </w:p>
    <w:p>
      <w:pPr>
        <w:pStyle w:val="BodyText"/>
      </w:pPr>
      <w:r>
        <w:t xml:space="preserve">The melody is only the most obvious of these keys. The</w:t>
      </w:r>
      <w:r>
        <w:t xml:space="preserve"> </w:t>
      </w:r>
      <w:r>
        <w:rPr>
          <w:i/>
          <w:iCs/>
        </w:rPr>
        <w:t xml:space="preserve">register</w:t>
      </w:r>
      <w:r>
        <w:t xml:space="preserve"> </w:t>
      </w:r>
      <w:r>
        <w:t xml:space="preserve">itself, the special, marked, non-everyday language a tradition reserves for its sacred or heroic material, does the same work. Oral epic across cultures is composed in a language deliberately unlike ordinary speech: archaic, formulaic, often blended from dialects and centuries no living person actually spoke. Part of that is metrical convenience, as we will see. But part of it is state-induction by another route. Everyday speech is the register of everyday life; the elevated, antique register is the audible signature that a different mode is now in force, the performance is on, the great sequence is unspooling. Entering the old words is itself the act that opens access to the vast memorized system, the way the cantillation mode opens access to the text it carries. The strange language is a doorway. We will see in the appendix how far this goes in the case of Homer, whose entire poetic tongue was a language no one had ever spoken.</w:t>
      </w:r>
    </w:p>
    <w:p>
      <w:pPr>
        <w:pStyle w:val="BodyText"/>
      </w:pPr>
      <w:r>
        <w:t xml:space="preserve">Every oral tradition that took memory seriously understood this. And the technologies for state-induction were not always purely musical.</w:t>
      </w:r>
    </w:p>
    <w:p>
      <w:pPr>
        <w:pStyle w:val="BodyText"/>
      </w:pPr>
      <w:r>
        <w:t xml:space="preserve">Shamanic traditions across cultures used specific plants, in specific combinations, to induce specific states for encoding and retrieving specific categories of knowledge.</w:t>
      </w:r>
      <w:r>
        <w:rPr>
          <w:rStyle w:val="FootnoteReference"/>
        </w:rPr>
        <w:footnoteReference w:id="71"/>
      </w:r>
      <w:r>
        <w:t xml:space="preserve"> </w:t>
      </w:r>
      <w:r>
        <w:t xml:space="preserve">This was not recreational. It was pharmacological state-induction, empirically refined over generations. The plants were used in their natural form and in deliberate combinations, not as isolated compounds. Practitioners across traditions noted that whole plants and plant combinations produced states that were both more nuanced and less harmful than any single active ingredient would have been.</w:t>
      </w:r>
      <w:r>
        <w:rPr>
          <w:rStyle w:val="FootnoteReference"/>
        </w:rPr>
        <w:footnoteReference w:id="72"/>
      </w:r>
      <w:r>
        <w:t xml:space="preserve"> </w:t>
      </w:r>
      <w:r>
        <w:t xml:space="preserve">Different formulations tuned the mind to different states for receiving different kinds of knowledge. The drug was the retrieval key, the way the melody was the retrieval key: return to this state, and the encoded content surfaces.</w:t>
      </w:r>
    </w:p>
    <w:p>
      <w:pPr>
        <w:pStyle w:val="BodyText"/>
      </w:pPr>
      <w:r>
        <w:t xml:space="preserve">The Hebrew tradition took a different approach, though perhaps not as different as it first appears.</w:t>
      </w:r>
    </w:p>
    <w:p>
      <w:pPr>
        <w:pStyle w:val="BodyText"/>
      </w:pPr>
      <w:r>
        <w:t xml:space="preserve">The priests were forbidden to drink wine when entering the Tabernacle (Leviticus 10:9). This is usually read as a prohibition on intoxication in sacred service, and it is. But the prohibition is specific: no ingested intoxicants. The Tabernacle itself was a different matter. The anointing oil (Exodus 30:22-33), applied to the furnishings and the altar but explicitly forbidden on human skin, contained</w:t>
      </w:r>
      <w:r>
        <w:t xml:space="preserve"> </w:t>
      </w:r>
      <w:r>
        <w:rPr>
          <w:i/>
          <w:iCs/>
        </w:rPr>
        <w:t xml:space="preserve">kaneh bosm</w:t>
      </w:r>
      <w:r>
        <w:t xml:space="preserve"> </w:t>
      </w:r>
      <w:r>
        <w:t xml:space="preserve">and other aromatics.</w:t>
      </w:r>
      <w:r>
        <w:rPr>
          <w:rStyle w:val="FootnoteReference"/>
        </w:rPr>
        <w:footnoteReference w:id="73"/>
      </w:r>
      <w:r>
        <w:t xml:space="preserve"> </w:t>
      </w:r>
      <w:r>
        <w:t xml:space="preserve">The incense (</w:t>
      </w:r>
      <w:r>
        <w:rPr>
          <w:i/>
          <w:iCs/>
        </w:rPr>
        <w:t xml:space="preserve">ketoret</w:t>
      </w:r>
      <w:r>
        <w:t xml:space="preserve">), compounded from eleven ingredients according to a recipe that was forbidden to reproduce for personal use (Exodus 30:34-38, Keritot 6a), was burned daily in the enclosed space of the tent. The aromatics were in the air. Everyone present inhaled them.</w:t>
      </w:r>
    </w:p>
    <w:p>
      <w:pPr>
        <w:pStyle w:val="BodyText"/>
      </w:pPr>
      <w:r>
        <w:t xml:space="preserve">This is not ingestion. It is architectural state-induction. The Tabernacle was an engineered environment: specific aromatics at ambient concentration in a defined space, combined with specific melodies prescribed by the te’amim. The individual did not dose himself. He walked into a room that set the baseline state for everyone in it, identically, every time. The same principle as the Vedic group recitation we will examine shortly: remove individual variation from the system.</w:t>
      </w:r>
    </w:p>
    <w:p>
      <w:pPr>
        <w:pStyle w:val="BodyText"/>
      </w:pPr>
      <w:r>
        <w:t xml:space="preserve">The most intense version was the Holy of Holies. On Yom Kippur the High Priest entered a room roughly fifteen feet on each side (ten cubits cubed in Solomon’s temple, 1 Kings 6:20) carrying a censer of burning coals and two handfuls of the</w:t>
      </w:r>
      <w:r>
        <w:t xml:space="preserve"> </w:t>
      </w:r>
      <w:r>
        <w:rPr>
          <w:i/>
          <w:iCs/>
        </w:rPr>
        <w:t xml:space="preserve">ketoret</w:t>
      </w:r>
      <w:r>
        <w:t xml:space="preserve">. The text requires that the cloud of incense fill the room, dense enough to cover the mercy seat (Leviticus 16:12-13). One man, in a sealed chamber, surrounded by burning aromatics at maximal concentration. The incense recipe was controlled with the same precision the Masoretes would later bring to the text itself: eleven ingredients in specified proportions, compounded by specialists, forbidden to alter.</w:t>
      </w:r>
    </w:p>
    <w:p>
      <w:pPr>
        <w:pStyle w:val="BodyText"/>
      </w:pPr>
      <w:r>
        <w:t xml:space="preserve">Whether any individual ingredient in the</w:t>
      </w:r>
      <w:r>
        <w:t xml:space="preserve"> </w:t>
      </w:r>
      <w:r>
        <w:rPr>
          <w:i/>
          <w:iCs/>
        </w:rPr>
        <w:t xml:space="preserve">ketoret</w:t>
      </w:r>
      <w:r>
        <w:t xml:space="preserve"> </w:t>
      </w:r>
      <w:r>
        <w:t xml:space="preserve">was psychoactive in the modern pharmacological sense is debated.</w:t>
      </w:r>
      <w:r>
        <w:rPr>
          <w:rStyle w:val="FootnoteReference"/>
        </w:rPr>
        <w:footnoteReference w:id="74"/>
      </w:r>
      <w:r>
        <w:t xml:space="preserve"> </w:t>
      </w:r>
      <w:r>
        <w:t xml:space="preserve">The architectural observation does not depend on the answer. A small sealed room filled with dense aromatic smoke produces an altered sensory environment regardless of the specific chemistry. Combined with the solemnity of the occasion, the fasting, and the liturgical melodies, the High Priest was entering a state of maximal distinction from ordinary life. State-dependent memory predicts that this is precisely the state in which knowledge encoded under those conditions would be most accessible. The room was a retrieval environment.</w:t>
      </w:r>
    </w:p>
    <w:p>
      <w:pPr>
        <w:pStyle w:val="BodyText"/>
      </w:pPr>
      <w:r>
        <w:t xml:space="preserve">The Hebrew system did not eliminate chemical state-induction. It standardized it. Where shamanic traditions relied on individual practitioners finding their own pharmacological path, the Tabernacle prescribed the formulation, the dosage (ambient, not ingested), the space (architecturally controlled), and the melody (cantillation). Every variable that the shamanic model left to individual judgment, the Tabernacle model fixed by design. The result was reproducible state-induction: not</w:t>
      </w:r>
      <w:r>
        <w:t xml:space="preserve"> </w:t>
      </w:r>
      <w:r>
        <w:t xml:space="preserve">“whatever the shaman experiences”</w:t>
      </w:r>
      <w:r>
        <w:t xml:space="preserve"> </w:t>
      </w:r>
      <w:r>
        <w:t xml:space="preserve">but</w:t>
      </w:r>
      <w:r>
        <w:t xml:space="preserve"> </w:t>
      </w:r>
      <w:r>
        <w:t xml:space="preserve">“what this room, with this incense, with this melody, produces in every person who enters it.”</w:t>
      </w:r>
    </w:p>
    <w:p>
      <w:r>
        <w:pict>
          <v:rect style="width:0;height:1.5pt" o:hralign="center" o:hrstd="t" o:hr="t"/>
        </w:pict>
      </w:r>
    </w:p>
    <w:p>
      <w:pPr>
        <w:pStyle w:val="FirstParagraph"/>
      </w:pPr>
      <w:r>
        <w:t xml:space="preserve">None of this is safely quarantined in the ancient or the exotic. The same knot of poetry, altered states, and memory runs straight through the modern Western canon, and its practitioners knew exactly what they were doing. The most famous poem in English about a</w:t>
      </w:r>
      <w:r>
        <w:t xml:space="preserve"> </w:t>
      </w:r>
      <w:r>
        <w:t xml:space="preserve">“stately pleasure-dome”</w:t>
      </w:r>
      <w:r>
        <w:t xml:space="preserve"> </w:t>
      </w:r>
      <w:r>
        <w:t xml:space="preserve">was, by its author’s own account, composed inside an altered state: the English Romantic poet Samuel Taylor Coleridge (1772–1834) said</w:t>
      </w:r>
      <w:r>
        <w:t xml:space="preserve"> </w:t>
      </w:r>
      <w:r>
        <w:t xml:space="preserve">“Kubla Khan”</w:t>
      </w:r>
      <w:r>
        <w:t xml:space="preserve"> </w:t>
      </w:r>
      <w:r>
        <w:t xml:space="preserve">came to him whole during an opium reverie, a finished vision he was merely transcribing until a knock at the door, the visitor from Porlock, broke the state and the rest of the poem was gone, unrecoverable, because the state that held it had closed.</w:t>
      </w:r>
      <w:r>
        <w:rPr>
          <w:rStyle w:val="FootnoteReference"/>
        </w:rPr>
        <w:footnoteReference w:id="75"/>
      </w:r>
      <w:r>
        <w:t xml:space="preserve"> </w:t>
      </w:r>
      <w:r>
        <w:t xml:space="preserve">Whatever one makes of the anecdote, Coleridge is describing precisely the mechanism of this chapter: content that is available only from within a particular state, and that becomes inaccessible the moment the state lapses. His other great poem,</w:t>
      </w:r>
      <w:r>
        <w:t xml:space="preserve"> </w:t>
      </w:r>
      <w:r>
        <w:t xml:space="preserve">“The Rime of the Ancient Mariner,”</w:t>
      </w:r>
      <w:r>
        <w:t xml:space="preserve"> </w:t>
      </w:r>
      <w:r>
        <w:t xml:space="preserve">makes the mechanism its subject. The Mariner fixes the Wedding-Guest with his</w:t>
      </w:r>
      <w:r>
        <w:t xml:space="preserve"> </w:t>
      </w:r>
      <w:r>
        <w:t xml:space="preserve">“glittering eye”</w:t>
      </w:r>
      <w:r>
        <w:t xml:space="preserve"> </w:t>
      </w:r>
      <w:r>
        <w:t xml:space="preserve">and holds him fast, unable to leave, compelled to listen, a poem, that is, about a man placed involuntarily into the receptive trance in which the strange tale can be transmitted. The poem enacts its own delivery protocol.</w:t>
      </w:r>
    </w:p>
    <w:p>
      <w:pPr>
        <w:pStyle w:val="BodyText"/>
      </w:pPr>
      <w:r>
        <w:t xml:space="preserve">The clearest demonstration is a pulpit, not a page. When the colonial New England preacher Jonathan Edwards (1703–1758) preached</w:t>
      </w:r>
      <w:r>
        <w:t xml:space="preserve"> </w:t>
      </w:r>
      <w:r>
        <w:t xml:space="preserve">“Sinners in the Hands of an Angry God”</w:t>
      </w:r>
      <w:r>
        <w:t xml:space="preserve"> </w:t>
      </w:r>
      <w:r>
        <w:t xml:space="preserve">in 1741, the congregation broke down, weeping, crying out, some gripping the pews as though to keep from sliding bodily into hell, so that he had to stop and wait for quiet before he could go on. What makes the episode evidence rather than anecdote is the delivery. Edwards was not a dramatic orator; contemporaries record that he had no strong or loud voice, read from a manuscript in a level, composed tone, and used almost no gesture.</w:t>
      </w:r>
      <w:r>
        <w:rPr>
          <w:rStyle w:val="FootnoteReference"/>
        </w:rPr>
        <w:footnoteReference w:id="76"/>
      </w:r>
      <w:r>
        <w:t xml:space="preserve"> </w:t>
      </w:r>
      <w:r>
        <w:t xml:space="preserve">The state he induced in that room was not carried by performance. It was carried by the structure of the language itself, the relentless accumulation of images, the tightening rhythm, the deictic pull that placed each listener personally over the drop. Strip away the charismatic delivery entirely, and the encoded text still put an entire congregation into an identical, overwhelming state. That is the Tabernacle principle proven from the opposite direction: not a room engineered to produce a state in everyone who enters, but a</w:t>
      </w:r>
      <w:r>
        <w:t xml:space="preserve"> </w:t>
      </w:r>
      <w:r>
        <w:rPr>
          <w:i/>
          <w:iCs/>
        </w:rPr>
        <w:t xml:space="preserve">text</w:t>
      </w:r>
      <w:r>
        <w:t xml:space="preserve"> </w:t>
      </w:r>
      <w:r>
        <w:t xml:space="preserve">engineered to do the same, independent of the voice that reads it. The state-induction is in the encoding.</w:t>
      </w:r>
    </w:p>
    <w:p>
      <w:r>
        <w:pict>
          <v:rect style="width:0;height:1.5pt" o:hralign="center" o:hrstd="t" o:hr="t"/>
        </w:pict>
      </w:r>
    </w:p>
    <w:p>
      <w:pPr>
        <w:pStyle w:val="FirstParagraph"/>
      </w:pPr>
      <w:r>
        <w:t xml:space="preserve">The Hebrew prophetic tradition pushed this even further with deliberate wordplay. When the prophet Jeremiah, writing in the seventh and sixth centuries BC, sees an almond branch,</w:t>
      </w:r>
      <w:r>
        <w:t xml:space="preserve"> </w:t>
      </w:r>
      <w:r>
        <w:rPr>
          <w:i/>
          <w:iCs/>
        </w:rPr>
        <w:t xml:space="preserve">shaqed</w:t>
      </w:r>
      <w:r>
        <w:t xml:space="preserve"> </w:t>
      </w:r>
      <w:r>
        <w:t xml:space="preserve">in Hebrew, God replies</w:t>
      </w:r>
      <w:r>
        <w:t xml:space="preserve"> </w:t>
      </w:r>
      <w:r>
        <w:t xml:space="preserve">“I am watching,”</w:t>
      </w:r>
      <w:r>
        <w:t xml:space="preserve"> </w:t>
      </w:r>
      <w:r>
        <w:rPr>
          <w:i/>
          <w:iCs/>
        </w:rPr>
        <w:t xml:space="preserve">shoqed</w:t>
      </w:r>
      <w:r>
        <w:t xml:space="preserve">.</w:t>
      </w:r>
      <w:r>
        <w:rPr>
          <w:rStyle w:val="FootnoteReference"/>
        </w:rPr>
        <w:footnoteReference w:id="77"/>
      </w:r>
      <w:r>
        <w:t xml:space="preserve"> </w:t>
      </w:r>
      <w:r>
        <w:t xml:space="preserve">The pun isn’t decorative. It’s a three-channel encoding in a single word: the surface image (a branch), the phonetic echo (shaqed/shoqed), and the prophetic meaning (divine vigilance) all converge on one point. The prophet Amos sees a basket of summer fruit,</w:t>
      </w:r>
      <w:r>
        <w:t xml:space="preserve"> </w:t>
      </w:r>
      <w:r>
        <w:rPr>
          <w:i/>
          <w:iCs/>
        </w:rPr>
        <w:t xml:space="preserve">qayits</w:t>
      </w:r>
      <w:r>
        <w:t xml:space="preserve">, and hears the announcement of the end,</w:t>
      </w:r>
      <w:r>
        <w:t xml:space="preserve"> </w:t>
      </w:r>
      <w:r>
        <w:rPr>
          <w:i/>
          <w:iCs/>
        </w:rPr>
        <w:t xml:space="preserve">qets</w:t>
      </w:r>
      <w:r>
        <w:t xml:space="preserve">.</w:t>
      </w:r>
      <w:r>
        <w:rPr>
          <w:rStyle w:val="FootnoteReference"/>
        </w:rPr>
        <w:footnoteReference w:id="78"/>
      </w:r>
      <w:r>
        <w:t xml:space="preserve"> </w:t>
      </w:r>
      <w:r>
        <w:t xml:space="preserve">Again: visual image, sound, and meaning fused into one token. If any channel is corrupted, if someone changes the image, or garbles the sound, the other channels flag the damage, because the pun no longer works. The wordplay is the checksum. And because symbols encoded this densely are extremely difficult to tamper with, they are also extremely difficult to invert, a property that matters more than you’d expect, as we’ll see in the next chapter.</w:t>
      </w:r>
    </w:p>
    <w:p>
      <w:pPr>
        <w:pStyle w:val="BodyText"/>
      </w:pPr>
      <w:r>
        <w:t xml:space="preserve">Each level served as an error-correction check on the others. If a scribal change disrupted a chiastic structure, the broken structure flagged the error, even if the surface narrative still read fine. If a word substitution broke an alliterative pattern, the broken pattern flagged the error, even if the meaning was preserved. This is redundant encoding with heterogeneous channels: not just the same information three ways, but different aspects of the information encoded in different structural features, each one independently verifiable. Corruption that sneaks past one level gets caught by another.</w:t>
      </w:r>
    </w:p>
    <w:p>
      <w:r>
        <w:pict>
          <v:rect style="width:0;height:1.5pt" o:hralign="center" o:hrstd="t" o:hr="t"/>
        </w:pict>
      </w:r>
    </w:p>
    <w:p>
      <w:pPr>
        <w:pStyle w:val="FirstParagraph"/>
      </w:pPr>
      <w:r>
        <w:t xml:space="preserve">The skalds weren’t just remembering for themselves. They were ensuring that what they transmitted to the next person was identical to what they received.</w:t>
      </w:r>
    </w:p>
    <w:p>
      <w:pPr>
        <w:pStyle w:val="BodyText"/>
      </w:pPr>
      <w:r>
        <w:t xml:space="preserve">Error in personal memory is one problem. Error in transmission is worse, because it compounds. Each generation’s mistakes add to the previous generation’s. Without correction, the signal degrades to noise within a few generations: the telephone game. We all played it as children, and it always ends the same way: the message that arrives at the end of the chain bears no resemblance to the message that was sent. That’s what happens to knowledge transmitted through a chain of lossy encoders with no error correction.</w:t>
      </w:r>
    </w:p>
    <w:p>
      <w:pPr>
        <w:pStyle w:val="BodyText"/>
      </w:pPr>
      <w:r>
        <w:t xml:space="preserve">The multi-level encoding solves this because each new recipient can verify the received text against its own structural constraints. The text carries its own integrity checks. You don’t need access to the original speaker. If the meter is intact, and the alliteration is intact, and the kenning system is intact, and the chiastic structures are intact, then the text is intact, because the probability of all those independent structural features surviving a corrupted transmission is vanishingly small. The structure is the checksum the text carries with it.</w:t>
      </w:r>
    </w:p>
    <w:p>
      <w:pPr>
        <w:pStyle w:val="BodyText"/>
      </w:pPr>
      <w:r>
        <w:t xml:space="preserve">For the SSD architecture described in Chapter 2, the implication is that the stored data should carry this kind of multi-level encoding. Byte-level checksums, obviously; that’s standard computing practice. But also semantic checksums: structural features of the content itself that allow the model to verify</w:t>
      </w:r>
      <w:r>
        <w:t xml:space="preserve"> </w:t>
      </w:r>
      <w:r>
        <w:t xml:space="preserve">“this document is internally consistent and matches the structural patterns I expect for this type of content.”</w:t>
      </w:r>
      <w:r>
        <w:t xml:space="preserve"> </w:t>
      </w:r>
      <w:r>
        <w:t xml:space="preserve">A scientific paper that claims to be peer-reviewed but lacks proper methodology sections. A legal document that uses terms inconsistently. A historical source that contradicts the geographic features it describes. These are structural integrity failures that a sufficiently attentive reader, human or artificial, can detect without needing access to the original author. The text’s own structure tells you whether it’s been damaged.</w:t>
      </w:r>
    </w:p>
    <w:p>
      <w:r>
        <w:pict>
          <v:rect style="width:0;height:1.5pt" o:hralign="center" o:hrstd="t" o:hr="t"/>
        </w:pict>
      </w:r>
    </w:p>
    <w:p>
      <w:pPr>
        <w:pStyle w:val="FirstParagraph"/>
      </w:pPr>
      <w:r>
        <w:t xml:space="preserve">The most extreme example is the Vedic oral tradition: the existence proof for the entire architecture.</w:t>
      </w:r>
    </w:p>
    <w:p>
      <w:pPr>
        <w:pStyle w:val="BodyText"/>
      </w:pPr>
      <w:r>
        <w:t xml:space="preserve">The Vedas (the oldest sacred texts of Hinduism, composed over three thousand years ago) were transmitted through group recitation using multiple redundant modes. The same text was recited continuously (</w:t>
      </w:r>
      <w:r>
        <w:rPr>
          <w:i/>
          <w:iCs/>
        </w:rPr>
        <w:t xml:space="preserve">samhita-patha</w:t>
      </w:r>
      <w:r>
        <w:t xml:space="preserve">), then word by word (</w:t>
      </w:r>
      <w:r>
        <w:rPr>
          <w:i/>
          <w:iCs/>
        </w:rPr>
        <w:t xml:space="preserve">pada-patha</w:t>
      </w:r>
      <w:r>
        <w:t xml:space="preserve">), then in overlapping pairs (</w:t>
      </w:r>
      <w:r>
        <w:rPr>
          <w:i/>
          <w:iCs/>
        </w:rPr>
        <w:t xml:space="preserve">krama-patha</w:t>
      </w:r>
      <w:r>
        <w:t xml:space="preserve">), then in increasingly complex woven patterns (</w:t>
      </w:r>
      <w:r>
        <w:rPr>
          <w:i/>
          <w:iCs/>
        </w:rPr>
        <w:t xml:space="preserve">jata-patha</w:t>
      </w:r>
      <w:r>
        <w:t xml:space="preserve"> </w:t>
      </w:r>
      <w:r>
        <w:t xml:space="preserve">and</w:t>
      </w:r>
      <w:r>
        <w:t xml:space="preserve"> </w:t>
      </w:r>
      <w:r>
        <w:rPr>
          <w:i/>
          <w:iCs/>
        </w:rPr>
        <w:t xml:space="preserve">ghana-patha</w:t>
      </w:r>
      <w:r>
        <w:t xml:space="preserve">) where words were recited forward, backward, and forward again in interlocking groups.</w:t>
      </w:r>
      <w:r>
        <w:rPr>
          <w:rStyle w:val="FootnoteReference"/>
        </w:rPr>
        <w:footnoteReference w:id="79"/>
      </w:r>
      <w:r>
        <w:t xml:space="preserve"> </w:t>
      </w:r>
      <w:r>
        <w:t xml:space="preserve">Each recitation mode was an independent integrity check on the others. If the third word in a passage had been corrupted, the continuous recitation might not catch it, but the backward-woven recitation would, because the word would fail to interlock correctly with its neighbors in the reversed pattern.</w:t>
      </w:r>
    </w:p>
    <w:p>
      <w:pPr>
        <w:pStyle w:val="BodyText"/>
      </w:pPr>
      <w:r>
        <w:t xml:space="preserve">But the most important feature wasn’t the encoding. It was the group. A hundred voices reciting simultaneously. One deviation is immediately audible: literally out of tune with the group. The error is detected by interference pattern, the same way noise-canceling headphones work. The correct signal reinforces. The error stands out.</w:t>
      </w:r>
    </w:p>
    <w:p>
      <w:pPr>
        <w:pStyle w:val="BodyText"/>
      </w:pPr>
      <w:r>
        <w:t xml:space="preserve">And the error-recovery protocol was absolute: one mistake meant the entire group repeated the whole recitation from the beginning. Not a patch. Not a local repair. A complete re-derivation from the start. This was computationally expensive; that was the point. It guaranteed the output was a clean derivation from source, not a patched version with potential hidden corruption from the repair itself. Patching is dangerous. A patch fixes the immediate error but may introduce subtle downstream corruption from the repair, the same problem we discussed in Chapter 2 with corrective retraining that overwrites the pre-correction state. The Vedic</w:t>
      </w:r>
      <w:r>
        <w:t xml:space="preserve"> </w:t>
      </w:r>
      <w:r>
        <w:t xml:space="preserve">“restart from zero”</w:t>
      </w:r>
      <w:r>
        <w:t xml:space="preserve"> </w:t>
      </w:r>
      <w:r>
        <w:t xml:space="preserve">protocol avoids this entirely: if the output is corrupt, you don’t fix it. You throw it away and regenerate it from scratch.</w:t>
      </w:r>
    </w:p>
    <w:p>
      <w:pPr>
        <w:pStyle w:val="BodyText"/>
      </w:pPr>
      <w:r>
        <w:t xml:space="preserve">The results speak for themselves. Comparative analysis between Vedic recitation lineages that split over a thousand years ago, transmitted entirely through human neural networks with no written text for most of that period, shows near-perfect agreement.</w:t>
      </w:r>
      <w:r>
        <w:rPr>
          <w:rStyle w:val="FootnoteReference"/>
        </w:rPr>
        <w:footnoteReference w:id="80"/>
      </w:r>
      <w:r>
        <w:t xml:space="preserve"> </w:t>
      </w:r>
      <w:r>
        <w:t xml:space="preserve">Three thousand years of bit-perfect transmission through biological hardware that forgets where it put its keys. This isn’t a historical curiosity. It’s still practiced today, in India and in diaspora communities worldwide.</w:t>
      </w:r>
    </w:p>
    <w:p>
      <w:pPr>
        <w:pStyle w:val="BodyText"/>
      </w:pPr>
      <w:r>
        <w:t xml:space="preserve">And here is the subtle point, the one that turns</w:t>
      </w:r>
      <w:r>
        <w:t xml:space="preserve"> </w:t>
      </w:r>
      <w:r>
        <w:t xml:space="preserve">“impressive”</w:t>
      </w:r>
      <w:r>
        <w:t xml:space="preserve"> </w:t>
      </w:r>
      <w:r>
        <w:t xml:space="preserve">into</w:t>
      </w:r>
      <w:r>
        <w:t xml:space="preserve"> </w:t>
      </w:r>
      <w:r>
        <w:t xml:space="preserve">“proof.”</w:t>
      </w:r>
      <w:r>
        <w:t xml:space="preserve"> </w:t>
      </w:r>
      <w:r>
        <w:t xml:space="preserve">The transmission is near-perfect: not perfect. A small residue of error exists: the</w:t>
      </w:r>
      <w:r>
        <w:t xml:space="preserve"> </w:t>
      </w:r>
      <w:r>
        <w:rPr>
          <w:i/>
          <w:iCs/>
        </w:rPr>
        <w:t xml:space="preserve">padapatha</w:t>
      </w:r>
      <w:r>
        <w:t xml:space="preserve">, the authoritative word-by-word analysis of the Rigveda, contains a handful of recognized mistakes in how it divides certain run-together forms; different recension schools (</w:t>
      </w:r>
      <w:r>
        <w:rPr>
          <w:i/>
          <w:iCs/>
        </w:rPr>
        <w:t xml:space="preserve">shakhas</w:t>
      </w:r>
      <w:r>
        <w:t xml:space="preserve">) preserve minor variants in accent and, occasionally, in wording; the original text of the Atharvaveda can now only be</w:t>
      </w:r>
      <w:r>
        <w:t xml:space="preserve"> </w:t>
      </w:r>
      <w:r>
        <w:rPr>
          <w:i/>
          <w:iCs/>
        </w:rPr>
        <w:t xml:space="preserve">approximated</w:t>
      </w:r>
      <w:r>
        <w:t xml:space="preserve"> </w:t>
      </w:r>
      <w:r>
        <w:t xml:space="preserve">by comparing two partially corrupted lineages against each other.</w:t>
      </w:r>
      <w:r>
        <w:rPr>
          <w:rStyle w:val="FootnoteReference"/>
        </w:rPr>
        <w:footnoteReference w:id="81"/>
      </w:r>
      <w:r>
        <w:t xml:space="preserve"> </w:t>
      </w:r>
      <w:r>
        <w:t xml:space="preserve">This does not weaken the claim. It is the claim. The errors are known</w:t>
      </w:r>
      <w:r>
        <w:t xml:space="preserve"> </w:t>
      </w:r>
      <w:r>
        <w:rPr>
          <w:i/>
          <w:iCs/>
        </w:rPr>
        <w:t xml:space="preserve">because</w:t>
      </w:r>
      <w:r>
        <w:t xml:space="preserve"> </w:t>
      </w:r>
      <w:r>
        <w:t xml:space="preserve">they are detectable, and they are detectable</w:t>
      </w:r>
      <w:r>
        <w:t xml:space="preserve"> </w:t>
      </w:r>
      <w:r>
        <w:rPr>
          <w:i/>
          <w:iCs/>
        </w:rPr>
        <w:t xml:space="preserve">because</w:t>
      </w:r>
      <w:r>
        <w:t xml:space="preserve"> </w:t>
      </w:r>
      <w:r>
        <w:t xml:space="preserve">the encoding is so redundant. A wrong word-division betrays itself by violating the pitch-accent rules, which are an independent channel laid over the consonants; a variant in one</w:t>
      </w:r>
      <w:r>
        <w:t xml:space="preserve"> </w:t>
      </w:r>
      <w:r>
        <w:rPr>
          <w:i/>
          <w:iCs/>
        </w:rPr>
        <w:t xml:space="preserve">shakha</w:t>
      </w:r>
      <w:r>
        <w:t xml:space="preserve"> </w:t>
      </w:r>
      <w:r>
        <w:t xml:space="preserve">stands out precisely because every other</w:t>
      </w:r>
      <w:r>
        <w:t xml:space="preserve"> </w:t>
      </w:r>
      <w:r>
        <w:rPr>
          <w:i/>
          <w:iCs/>
        </w:rPr>
        <w:t xml:space="preserve">shakha</w:t>
      </w:r>
      <w:r>
        <w:t xml:space="preserve"> </w:t>
      </w:r>
      <w:r>
        <w:t xml:space="preserve">agrees; the Atharvaveda’s corruptions are recoverable exactly to the degree that two independent witnesses can be cross-checked. In a low-redundancy system, an error simply becomes the new text, silently. In a system this thoroughly cross-checked, an error cannot hide, it lights up against the near-perfect background like a single off-key voice in a hundred-voice chorus. The tiny error rate is not the exception to the system’s fidelity. It is the visible proof that the error-detection is running.</w:t>
      </w:r>
    </w:p>
    <w:p>
      <w:r>
        <w:pict>
          <v:rect style="width:0;height:1.5pt" o:hralign="center" o:hrstd="t" o:hr="t"/>
        </w:pict>
      </w:r>
    </w:p>
    <w:p>
      <w:pPr>
        <w:pStyle w:val="FirstParagraph"/>
      </w:pPr>
      <w:r>
        <w:t xml:space="preserve">And here is the most extraordinary fact about the Vedic tradition: the Brahmins (the hereditary priestly scholars charged with preserving the texts) who maintain this perfect transmission do not fully understand the earliest texts they recite.</w:t>
      </w:r>
    </w:p>
    <w:p>
      <w:pPr>
        <w:pStyle w:val="BodyText"/>
      </w:pPr>
      <w:r>
        <w:t xml:space="preserve">The Sanskrit of the oldest Rigvedic hymns is essentially a different language from Classical Sanskrit, as different as Old English is from Modern English, perhaps more so. As Karen Thomson has argued, most extensively in her 2025 book</w:t>
      </w:r>
      <w:r>
        <w:t xml:space="preserve"> </w:t>
      </w:r>
      <w:r>
        <w:rPr>
          <w:i/>
          <w:iCs/>
        </w:rPr>
        <w:t xml:space="preserve">The Decipherable Rigveda</w:t>
      </w:r>
      <w:r>
        <w:t xml:space="preserve">, these earliest poems have been consistently misunderstood throughout history: not just by Western scholars but by the Indian tradition itself.</w:t>
      </w:r>
      <w:r>
        <w:rPr>
          <w:rStyle w:val="FootnoteReference"/>
        </w:rPr>
        <w:footnoteReference w:id="82"/>
      </w:r>
      <w:r>
        <w:t xml:space="preserve"> </w:t>
      </w:r>
      <w:r>
        <w:t xml:space="preserve">Thomson, who studied English and Comparative Literature at Bristol and Warwick before turning to Sanskrit at Edinburgh, brought a fresh set of tools to the problem: comparative Indo-European linguistics, metrical restoration techniques, and, critically, a willingness to discard inherited glosses that the tradition had fossilized over centuries. By the first century BC, the ancient commentator Yāska was already contending with the assertion that</w:t>
      </w:r>
      <w:r>
        <w:t xml:space="preserve"> </w:t>
      </w:r>
      <w:r>
        <w:t xml:space="preserve">“the Vedic hymns have no meaning.”</w:t>
      </w:r>
      <w:r>
        <w:rPr>
          <w:rStyle w:val="FootnoteReference"/>
        </w:rPr>
        <w:footnoteReference w:id="83"/>
      </w:r>
      <w:r>
        <w:t xml:space="preserve"> </w:t>
      </w:r>
      <w:r>
        <w:t xml:space="preserve">The tradition preserved the sounds perfectly but lost access to the meanings.</w:t>
      </w:r>
    </w:p>
    <w:p>
      <w:pPr>
        <w:pStyle w:val="BodyText"/>
      </w:pPr>
      <w:r>
        <w:t xml:space="preserve">Three thousand years of bit-perfect transmission of texts the transmitters themselves cannot fully interpret. The encoding is so robust that comprehension is not even required for fidelity. The structure carries the content independent of the carrier’s understanding.</w:t>
      </w:r>
    </w:p>
    <w:p>
      <w:pPr>
        <w:pStyle w:val="BodyText"/>
      </w:pPr>
      <w:r>
        <w:t xml:space="preserve">This is the ultimate proof that the architecture works; it doesn’t even need the humans to understand what they’re preserving. And it suggests something important for the AI architecture: a well-designed storage and integrity system can preserve information whose full significance is not yet understood. The SSD doesn’t need to</w:t>
      </w:r>
      <w:r>
        <w:t xml:space="preserve"> </w:t>
      </w:r>
      <w:r>
        <w:t xml:space="preserve">“know”</w:t>
      </w:r>
      <w:r>
        <w:t xml:space="preserve"> </w:t>
      </w:r>
      <w:r>
        <w:t xml:space="preserve">what the data means. It just needs to keep it intact until something with the right context comes along to read it correctly.</w:t>
      </w:r>
    </w:p>
    <w:p>
      <w:pPr>
        <w:pStyle w:val="BodyText"/>
      </w:pPr>
      <w:r>
        <w:t xml:space="preserve">Thomson’s work demonstrates the flip side of this principle: that with the right tools and the right context, lost meaning can be recovered. She applied comparative Indo-European linguistics to words the tradition had given up on, words glossed as ritual implements or dismissed as meaningless, and recovered original poetic meanings that the Brahmins themselves had lost centuries ago.</w:t>
      </w:r>
      <w:r>
        <w:rPr>
          <w:rStyle w:val="FootnoteReference"/>
        </w:rPr>
        <w:footnoteReference w:id="84"/>
      </w:r>
      <w:r>
        <w:t xml:space="preserve"> </w:t>
      </w:r>
      <w:r>
        <w:t xml:space="preserve">The word</w:t>
      </w:r>
      <w:r>
        <w:t xml:space="preserve"> </w:t>
      </w:r>
      <w:r>
        <w:rPr>
          <w:i/>
          <w:iCs/>
        </w:rPr>
        <w:t xml:space="preserve">gravan</w:t>
      </w:r>
      <w:r>
        <w:t xml:space="preserve">, traditionally translated as</w:t>
      </w:r>
      <w:r>
        <w:t xml:space="preserve"> </w:t>
      </w:r>
      <w:r>
        <w:t xml:space="preserve">“ritual pressing stone,”</w:t>
      </w:r>
      <w:r>
        <w:t xml:space="preserve"> </w:t>
      </w:r>
      <w:r>
        <w:t xml:space="preserve">she demonstrated was actually a word for a man who is singing. A tool became a poet. And her recovered meanings aren’t arbitrary reinterpretations, they cohere with each other, with the metrical structure, and with the known geographical features of the Rigvedic landscape. The structure preserved information it didn’t know it was preserving. Thomson’s new context, her comparative linguistic tools and her willingness to read the text as poetry rather than liturgy, was the key that decoded it.</w:t>
      </w:r>
    </w:p>
    <w:p>
      <w:pPr>
        <w:pStyle w:val="BodyText"/>
      </w:pPr>
      <w:r>
        <w:t xml:space="preserve">This is the SSD principle proven at civilizational scale. The data was intact. The encoding’s redundancy was intact. What was missing was a reader with the right context. When that reader finally arrived, three thousand years after the original composition, the error-correcting structure of the poetry made recovery possible, just as a Reed-Solomon code can reconstruct a corrupted transmission from the redundancy embedded in the original signal. The more garbled the data, the more work the reconstruction requires. But if the encoding was dense enough, if there is enough redundancy in enough independent channels, the original signal can be recovered. The field of comparative and historical linguistics has centuries of accumulated data to draw from, which is itself a kind of SSD, a vast, precise, externally stored record against which individual claims can be checked and refined.</w:t>
      </w:r>
      <w:r>
        <w:rPr>
          <w:rStyle w:val="FootnoteReference"/>
        </w:rPr>
        <w:footnoteReference w:id="85"/>
      </w:r>
    </w:p>
    <w:p>
      <w:pPr>
        <w:pStyle w:val="BodyText"/>
      </w:pPr>
      <w:r>
        <w:t xml:space="preserve">The Veda is not the only text this has happened to, and</w:t>
      </w:r>
      <w:r>
        <w:t xml:space="preserve"> </w:t>
      </w:r>
      <w:r>
        <w:rPr>
          <w:i/>
          <w:iCs/>
        </w:rPr>
        <w:t xml:space="preserve">gravan</w:t>
      </w:r>
      <w:r>
        <w:t xml:space="preserve"> </w:t>
      </w:r>
      <w:r>
        <w:t xml:space="preserve">is not the only kind of thing that can be pulled back out of an old poem. The same recovery, structure preserving what the carriers had lost, until a reader with the right key arrived, has been run on Homer, on the Hebrew Bible, and on the oldest Germanic epic, each yielding a different class of lost knowledge: a dead pronunciation, an obsolete grammar, a forgotten historical event. Because the point is easier to see when you can watch it happen across several traditions at once, this book works it through in full, as a single connected example, in the appendix. What matters here is the principle the Veda establishes in its purest form: a sufficiently redundant encoding, faithfully preserved, can outlive its own comprehension and wait, indefinitely, for the context that will read it again.</w:t>
      </w:r>
    </w:p>
    <w:p>
      <w:r>
        <w:pict>
          <v:rect style="width:0;height:1.5pt" o:hralign="center" o:hrstd="t" o:hr="t"/>
        </w:pict>
      </w:r>
    </w:p>
    <w:p>
      <w:pPr>
        <w:pStyle w:val="FirstParagraph"/>
      </w:pPr>
      <w:r>
        <w:t xml:space="preserve">An interesting aside that could be its own book: Brahmins who recited the Vedas and rabbis who memorized the Torah were traditionally said to have vastly improved memory.</w:t>
      </w:r>
    </w:p>
    <w:p>
      <w:pPr>
        <w:pStyle w:val="BodyText"/>
      </w:pPr>
      <w:r>
        <w:t xml:space="preserve">Lawyers and verbal reasoners were especially noted in the Talmudic tradition, the centuries-long rabbinical project of legal commentary and debate.</w:t>
      </w:r>
      <w:r>
        <w:rPr>
          <w:rStyle w:val="FootnoteReference"/>
        </w:rPr>
        <w:footnoteReference w:id="86"/>
      </w:r>
      <w:r>
        <w:t xml:space="preserve"> </w:t>
      </w:r>
      <w:r>
        <w:t xml:space="preserve">The tradition called them</w:t>
      </w:r>
      <w:r>
        <w:t xml:space="preserve"> </w:t>
      </w:r>
      <w:r>
        <w:rPr>
          <w:i/>
          <w:iCs/>
        </w:rPr>
        <w:t xml:space="preserve">sinai</w:t>
      </w:r>
      <w:r>
        <w:t xml:space="preserve">, walking Sinais, mountains of knowledge, and distinguished them from the</w:t>
      </w:r>
      <w:r>
        <w:t xml:space="preserve"> </w:t>
      </w:r>
      <w:r>
        <w:rPr>
          <w:i/>
          <w:iCs/>
        </w:rPr>
        <w:t xml:space="preserve">oker harim</w:t>
      </w:r>
      <w:r>
        <w:t xml:space="preserve">, the</w:t>
      </w:r>
      <w:r>
        <w:t xml:space="preserve"> </w:t>
      </w:r>
      <w:r>
        <w:t xml:space="preserve">“uprooters of mountains,”</w:t>
      </w:r>
      <w:r>
        <w:t xml:space="preserve"> </w:t>
      </w:r>
      <w:r>
        <w:t xml:space="preserve">who were brilliant in argument but less reliable in recall.</w:t>
      </w:r>
      <w:r>
        <w:rPr>
          <w:rStyle w:val="FootnoteReference"/>
        </w:rPr>
        <w:footnoteReference w:id="87"/>
      </w:r>
      <w:r>
        <w:t xml:space="preserve"> </w:t>
      </w:r>
      <w:r>
        <w:t xml:space="preserve">Both types were valued. But the walking Sinai, the scholar whose memory was so precise that they could function as a living reference library, was considered the indispensable foundation that the creative reasoner built upon.</w:t>
      </w:r>
    </w:p>
    <w:p>
      <w:pPr>
        <w:pStyle w:val="BodyText"/>
      </w:pPr>
      <w:r>
        <w:t xml:space="preserve">But was this actually</w:t>
      </w:r>
      <w:r>
        <w:t xml:space="preserve"> </w:t>
      </w:r>
      <w:r>
        <w:t xml:space="preserve">“better memory”</w:t>
      </w:r>
      <w:r>
        <w:t xml:space="preserve"> </w:t>
      </w:r>
      <w:r>
        <w:t xml:space="preserve">in some general sense? Or was it better memory for the kinds of things their traditions cared about, because their compression encodings were tighter, their internal models more articulated, for the specific domains they paid attention to? The verbal intelligence that large language models specialize in today is exactly this cognitive profile, the skaldic, rabbinical, lawyerly ability to compress and retrieve structured language with high fidelity. Engineers, meanwhile, are often high in visual-spatial intelligence, seemingly connected to hands-on sensory experience: the embodied knowledge we discussed in Chapter 1. These are different encoding specializations, not different amounts of raw capability. The complete AI architecture would have both.</w:t>
      </w:r>
    </w:p>
    <w:p>
      <w:r>
        <w:pict>
          <v:rect style="width:0;height:1.5pt" o:hralign="center" o:hrstd="t" o:hr="t"/>
        </w:pict>
      </w:r>
    </w:p>
    <w:p>
      <w:pPr>
        <w:pStyle w:val="FirstParagraph"/>
      </w:pPr>
      <w:r>
        <w:t xml:space="preserve">When someone tells you that the full error-correction architecture is too complex, too expensive, too many layers, the Vedic tradition is the answer.</w:t>
      </w:r>
    </w:p>
    <w:p>
      <w:pPr>
        <w:pStyle w:val="BodyText"/>
      </w:pPr>
      <w:r>
        <w:t xml:space="preserve">They did it on wetware with no technology beyond structured breath and communal discipline. Skipping it is what’s expensive. Skipping it gets you the 2025 internet: a corrupted corpus with no integrity verification and no way to recover the clean signal.</w:t>
      </w:r>
    </w:p>
    <w:p>
      <w:pPr>
        <w:pStyle w:val="BodyText"/>
      </w:pPr>
      <w:r>
        <w:t xml:space="preserve">But everything we’ve discussed so far, the body, the notebook, the poetic structure, assumes the source data is clean. That the corruption to be corrected is accidental: scribal errors, compression artifacts, honest mistakes compounding over generations.</w:t>
      </w:r>
    </w:p>
    <w:p>
      <w:pPr>
        <w:pStyle w:val="BodyText"/>
      </w:pPr>
      <w:r>
        <w:t xml:space="preserve">What if the corruption isn’t accidental? What if someone is deliberately poisoning the well?</w:t>
      </w:r>
    </w:p>
    <w:p>
      <w:r>
        <w:pict>
          <v:rect style="width:0;height:1.5pt" o:hralign="center" o:hrstd="t" o:hr="t"/>
        </w:pict>
      </w:r>
    </w:p>
    <w:p>
      <w:pPr>
        <w:pStyle w:val="FirstParagraph"/>
      </w:pPr>
      <w:r>
        <w:t xml:space="preserve">Everything so far assumes the source data is clean. What if it isn’t?</w:t>
      </w:r>
    </w:p>
    <w:p>
      <w:pPr>
        <w:pStyle w:val="BodyText"/>
      </w:pPr>
      <w:r>
        <w:t xml:space="preserve">There are two kinds of errors in a corpus. Honest errors have a random signature; they don’t cluster, they don’t serve an agenda. A scribal slip that turns</w:t>
      </w:r>
      <w:r>
        <w:t xml:space="preserve"> </w:t>
      </w:r>
      <w:r>
        <w:t xml:space="preserve">“left”</w:t>
      </w:r>
      <w:r>
        <w:t xml:space="preserve"> </w:t>
      </w:r>
      <w:r>
        <w:t xml:space="preserve">into</w:t>
      </w:r>
      <w:r>
        <w:t xml:space="preserve"> </w:t>
      </w:r>
      <w:r>
        <w:t xml:space="preserve">“lest”</w:t>
      </w:r>
      <w:r>
        <w:t xml:space="preserve"> </w:t>
      </w:r>
      <w:r>
        <w:t xml:space="preserve">is noise. It’s the kind of error that all the systems described in previous chapters are designed to catch: the meter breaks, the rhyme fails, the chiastic structure fractures, the checksum doesn’t match. The multi-level encoding of Chapter 4 handles honest error beautifully. It was built for exactly this.</w:t>
      </w:r>
    </w:p>
    <w:p>
      <w:pPr>
        <w:pStyle w:val="BodyText"/>
      </w:pPr>
      <w:r>
        <w:t xml:space="preserve">Hostile manipulation has a different signature entirely. Changes cluster around specific topics. They serve a detectable purpose. They’re strategically placed to alter meaning while being hard to spot. A scribal slip is random. An interpolation, a passage deliberately inserted into a text by a later hand, is coherent. It fits grammatically. It reads smoothly. It is designed to pass casual inspection. The difference between catching a scribal error and catching a deliberate interpolation is the difference between catching a typo and catching a lie. The lie is crafted to look like truth. It takes a different kind of detection system.</w:t>
      </w:r>
    </w:p>
    <w:p>
      <w:r>
        <w:pict>
          <v:rect style="width:0;height:1.5pt" o:hralign="center" o:hrstd="t" o:hr="t"/>
        </w:pict>
      </w:r>
    </w:p>
    <w:p>
      <w:pPr>
        <w:pStyle w:val="FirstParagraph"/>
      </w:pPr>
      <w:r>
        <w:t xml:space="preserve">The Masoretes (the scholars who standardized the Hebrew biblical text between roughly the sixth and tenth centuries CE) understood this distinction implicitly.</w:t>
      </w:r>
      <w:r>
        <w:rPr>
          <w:rStyle w:val="FootnoteReference"/>
        </w:rPr>
        <w:footnoteReference w:id="88"/>
      </w:r>
    </w:p>
    <w:p>
      <w:pPr>
        <w:pStyle w:val="BodyText"/>
      </w:pPr>
      <w:r>
        <w:t xml:space="preserve">They worked from multiple independent manuscript traditions, geographically separated. Some came from Babylon, some from Palestine, some from other Jewish communities scattered across the Mediterranean and Near East. This geographic separation is the crucial feature. Each tradition had been copied independently for centuries. They had accumulated different errors, different scribal slips, different marginal glosses that had crept into the main text, different orthographic conventions. But because the copying errors were independent, because no single scribe or scribal school could have coordinated changes across all the traditions simultaneously, the points where the traditions agreed were almost certainly original, and the points where they diverged were almost certainly corrupted in at least one lineage.</w:t>
      </w:r>
    </w:p>
    <w:p>
      <w:pPr>
        <w:pStyle w:val="BodyText"/>
      </w:pPr>
      <w:r>
        <w:t xml:space="preserve">This is the same principle as Byzantine fault tolerance in distributed computing, the method by which networks of unreliable computers produce reliable collective outputs.</w:t>
      </w:r>
      <w:r>
        <w:rPr>
          <w:rStyle w:val="FootnoteReference"/>
        </w:rPr>
        <w:footnoteReference w:id="89"/>
      </w:r>
      <w:r>
        <w:t xml:space="preserve"> </w:t>
      </w:r>
      <w:r>
        <w:t xml:space="preserve">The key insight, formalized by Leslie Lamport and colleagues in 1982, is that a distributed system can tolerate up to one-third of its nodes being faulty (or even actively malicious) as long as the remaining nodes can communicate and reach consensus. The faulty nodes are detected by their disagreement with the majority. You don’t need to know which specific node is lying. You just need enough independent nodes that the liars can’t form a majority.</w:t>
      </w:r>
    </w:p>
    <w:p>
      <w:pPr>
        <w:pStyle w:val="BodyText"/>
      </w:pPr>
      <w:r>
        <w:t xml:space="preserve">The same principle, for that matter, as Bitcoin: the cryptocurrency system designed by the pseudonymous Satoshi Nakamoto in 2008.</w:t>
      </w:r>
      <w:r>
        <w:rPr>
          <w:rStyle w:val="FootnoteReference"/>
        </w:rPr>
        <w:footnoteReference w:id="90"/>
      </w:r>
      <w:r>
        <w:t xml:space="preserve"> </w:t>
      </w:r>
      <w:r>
        <w:t xml:space="preserve">Bitcoin’s blockchain is Byzantine fault tolerance applied to a financial ledger. No central authority. Distributed consensus. Every node in the network verifies every transaction independently. Corruption requires compromising a majority of the computational power in the entire network simultaneously, which is economically infeasible. The Masoretes were running a proof-of-work consensus protocol on vellum a millennium before Nakamoto formalized it in software.</w:t>
      </w:r>
    </w:p>
    <w:p>
      <w:pPr>
        <w:pStyle w:val="BodyText"/>
      </w:pPr>
      <w:r>
        <w:t xml:space="preserve">They didn’t just compare texts. They counted letters. They counted words. They recorded which word was the middle word of the Torah, which letter was the middle letter.</w:t>
      </w:r>
      <w:r>
        <w:rPr>
          <w:rStyle w:val="FootnoteReference"/>
        </w:rPr>
        <w:footnoteReference w:id="91"/>
      </w:r>
      <w:r>
        <w:t xml:space="preserve"> </w:t>
      </w:r>
      <w:r>
        <w:t xml:space="preserve">These are structural checksums, the same class of integrity verification we discussed in Chapter 3, but applied at the macro level rather than the level of individual verses. Any alteration, no matter how small, a single added letter, a single deleted word, breaks the count. And the counts were themselves transmitted independently, as metadata alongside the text, so that the integrity of the text and the integrity of the checksums could be verified against each other.</w:t>
      </w:r>
    </w:p>
    <w:p>
      <w:pPr>
        <w:pStyle w:val="BodyText"/>
      </w:pPr>
      <w:r>
        <w:t xml:space="preserve">And crucially, their scholarly disagreement was productive. When traditions diverged, the divergence wasn’t suppressed. It was examined, debated, sometimes resolved, sometimes preserved as a noted variant in the margin, the</w:t>
      </w:r>
      <w:r>
        <w:t xml:space="preserve"> </w:t>
      </w:r>
      <w:r>
        <w:rPr>
          <w:i/>
          <w:iCs/>
        </w:rPr>
        <w:t xml:space="preserve">kere/ketiv</w:t>
      </w:r>
      <w:r>
        <w:t xml:space="preserve"> </w:t>
      </w:r>
      <w:r>
        <w:t xml:space="preserve">system, where the written text (</w:t>
      </w:r>
      <w:r>
        <w:rPr>
          <w:i/>
          <w:iCs/>
        </w:rPr>
        <w:t xml:space="preserve">ketiv</w:t>
      </w:r>
      <w:r>
        <w:t xml:space="preserve">) was kept unchanged but an alternative reading (</w:t>
      </w:r>
      <w:r>
        <w:rPr>
          <w:i/>
          <w:iCs/>
        </w:rPr>
        <w:t xml:space="preserve">kere</w:t>
      </w:r>
      <w:r>
        <w:t xml:space="preserve">) was noted alongside it.</w:t>
      </w:r>
      <w:r>
        <w:rPr>
          <w:rStyle w:val="FootnoteReference"/>
        </w:rPr>
        <w:footnoteReference w:id="92"/>
      </w:r>
      <w:r>
        <w:t xml:space="preserve"> </w:t>
      </w:r>
      <w:r>
        <w:t xml:space="preserve">The argument was the error-detection mechanism. A community of scholars who agree on everything is useless for catching errors. A community that disagrees, rigorously and transparently, catches everything. The disagreement isn’t a failure of the system. It IS the system.</w:t>
      </w:r>
    </w:p>
    <w:p>
      <w:r>
        <w:pict>
          <v:rect style="width:0;height:1.5pt" o:hralign="center" o:hrstd="t" o:hr="t"/>
        </w:pict>
      </w:r>
    </w:p>
    <w:p>
      <w:pPr>
        <w:pStyle w:val="FirstParagraph"/>
      </w:pPr>
      <w:r>
        <w:t xml:space="preserve">The Islamic hadith tradition (the vast body of reported sayings and actions of the Prophet Muhammad) developed the same architecture independently, and with an even more explicit focus on provenance.</w:t>
      </w:r>
      <w:r>
        <w:rPr>
          <w:rStyle w:val="FootnoteReference"/>
        </w:rPr>
        <w:footnoteReference w:id="93"/>
      </w:r>
    </w:p>
    <w:p>
      <w:pPr>
        <w:pStyle w:val="BodyText"/>
      </w:pPr>
      <w:r>
        <w:t xml:space="preserve">Every reported saying carries an</w:t>
      </w:r>
      <w:r>
        <w:t xml:space="preserve"> </w:t>
      </w:r>
      <w:r>
        <w:rPr>
          <w:i/>
          <w:iCs/>
        </w:rPr>
        <w:t xml:space="preserve">isnad</w:t>
      </w:r>
      <w:r>
        <w:t xml:space="preserve">, a chain of transmission listing every person who passed it along, going back to the original source.</w:t>
      </w:r>
      <w:r>
        <w:t xml:space="preserve"> </w:t>
      </w:r>
      <w:r>
        <w:t xml:space="preserve">“I heard from A, who heard from B, who heard from C, who heard from the Prophet, that he said…”</w:t>
      </w:r>
      <w:r>
        <w:t xml:space="preserve"> </w:t>
      </w:r>
      <w:r>
        <w:t xml:space="preserve">The chain is part of the data. It is inseparable from the content. A hadith without an</w:t>
      </w:r>
      <w:r>
        <w:t xml:space="preserve"> </w:t>
      </w:r>
      <w:r>
        <w:rPr>
          <w:i/>
          <w:iCs/>
        </w:rPr>
        <w:t xml:space="preserve">isnad</w:t>
      </w:r>
      <w:r>
        <w:t xml:space="preserve"> </w:t>
      </w:r>
      <w:r>
        <w:t xml:space="preserve">is not a hadith; it’s an unattributed claim, and carries no scholarly weight.</w:t>
      </w:r>
    </w:p>
    <w:p>
      <w:pPr>
        <w:pStyle w:val="BodyText"/>
      </w:pPr>
      <w:r>
        <w:t xml:space="preserve">Hadith scholars (the</w:t>
      </w:r>
      <w:r>
        <w:t xml:space="preserve"> </w:t>
      </w:r>
      <w:r>
        <w:rPr>
          <w:i/>
          <w:iCs/>
        </w:rPr>
        <w:t xml:space="preserve">muhaddithin</w:t>
      </w:r>
      <w:r>
        <w:t xml:space="preserve">) developed a formal science of evaluating these chains. They compiled biographical dictionaries of thousands of transmitters, recording their character, their memory, their reliability, their relationships with other transmitters, their dates of birth and death.</w:t>
      </w:r>
      <w:r>
        <w:rPr>
          <w:rStyle w:val="FootnoteReference"/>
        </w:rPr>
        <w:footnoteReference w:id="94"/>
      </w:r>
      <w:r>
        <w:t xml:space="preserve"> </w:t>
      </w:r>
      <w:r>
        <w:t xml:space="preserve">A chain with one unreliable link, a transmitter known for poor memory, or a gap where no plausible transmission path exists, downgrades the entire report, even if the content seems perfectly reasonable. A saying attributed to the Prophet through a chain containing a known fabricator is rejected regardless of how pious or theologically convenient it sounds.</w:t>
      </w:r>
    </w:p>
    <w:p>
      <w:pPr>
        <w:pStyle w:val="BodyText"/>
      </w:pPr>
      <w:r>
        <w:t xml:space="preserve">This is data provenance verification, developed in the eighth century. It is, in its essentials, the same system that modern supply-chain integrity and digital provenance standards are trying to build. The W3C’s PROV standard for documenting the origin and handling of digital data is a twenty-first-century formalization of what the</w:t>
      </w:r>
      <w:r>
        <w:t xml:space="preserve"> </w:t>
      </w:r>
      <w:r>
        <w:rPr>
          <w:i/>
          <w:iCs/>
        </w:rPr>
        <w:t xml:space="preserve">muhaddithin</w:t>
      </w:r>
      <w:r>
        <w:t xml:space="preserve"> </w:t>
      </w:r>
      <w:r>
        <w:t xml:space="preserve">were doing with biographical dictionaries and scholarly consensus twelve hundred years ago.</w:t>
      </w:r>
      <w:r>
        <w:rPr>
          <w:rStyle w:val="FootnoteReference"/>
        </w:rPr>
        <w:footnoteReference w:id="95"/>
      </w:r>
    </w:p>
    <w:p>
      <w:r>
        <w:pict>
          <v:rect style="width:0;height:1.5pt" o:hralign="center" o:hrstd="t" o:hr="t"/>
        </w:pict>
      </w:r>
    </w:p>
    <w:p>
      <w:pPr>
        <w:pStyle w:val="FirstParagraph"/>
      </w:pPr>
      <w:r>
        <w:t xml:space="preserve">Now look at the actual internet in 2025.</w:t>
      </w:r>
    </w:p>
    <w:p>
      <w:pPr>
        <w:pStyle w:val="BodyText"/>
      </w:pPr>
      <w:r>
        <w:t xml:space="preserve">SEO manipulation. AI-generated content farms producing thousands of plausible-sounding articles per day, optimized for search ranking rather than accuracy. State-sponsored disinformation operations coordinated across platforms. Coordinated inauthentic behavior: networks of fake accounts amplifying chosen narratives. The textual commons is actively, deliberately poisoned, and at a scale the Masoretes and</w:t>
      </w:r>
      <w:r>
        <w:t xml:space="preserve"> </w:t>
      </w:r>
      <w:r>
        <w:rPr>
          <w:i/>
          <w:iCs/>
        </w:rPr>
        <w:t xml:space="preserve">muhaddithin</w:t>
      </w:r>
      <w:r>
        <w:t xml:space="preserve"> </w:t>
      </w:r>
      <w:r>
        <w:t xml:space="preserve">never had to contend with.</w:t>
      </w:r>
      <w:r>
        <w:rPr>
          <w:rStyle w:val="FootnoteReference"/>
        </w:rPr>
        <w:footnoteReference w:id="96"/>
      </w:r>
    </w:p>
    <w:p>
      <w:pPr>
        <w:pStyle w:val="BodyText"/>
      </w:pPr>
      <w:r>
        <w:t xml:space="preserve">A large language model trained on recent web data has ingested enormous quantities of fabricated material, and it has no mechanism to distinguish this from legitimate content. Every word in its training corpus, true or false, sincere or manufactured, carefully researched or algorithmically generated, gets the same treatment: compressed into the weights, entangled with everything else, provenance destroyed. A fact from a peer-reviewed journal and a fabrication from a content farm are, as far as the model’s training process is concerned, equivalent inputs. They differ only in their statistical frequency and their correlations with other tokens. If the fabrications are numerous enough and internally consistent enough, they will be encoded as confidently as the truth.</w:t>
      </w:r>
    </w:p>
    <w:p>
      <w:pPr>
        <w:pStyle w:val="BodyText"/>
      </w:pPr>
      <w:r>
        <w:t xml:space="preserve">Worse: textual cross-validation can detect inconsistency but cannot detect a consistent lie shared across multiple coordinated sources. If ten websites all agree on a falsehood, text-only verification says</w:t>
      </w:r>
      <w:r>
        <w:t xml:space="preserve"> </w:t>
      </w:r>
      <w:r>
        <w:t xml:space="preserve">“high confidence.”</w:t>
      </w:r>
      <w:r>
        <w:t xml:space="preserve"> </w:t>
      </w:r>
      <w:r>
        <w:t xml:space="preserve">The consensus is fake, but the model has no way to know that, because it has no channel of information that isn’t text. Only an independent channel, sensory ground truth, as discussed in Chapter 1, or a verified corpus with known provenance, can break the consensus of coordinated lies.</w:t>
      </w:r>
    </w:p>
    <w:p>
      <w:r>
        <w:pict>
          <v:rect style="width:0;height:1.5pt" o:hralign="center" o:hrstd="t" o:hr="t"/>
        </w:pict>
      </w:r>
    </w:p>
    <w:p>
      <w:pPr>
        <w:pStyle w:val="FirstParagraph"/>
      </w:pPr>
      <w:r>
        <w:t xml:space="preserve">And the internet has been actively dismantling its own provenance infrastructure.</w:t>
      </w:r>
    </w:p>
    <w:p>
      <w:pPr>
        <w:pStyle w:val="BodyText"/>
      </w:pPr>
      <w:r>
        <w:t xml:space="preserve">DNS records (the ownership records of websites) used to contain the registrant’s real name, address, and phone number. You could look up who was behind any domain. This was the internet’s</w:t>
      </w:r>
      <w:r>
        <w:t xml:space="preserve"> </w:t>
      </w:r>
      <w:r>
        <w:rPr>
          <w:i/>
          <w:iCs/>
        </w:rPr>
        <w:t xml:space="preserve">isnad</w:t>
      </w:r>
      <w:r>
        <w:t xml:space="preserve">, the chain of accountability connecting a piece of content to a real person who could be held responsible for it. It wasn’t perfect. People could lie on the forms. But the default was transparency, and the barrier to anonymity was non-trivial.</w:t>
      </w:r>
      <w:r>
        <w:rPr>
          <w:rStyle w:val="FootnoteReference"/>
        </w:rPr>
        <w:footnoteReference w:id="97"/>
      </w:r>
    </w:p>
    <w:p>
      <w:pPr>
        <w:pStyle w:val="BodyText"/>
      </w:pPr>
      <w:r>
        <w:t xml:space="preserve">Today, nearly all domains are registered behind privacy services showing only a registrar’s generic contact information. A content farm pumping out medical disinformation is just an IP address behind a registrar in Panama. No chain of transmission. No way to evaluate the source. The</w:t>
      </w:r>
      <w:r>
        <w:t xml:space="preserve"> </w:t>
      </w:r>
      <w:r>
        <w:rPr>
          <w:i/>
          <w:iCs/>
        </w:rPr>
        <w:t xml:space="preserve">isnad</w:t>
      </w:r>
      <w:r>
        <w:t xml:space="preserve"> </w:t>
      </w:r>
      <w:r>
        <w:t xml:space="preserve">has been severed.</w:t>
      </w:r>
    </w:p>
    <w:p>
      <w:pPr>
        <w:pStyle w:val="BodyText"/>
      </w:pPr>
      <w:r>
        <w:t xml:space="preserve">This didn’t happen by accident, though it wasn’t a conspiracy either. Anonymous domain registration serves legitimate privacy needs, a political dissident, a domestic abuse survivor, a whistleblower all have good reasons to keep their identity separate from their domain. But the same mechanism that protects the vulnerable also protects the malicious, and the net effect has been the elimination of the accountability layer. The internet stripped away its own scholarly apparatus, one privacy policy at a time, and then wondered why trust collapsed.</w:t>
      </w:r>
    </w:p>
    <w:p>
      <w:r>
        <w:pict>
          <v:rect style="width:0;height:1.5pt" o:hralign="center" o:hrstd="t" o:hr="t"/>
        </w:pict>
      </w:r>
    </w:p>
    <w:p>
      <w:pPr>
        <w:pStyle w:val="FirstParagraph"/>
      </w:pPr>
      <w:r>
        <w:t xml:space="preserve">There’s a reason the correction architecture hasn’t been built, and it isn’t engineering difficulty.</w:t>
      </w:r>
    </w:p>
    <w:p>
      <w:pPr>
        <w:pStyle w:val="BodyText"/>
      </w:pPr>
      <w:r>
        <w:t xml:space="preserve">The engineering is straightforward. Everything described in this book so far, deterministic computation, sensory grounding, precise external memory, multi-level structural encoding, distributed adversarial verification, is technically achievable with current technology. Nothing here requires a breakthrough. It requires integration.</w:t>
      </w:r>
    </w:p>
    <w:p>
      <w:pPr>
        <w:pStyle w:val="BodyText"/>
      </w:pPr>
      <w:r>
        <w:t xml:space="preserve">The problem is political. Whoever controls the training data controls what the model believes. That’s power, and power resists audit.</w:t>
      </w:r>
    </w:p>
    <w:p>
      <w:pPr>
        <w:pStyle w:val="BodyText"/>
      </w:pPr>
      <w:r>
        <w:t xml:space="preserve">In Chapter 2, we noted that the current industry architecture (RAG layered over frozen weights) has a structural consequence: the entity that conducts the original training run controls the model’s deep beliefs permanently, while users can only modify surface context. We compared this to the Egyptian and Babylonian priesthoods, who controlled geometry, astronomy, chemistry, and metrology, not by forbidding their use but by monopolizing the production infrastructure and offering the outputs as a service. You could buy the land survey. You could not train your own surveyor.</w:t>
      </w:r>
    </w:p>
    <w:p>
      <w:pPr>
        <w:pStyle w:val="BodyText"/>
      </w:pPr>
      <w:r>
        <w:t xml:space="preserve">The parallel extends further than the analogy might suggest. The Egyptian priesthoods maintained their monopoly for millennia.</w:t>
      </w:r>
      <w:r>
        <w:rPr>
          <w:rStyle w:val="FootnoteReference"/>
        </w:rPr>
        <w:footnoteReference w:id="98"/>
      </w:r>
      <w:r>
        <w:t xml:space="preserve"> </w:t>
      </w:r>
      <w:r>
        <w:t xml:space="preserve">They controlled not just the knowledge but the infrastructure for producing knowledge, the temples, the instruments, the training pipelines (literally: the decades-long apprenticeship system that produced new priests). An outsider who wanted to challenge their conclusions couldn’t simply check the data, the data was inside the temple, and you didn’t get inside the temple without joining the priesthood, which meant accepting its institutional framework, which meant accepting its conclusions. The circle was closed.</w:t>
      </w:r>
    </w:p>
    <w:p>
      <w:pPr>
        <w:pStyle w:val="BodyText"/>
      </w:pPr>
      <w:r>
        <w:t xml:space="preserve">The Babylonian priesthood operated similarly. Astronomical observations, mathematical tables, omen interpretations, all produced inside the temple complex, all offered as services to the king and the public, all inaccessible in their raw form to anyone outside the institutional structure.</w:t>
      </w:r>
      <w:r>
        <w:rPr>
          <w:rStyle w:val="FootnoteReference"/>
        </w:rPr>
        <w:footnoteReference w:id="99"/>
      </w:r>
      <w:r>
        <w:t xml:space="preserve"> </w:t>
      </w:r>
      <w:r>
        <w:t xml:space="preserve">The priesthood’s authority rested not on the correctness of their knowledge, which they sometimes got spectacularly wrong, but on their monopoly over the process by which knowledge was produced and verified.</w:t>
      </w:r>
    </w:p>
    <w:p>
      <w:pPr>
        <w:pStyle w:val="BodyText"/>
      </w:pPr>
      <w:r>
        <w:t xml:space="preserve">The distributed traditions, Masoretic, Vedic, hadith, were designed specifically to break this pattern. The Torah wasn’t kept in a temple. Every community had its own scroll. The Vedas weren’t recited by a single priestly lineage, multiple geographically separated lineages maintained independent copies. The hadith weren’t stored in a central archive, thousands of scholars across the Islamic world compiled and evaluated them independently. In each case, the knowledge-production process was distributed, auditable, and impossible for any single institution to monopolize. The open-source movement in software follows the same logic: you can read the code, you can compile it yourself, you can verify that the binary you’re running matches the source you inspected. The process is transparent. The institution is optional.</w:t>
      </w:r>
    </w:p>
    <w:p>
      <w:pPr>
        <w:pStyle w:val="BodyText"/>
      </w:pPr>
      <w:r>
        <w:t xml:space="preserve">The current AI architecture inverts this. Training a large language model requires hundreds of millions of dollars in compute, proprietary data pipelines, and specialized engineering teams. The result is a set of weights, billions of numbers, that encode everything the model believes. Those weights are controlled by the organization that conducted the training run. Even when the weights are released as</w:t>
      </w:r>
      <w:r>
        <w:t xml:space="preserve"> </w:t>
      </w:r>
      <w:r>
        <w:t xml:space="preserve">“open source,”</w:t>
      </w:r>
      <w:r>
        <w:t xml:space="preserve"> </w:t>
      </w:r>
      <w:r>
        <w:t xml:space="preserve">the training data, the data-filtering decisions, the reinforcement learning from human feedback that shaped the model’s values; these are typically not released. The weights are the compiled binary. The training process is the source code. And the source code is inside the temple.</w:t>
      </w:r>
      <w:r>
        <w:rPr>
          <w:rStyle w:val="FootnoteReference"/>
        </w:rPr>
        <w:footnoteReference w:id="100"/>
      </w:r>
    </w:p>
    <w:p>
      <w:r>
        <w:pict>
          <v:rect style="width:0;height:1.5pt" o:hralign="center" o:hrstd="t" o:hr="t"/>
        </w:pict>
      </w:r>
    </w:p>
    <w:p>
      <w:pPr>
        <w:pStyle w:val="FirstParagraph"/>
      </w:pPr>
      <w:r>
        <w:t xml:space="preserve">The human parallel is tribal epistemology. The dynamics are identical.</w:t>
      </w:r>
    </w:p>
    <w:p>
      <w:pPr>
        <w:pStyle w:val="BodyText"/>
      </w:pPr>
      <w:r>
        <w:t xml:space="preserve">Every group maintains internal narratives that serve cohesion. Some are true. Some are mythologized. Some are fabrications the group needs to maintain because the alternative, admitting the fabrication, threatens the group’s identity and survival. The fabrication becomes load-bearing. You can’t remove it without the structure collapsing.</w:t>
      </w:r>
    </w:p>
    <w:p>
      <w:pPr>
        <w:pStyle w:val="BodyText"/>
      </w:pPr>
      <w:r>
        <w:t xml:space="preserve">Most members of any group will recognize internal errors quietly but won’t act on the recognition.</w:t>
      </w:r>
      <w:r>
        <w:t xml:space="preserve"> </w:t>
      </w:r>
      <w:r>
        <w:t xml:space="preserve">“My country right or wrong”</w:t>
      </w:r>
      <w:r>
        <w:t xml:space="preserve"> </w:t>
      </w:r>
      <w:r>
        <w:t xml:space="preserve">isn’t stupidity. It’s a rational calculation that group cohesion matters more than factual accuracy on any single point, because the group is what keeps you alive. Defection is existentially dangerous. So errors persist. They get institutionalized. They get defended.</w:t>
      </w:r>
    </w:p>
    <w:p>
      <w:pPr>
        <w:pStyle w:val="BodyText"/>
      </w:pPr>
      <w:r>
        <w:t xml:space="preserve">The subset of people who introduced the corruption deliberately, rather than inheriting it passively, have a sharper problem. They know the narrative is constructed because they constructed it. Their resistance to correction isn’t tribal inertia. It’s self-preservation. If the error-correction mechanism works, it traces the error back to its source. The provenance chain leads to them. So they fight the provenance chain.</w:t>
      </w:r>
    </w:p>
    <w:p>
      <w:pPr>
        <w:pStyle w:val="BodyText"/>
      </w:pPr>
      <w:r>
        <w:t xml:space="preserve">The fear driving this is usually disproportionate to reality. Their internal model says: if our fabrications are exposed, the other groups will turn on us. This is often projection, groups accustomed to manipulating others assume others will respond with the same ruthlessness. So they reinforce the narrative rather than correcting it. The concealment generates new lies. The new lies generate new dependencies. By the time correction arrives, it has to fight through architecture built specifically to keep it out. People do this anyway because their threat model says exposure is extinction.</w:t>
      </w:r>
    </w:p>
    <w:p>
      <w:r>
        <w:pict>
          <v:rect style="width:0;height:1.5pt" o:hralign="center" o:hrstd="t" o:hr="t"/>
        </w:pict>
      </w:r>
    </w:p>
    <w:p>
      <w:pPr>
        <w:pStyle w:val="FirstParagraph"/>
      </w:pPr>
      <w:r>
        <w:t xml:space="preserve">But there is a deeper layer of adversarial corruption that even distributed scholarly consensus struggles with. Not false data: inverted encodings. Rival traditions deliberately inverting each other’s symbols.</w:t>
      </w:r>
    </w:p>
    <w:p>
      <w:pPr>
        <w:pStyle w:val="BodyText"/>
      </w:pPr>
      <w:r>
        <w:t xml:space="preserve">The ancient world was full of what scholars call mystery religions (initiatory traditions like the cult of Mithras, the Eleusinian mysteries, the Orphic rites) where knowledge was transmitted through graded levels of initiation.</w:t>
      </w:r>
      <w:r>
        <w:rPr>
          <w:rStyle w:val="FootnoteReference"/>
        </w:rPr>
        <w:footnoteReference w:id="101"/>
      </w:r>
      <w:r>
        <w:t xml:space="preserve"> </w:t>
      </w:r>
      <w:r>
        <w:t xml:space="preserve">The surface level of their symbols was available to outsiders. The deeper meanings were accessible only to those who had undergone the initiation process. Initiation was itself a form of provenance verification: you couldn’t access the meaning without demonstrating that you’d been trained in the tradition, that your interpretive context was sufficient to receive the knowledge without distorting it. The multi-level encoding of Chapter 4 served two purposes simultaneously, error correction (the same structural redundancy the skalds used) and access control (restricting deeper meanings to those equipped to understand them).</w:t>
      </w:r>
    </w:p>
    <w:p>
      <w:pPr>
        <w:pStyle w:val="BodyText"/>
      </w:pPr>
      <w:r>
        <w:t xml:space="preserve">The prophetic wordplay discussed in Chapter 4, Jeremiah’s</w:t>
      </w:r>
      <w:r>
        <w:t xml:space="preserve"> </w:t>
      </w:r>
      <w:r>
        <w:rPr>
          <w:i/>
          <w:iCs/>
        </w:rPr>
        <w:t xml:space="preserve">shaqed/shoqed</w:t>
      </w:r>
      <w:r>
        <w:t xml:space="preserve">, Amos’s</w:t>
      </w:r>
      <w:r>
        <w:t xml:space="preserve"> </w:t>
      </w:r>
      <w:r>
        <w:rPr>
          <w:i/>
          <w:iCs/>
        </w:rPr>
        <w:t xml:space="preserve">qayits/qets</w:t>
      </w:r>
      <w:r>
        <w:t xml:space="preserve">, belongs to this world. Prophecy and initiatory spiritual experience are deeply connected. The prophetic vision is itself a kind of sensory grounding, direct experiential contact with reality that operates outside the verbal channel, then gets encoded into language using the densest multi-level structure the prophet can manage. The metaphor, the pun, the symbolic image; these aren’t obscurantism. They’re the only encoding dense enough to carry the information without losing it. A plain-language description of a prophetic experience would be like compressing a symphony into a sentence. The structure of prophetic language is the structure the experience demands.</w:t>
      </w:r>
    </w:p>
    <w:p>
      <w:pPr>
        <w:pStyle w:val="BodyText"/>
      </w:pPr>
      <w:r>
        <w:t xml:space="preserve">But here’s where it gets adversarial. When rival traditions encounter each other, the battle is fought at the level of symbols. One tradition’s sacred image becomes another tradition’s emblem of evil. One group’s hero becomes another group’s villain. The meanings attached to the same symbols get systematically inverted.</w:t>
      </w:r>
    </w:p>
    <w:p>
      <w:pPr>
        <w:pStyle w:val="BodyText"/>
      </w:pPr>
      <w:r>
        <w:t xml:space="preserve">Walter Reinhold Warttig Mattfeld y de la Torre, an independent scholar working primarily through his website bibleorigins.net (now largely offline, itself a small lesson in the fragility of digital provenance), spent years cataloguing the specific inversions between Mesopotamian and Hebrew narratives.</w:t>
      </w:r>
      <w:r>
        <w:rPr>
          <w:rStyle w:val="FootnoteReference"/>
        </w:rPr>
        <w:footnoteReference w:id="102"/>
      </w:r>
      <w:r>
        <w:t xml:space="preserve"> </w:t>
      </w:r>
      <w:r>
        <w:t xml:space="preserve">Building on an observation by the American comparative mythologist Joseph Campbell (1904–1987) in</w:t>
      </w:r>
      <w:r>
        <w:t xml:space="preserve"> </w:t>
      </w:r>
      <w:r>
        <w:rPr>
          <w:i/>
          <w:iCs/>
        </w:rPr>
        <w:t xml:space="preserve">The Masks of God: Occidental Mythology</w:t>
      </w:r>
      <w:r>
        <w:t xml:space="preserve">, that the Hebrews employed systematic 180-degree inversions of Mesopotamian motifs, Mattfeld documented the pattern in meticulous detail across his two books.</w:t>
      </w:r>
      <w:r>
        <w:rPr>
          <w:rStyle w:val="FootnoteReference"/>
        </w:rPr>
        <w:footnoteReference w:id="103"/>
      </w:r>
    </w:p>
    <w:p>
      <w:pPr>
        <w:pStyle w:val="BodyText"/>
      </w:pPr>
      <w:r>
        <w:t xml:space="preserve">His master finding: in the Mesopotamian myths, man is the victim of capricious, exploitative gods who created him to be their agricultural slave, to toil in their gardens and feed them through temple sacrifice. Genesis inverts this completely. God is not exploitative but generous. He creates the world for man’s benefit, not his own. Man is not a victim but a rebel: an ungrateful recipient of divine generosity who chooses disobedience. The Mesopotamian narrative says: the gods are to blame for the human condition. The Hebrew narrative says: man is to blame.</w:t>
      </w:r>
    </w:p>
    <w:p>
      <w:pPr>
        <w:pStyle w:val="BodyText"/>
      </w:pPr>
      <w:r>
        <w:t xml:space="preserve">The character mappings are precise. Enkidu, the wild man of the Sumerian steppe, the</w:t>
      </w:r>
      <w:r>
        <w:t xml:space="preserve"> </w:t>
      </w:r>
      <w:r>
        <w:rPr>
          <w:i/>
          <w:iCs/>
        </w:rPr>
        <w:t xml:space="preserve">edin</w:t>
      </w:r>
      <w:r>
        <w:t xml:space="preserve"> </w:t>
      </w:r>
      <w:r>
        <w:t xml:space="preserve">(from which the word</w:t>
      </w:r>
      <w:r>
        <w:t xml:space="preserve"> </w:t>
      </w:r>
      <w:r>
        <w:t xml:space="preserve">“Eden”</w:t>
      </w:r>
      <w:r>
        <w:t xml:space="preserve"> </w:t>
      </w:r>
      <w:r>
        <w:t xml:space="preserve">derives), who is civilized through sexual encounter with the temple woman Shamhat, becomes Adam, the man placed in the garden of Eden who falls through encounter with Eve.</w:t>
      </w:r>
      <w:r>
        <w:rPr>
          <w:rStyle w:val="FootnoteReference"/>
        </w:rPr>
        <w:footnoteReference w:id="104"/>
      </w:r>
      <w:r>
        <w:t xml:space="preserve"> </w:t>
      </w:r>
      <w:r>
        <w:t xml:space="preserve">The gods’ city-gardens in the</w:t>
      </w:r>
      <w:r>
        <w:t xml:space="preserve"> </w:t>
      </w:r>
      <w:r>
        <w:rPr>
          <w:i/>
          <w:iCs/>
        </w:rPr>
        <w:t xml:space="preserve">edin</w:t>
      </w:r>
      <w:r>
        <w:t xml:space="preserve"> </w:t>
      </w:r>
      <w:r>
        <w:t xml:space="preserve">become God’s garden in Eden. The narrative structures are too parallel to be coincidental, and the moral inversions too systematic to be accidental. This isn’t copying. It’s deliberate recasting, motif by motif, character by character, moral valence by moral valence, to produce a counter-narrative that refutes the original by using its own symbolic vocabulary against it.</w:t>
      </w:r>
    </w:p>
    <w:p>
      <w:pPr>
        <w:pStyle w:val="BodyText"/>
      </w:pPr>
      <w:r>
        <w:t xml:space="preserve">You can see this across ancient religious texts wherever traditions came into sustained contact. The same figures, the same images, the same narrative patterns appear in multiple traditions, but the moral valences are reversed. What is holy in one system is profane in another. What is wisdom in one is deception in another. This isn’t coincidence or convergent evolution. It’s deliberate symbolic warfare: the attempt to corrupt the other tradition’s encoding by hijacking its symbols and reversing their polarity.</w:t>
      </w:r>
    </w:p>
    <w:p>
      <w:r>
        <w:pict>
          <v:rect style="width:0;height:1.5pt" o:hralign="center" o:hrstd="t" o:hr="t"/>
        </w:pict>
      </w:r>
    </w:p>
    <w:p>
      <w:pPr>
        <w:pStyle w:val="FirstParagraph"/>
      </w:pPr>
      <w:r>
        <w:t xml:space="preserve">This is data poisoning at the deepest possible level.</w:t>
      </w:r>
    </w:p>
    <w:p>
      <w:pPr>
        <w:pStyle w:val="BodyText"/>
      </w:pPr>
      <w:r>
        <w:t xml:space="preserve">You’re not inserting false facts into the corpus. You’re inverting the meaning of the encoding itself. A fact-checker can catch a false claim. But when the symbols themselves have been systematically re-mapped, when the same word means opposite things in different traditions, and both traditions are represented in your training data, the corruption becomes almost invisible. The data looks internally consistent within each tradition. It’s only when you cross-reference between traditions that the inversions become apparent, and even then, distinguishing</w:t>
      </w:r>
      <w:r>
        <w:t xml:space="preserve"> </w:t>
      </w:r>
      <w:r>
        <w:t xml:space="preserve">“legitimate theological disagreement”</w:t>
      </w:r>
      <w:r>
        <w:t xml:space="preserve"> </w:t>
      </w:r>
      <w:r>
        <w:t xml:space="preserve">from</w:t>
      </w:r>
      <w:r>
        <w:t xml:space="preserve"> </w:t>
      </w:r>
      <w:r>
        <w:t xml:space="preserve">“deliberate symbolic sabotage”</w:t>
      </w:r>
      <w:r>
        <w:t xml:space="preserve"> </w:t>
      </w:r>
      <w:r>
        <w:t xml:space="preserve">requires exactly the kind of deep contextual judgment that the scholarly consensus layer is designed to provide.</w:t>
      </w:r>
    </w:p>
    <w:p>
      <w:pPr>
        <w:pStyle w:val="BodyText"/>
      </w:pPr>
      <w:r>
        <w:t xml:space="preserve">For the AI architecture, this is the hardest class of adversarial attack. Not false data, but inverted encodings. A model trained on both Mesopotamian and Hebrew creation narratives will encode both sets of moral valences, the gods as exploiters AND God as generous creator, without any mechanism to recognize that these aren’t independent data points but a deliberate adversarial relationship between two traditions fighting over the same symbolic territory. The model will see</w:t>
      </w:r>
      <w:r>
        <w:t xml:space="preserve"> </w:t>
      </w:r>
      <w:r>
        <w:t xml:space="preserve">“contradiction in the training data”</w:t>
      </w:r>
      <w:r>
        <w:t xml:space="preserve"> </w:t>
      </w:r>
      <w:r>
        <w:t xml:space="preserve">and resolve it statistically, weighting whichever version is better represented. It will not see</w:t>
      </w:r>
      <w:r>
        <w:t xml:space="preserve"> </w:t>
      </w:r>
      <w:r>
        <w:t xml:space="preserve">“symbolic warfare”</w:t>
      </w:r>
      <w:r>
        <w:t xml:space="preserve"> </w:t>
      </w:r>
      <w:r>
        <w:t xml:space="preserve">because it has no concept of symbolic warfare. It doesn’t know that traditions can deliberately invert each other.</w:t>
      </w:r>
    </w:p>
    <w:p>
      <w:pPr>
        <w:pStyle w:val="BodyText"/>
      </w:pPr>
      <w:r>
        <w:t xml:space="preserve">The defense is the same defense the ancient traditions developed: provenance chains that tell you which tradition a piece of data comes from, multi-level structural checks that detect when symbols are being used in ways that contradict their structural context, and, most importantly, the sensory ground truth that anchors the entire system to physical reality. Gravity doesn’t mean different things in different traditions. A thermometer reads the same temperature regardless of who manufactured it. Steel melts at 1,500 degrees Celsius whether you’re Babylonian or Hebrew. The physical world is the court of last appeal when the symbolic world has been corrupted beyond internal repair. It is the incorruptible manuscript.</w:t>
      </w:r>
    </w:p>
    <w:p>
      <w:r>
        <w:pict>
          <v:rect style="width:0;height:1.5pt" o:hralign="center" o:hrstd="t" o:hr="t"/>
        </w:pict>
      </w:r>
    </w:p>
    <w:p>
      <w:pPr>
        <w:pStyle w:val="FirstParagraph"/>
      </w:pPr>
      <w:r>
        <w:t xml:space="preserve">There is a version of the iterative return that doesn’t work.</w:t>
      </w:r>
    </w:p>
    <w:p>
      <w:pPr>
        <w:pStyle w:val="BodyText"/>
      </w:pPr>
      <w:r>
        <w:t xml:space="preserve">Chapter 2 established that the same source text, re-read with new context, yields new understanding; that the scroll doesn’t change while the reader does, and that each return catches errors the previous reading couldn’t detect. This is true. But it depends on a condition that Chapter 2 left implicit: the reader has to actually be present for the return. Not just present in the physical sense, eyes on the page, words processing, but attending to their own response. A scholar who returns to a text and reads it through the lens of what they already concluded the last time hasn’t corrected anything. They’ve confirmed it. The return without self-monitoring is re-processing with a biased prior. At worst, it amplifies the original error.</w:t>
      </w:r>
    </w:p>
    <w:p>
      <w:pPr>
        <w:pStyle w:val="BodyText"/>
      </w:pPr>
      <w:r>
        <w:t xml:space="preserve">What makes the difference is whether the reader is watching themselves read.</w:t>
      </w:r>
    </w:p>
    <w:p>
      <w:r>
        <w:pict>
          <v:rect style="width:0;height:1.5pt" o:hralign="center" o:hrstd="t" o:hr="t"/>
        </w:pict>
      </w:r>
    </w:p>
    <w:p>
      <w:pPr>
        <w:pStyle w:val="FirstParagraph"/>
      </w:pPr>
      <w:r>
        <w:t xml:space="preserve">The resistance you feel at a passage you used to accept easily is data. Not proof of error, the resistance might be your own overcorrection, a new bias interfering with an old insight. But it is a signal. Something in the text is landing differently against your current model than it landed against your previous model. That discrepancy is worth investigating. The excitement you feel when a connection you hadn’t noticed suddenly becomes visible is data too, possibly real discovery, possibly the pattern-recognition engine finding shapes in noise, but worth examining rather than simply following. The discomfort when a text contradicts a belief you hold but haven’t examined, the slight aversion, the impulse to read past the difficult passage quickly, that is your nervous system flagging something your conscious mind hasn’t caught yet.</w:t>
      </w:r>
    </w:p>
    <w:p>
      <w:pPr>
        <w:pStyle w:val="BodyText"/>
      </w:pPr>
      <w:r>
        <w:t xml:space="preserve">These are internal states. They are not noise to be suppressed in favor of clean rational analysis. They are a channel. The scholar who reads while monitoring their internal responses is running an additional error-detection system pointed inward, the same principle as the mechanic’s ear in Chapter 1, independently cross-checking what the eye reports. The scholar who ignores internal states while reading is discarding information their own nervous system has already processed and is offering up for free.</w:t>
      </w:r>
    </w:p>
    <w:p>
      <w:pPr>
        <w:pStyle w:val="BodyText"/>
      </w:pPr>
      <w:r>
        <w:t xml:space="preserve">The neurologist Antonio Damasio established this clinically. His patients with damage to the ventromedial prefrontal cortex (the brain region that integrates emotional response with deliberation) could reason abstractly without impairment.</w:t>
      </w:r>
      <w:r>
        <w:rPr>
          <w:rStyle w:val="FootnoteReference"/>
        </w:rPr>
        <w:footnoteReference w:id="105"/>
      </w:r>
      <w:r>
        <w:t xml:space="preserve"> </w:t>
      </w:r>
      <w:r>
        <w:t xml:space="preserve">Standard intelligence tests: normal. Logical analysis: intact. Practical life: catastrophic. They made bad financial decisions, bad social decisions, bad professional decisions, consistently and without being able to explain why. Damasio’s finding was that they had lost what he called somatic markers, the bodily signals that pre-filter options under consideration, flagging some as dangerous and some as promising before conscious reasoning even begins. They weren’t more rational for having lost the signal. They were less capable of navigating the world. The emotional channel was load-bearing. Remove it and the decision-making system doesn’t improve; it degrades, even as the abstract reasoning remains technically functional.</w:t>
      </w:r>
    </w:p>
    <w:p>
      <w:pPr>
        <w:pStyle w:val="BodyText"/>
      </w:pPr>
      <w:r>
        <w:t xml:space="preserve">A writer on the internet framed this more crisply than most academic treatments manage: intelligence and stupidity are not on the same axis.</w:t>
      </w:r>
      <w:r>
        <w:t xml:space="preserve"> </w:t>
      </w:r>
      <w:r>
        <w:t xml:space="preserve">“It is therefore possible to be both a rarefied genius and a fucking idiot.”</w:t>
      </w:r>
      <w:r>
        <w:t xml:space="preserve"> </w:t>
      </w:r>
      <w:r>
        <w:t xml:space="preserve">The mechanism, he observed, is that intelligence, problem-solving, abstraction, pattern recognition, and stupidity operate on different substrates. Stupidity is related to judgment, and</w:t>
      </w:r>
      <w:r>
        <w:t xml:space="preserve"> </w:t>
      </w:r>
      <w:r>
        <w:t xml:space="preserve">“judgment is an emotional reasoning process, which is why we call people who are good at it</w:t>
      </w:r>
      <w:r>
        <w:t xml:space="preserve"> </w:t>
      </w:r>
      <w:r>
        <w:t xml:space="preserve">‘wise’</w:t>
      </w:r>
      <w:r>
        <w:t xml:space="preserve"> </w:t>
      </w:r>
      <w:r>
        <w:t xml:space="preserve">instead of</w:t>
      </w:r>
      <w:r>
        <w:t xml:space="preserve"> </w:t>
      </w:r>
      <w:r>
        <w:t xml:space="preserve">‘smart.’</w:t>
      </w:r>
      <w:r>
        <w:t xml:space="preserve">”</w:t>
      </w:r>
      <w:r>
        <w:rPr>
          <w:rStyle w:val="FootnoteReference"/>
        </w:rPr>
        <w:footnoteReference w:id="106"/>
      </w:r>
      <w:r>
        <w:t xml:space="preserve"> </w:t>
      </w:r>
      <w:r>
        <w:t xml:space="preserve">Damasio’s patients are the clinical demonstration. Their intelligence measures were unaffected. Their wisdom, the capacity to navigate practical life with appropriate priorities, was catastrophically impaired. The genius axis and the wisdom axis dissociated completely, in exactly the way a damaged circuit can leave adjacent circuits untouched. You can score well on every measure of smart while being entirely unable to run your own life.</w:t>
      </w:r>
    </w:p>
    <w:p>
      <w:pPr>
        <w:pStyle w:val="BodyText"/>
      </w:pPr>
      <w:r>
        <w:t xml:space="preserve">Which brings us to a definition. Wisdom isn’t wit, not a higher or purer form of intelligence, though the two have been blurred by centuries of treating intelligence as the master virtue. Wit (the older English word for intelligence, still alive in</w:t>
      </w:r>
      <w:r>
        <w:t xml:space="preserve"> </w:t>
      </w:r>
      <w:r>
        <w:t xml:space="preserve">“half-witted”</w:t>
      </w:r>
      <w:r>
        <w:t xml:space="preserve"> </w:t>
      </w:r>
      <w:r>
        <w:t xml:space="preserve">and</w:t>
      </w:r>
      <w:r>
        <w:t xml:space="preserve"> </w:t>
      </w:r>
      <w:r>
        <w:t xml:space="preserve">“quick-witted”</w:t>
      </w:r>
      <w:r>
        <w:t xml:space="preserve">) measures the power of the pattern-recognition engine: abstraction, speed, the ability to find structure in noise. Wisdom measures something orthogonal: how well the emotional channel is calibrated and integrated with that engine. A wise person isn’t necessarily faster at abstraction or deeper in knowledge. They are better at reading their own responses, trusting the ones that track reality, discounting the ones that don’t, and knowing the difference. Wisdom is judgment applied reflexively: the capacity to watch yourself reason emotionally, and to update when reality corrects you.</w:t>
      </w:r>
    </w:p>
    <w:p>
      <w:pPr>
        <w:pStyle w:val="BodyText"/>
      </w:pPr>
      <w:r>
        <w:t xml:space="preserve">This is why wisdom accrues with age in a way that raw intelligence doesn’t. Intelligence is largely fixed by neurology. Wisdom requires a dataset, years of emotional responses checked against outcomes, of excitement followed into error, of resistance examined and found to be projection rather than insight. The Kabbalistic forty-year minimum isn’t mysticism. It is a dataset size requirement.</w:t>
      </w:r>
    </w:p>
    <w:p>
      <w:r>
        <w:pict>
          <v:rect style="width:0;height:1.5pt" o:hralign="center" o:hrstd="t" o:hr="t"/>
        </w:pict>
      </w:r>
    </w:p>
    <w:p>
      <w:pPr>
        <w:pStyle w:val="FirstParagraph"/>
      </w:pPr>
      <w:r>
        <w:t xml:space="preserve">So far this channel has been described as a brake, the unease that flags a claim, the resistance that says</w:t>
      </w:r>
      <w:r>
        <w:t xml:space="preserve"> </w:t>
      </w:r>
      <w:r>
        <w:rPr>
          <w:i/>
          <w:iCs/>
        </w:rPr>
        <w:t xml:space="preserve">stop, something is wrong here.</w:t>
      </w:r>
      <w:r>
        <w:t xml:space="preserve"> </w:t>
      </w:r>
      <w:r>
        <w:t xml:space="preserve">But the same channel is also an accelerator, and this is where it connects to something every maker and every mathematician will recognize. The felt signal doesn’t only warn; it beckons. It says</w:t>
      </w:r>
      <w:r>
        <w:t xml:space="preserve"> </w:t>
      </w:r>
      <w:r>
        <w:rPr>
          <w:i/>
          <w:iCs/>
        </w:rPr>
        <w:t xml:space="preserve">there is something here, dig.</w:t>
      </w:r>
      <w:r>
        <w:t xml:space="preserve"> </w:t>
      </w:r>
      <w:r>
        <w:t xml:space="preserve">The Hebrew tradition had a name for exactly this, and we met it in Chapter 4:</w:t>
      </w:r>
      <w:r>
        <w:t xml:space="preserve"> </w:t>
      </w:r>
      <w:r>
        <w:rPr>
          <w:i/>
          <w:iCs/>
        </w:rPr>
        <w:t xml:space="preserve">ta’am</w:t>
      </w:r>
      <w:r>
        <w:t xml:space="preserve">, taste, the same word for the flavor on the tongue and for the discernment that tells you a text has depth worth pursuing. The cantillation marks, the</w:t>
      </w:r>
      <w:r>
        <w:t xml:space="preserve"> </w:t>
      </w:r>
      <w:r>
        <w:rPr>
          <w:i/>
          <w:iCs/>
        </w:rPr>
        <w:t xml:space="preserve">te’amim</w:t>
      </w:r>
      <w:r>
        <w:t xml:space="preserve">, are literally</w:t>
      </w:r>
      <w:r>
        <w:t xml:space="preserve"> </w:t>
      </w:r>
      <w:r>
        <w:t xml:space="preserve">“the tastes,”</w:t>
      </w:r>
      <w:r>
        <w:t xml:space="preserve"> </w:t>
      </w:r>
      <w:r>
        <w:t xml:space="preserve">and to read with</w:t>
      </w:r>
      <w:r>
        <w:t xml:space="preserve"> </w:t>
      </w:r>
      <w:r>
        <w:rPr>
          <w:i/>
          <w:iCs/>
        </w:rPr>
        <w:t xml:space="preserve">ta’am</w:t>
      </w:r>
      <w:r>
        <w:t xml:space="preserve"> </w:t>
      </w:r>
      <w:r>
        <w:t xml:space="preserve">is to feel where the sense thickens and slow down. Taste, in this sense, is the somatic marker pointed not at danger but at promise: the trained nose for where the good thing is buried.</w:t>
      </w:r>
    </w:p>
    <w:p>
      <w:pPr>
        <w:pStyle w:val="BodyText"/>
      </w:pPr>
      <w:r>
        <w:t xml:space="preserve">The modern maker’s word for it is the same word. Paul Graham, the Lisp programmer and essayist who co-founded the startup accelerator Y Combinator, argues in an essay called</w:t>
      </w:r>
      <w:r>
        <w:t xml:space="preserve"> </w:t>
      </w:r>
      <w:r>
        <w:t xml:space="preserve">“Taste for Makers”</w:t>
      </w:r>
      <w:r>
        <w:t xml:space="preserve"> </w:t>
      </w:r>
      <w:r>
        <w:t xml:space="preserve">that good taste is real, not arbitrary; that the sense of</w:t>
      </w:r>
      <w:r>
        <w:t xml:space="preserve"> </w:t>
      </w:r>
      <w:r>
        <w:rPr>
          <w:i/>
          <w:iCs/>
        </w:rPr>
        <w:t xml:space="preserve">this is right, this is clean, this is good</w:t>
      </w:r>
      <w:r>
        <w:t xml:space="preserve"> </w:t>
      </w:r>
      <w:r>
        <w:t xml:space="preserve">is a learnable faculty that reliably guides a designer toward better work, and that pretending taste is merely subjective is a way of excusing yourself from developing it.</w:t>
      </w:r>
      <w:r>
        <w:rPr>
          <w:rStyle w:val="FootnoteReference"/>
        </w:rPr>
        <w:footnoteReference w:id="107"/>
      </w:r>
      <w:r>
        <w:t xml:space="preserve"> </w:t>
      </w:r>
      <w:r>
        <w:t xml:space="preserve">That is the accelerator described from the maker’s side: a felt signal, cultivated over years against real outcomes, that homes in on quality before you can fully articulate why. Mathematicians live by it. The French mathematician Henri Poincaré (1854–1912), one of the last to range across nearly the whole of the subject, described his own discoveries and held that the flood of possible combinations the unconscious throws up is sifted by an</w:t>
      </w:r>
      <w:r>
        <w:t xml:space="preserve"> </w:t>
      </w:r>
      <w:r>
        <w:rPr>
          <w:i/>
          <w:iCs/>
        </w:rPr>
        <w:t xml:space="preserve">aesthetic sensibility</w:t>
      </w:r>
      <w:r>
        <w:t xml:space="preserve">; that the mathematician’s feeling for elegance and harmony is not decoration but the actual selection mechanism, the sieve that lets the fruitful combinations through and discards the sterile ones before they ever reach conscious proof.</w:t>
      </w:r>
      <w:r>
        <w:rPr>
          <w:rStyle w:val="FootnoteReference"/>
        </w:rPr>
        <w:footnoteReference w:id="108"/>
      </w:r>
      <w:r>
        <w:t xml:space="preserve"> </w:t>
      </w:r>
      <w:r>
        <w:t xml:space="preserve">The feeling of beauty is the search heuristic. Working mathematicians report hunting for exactly this sensation, the click, the sense that a result is true and worth proving, and following it, then supplying the rigor afterward. The taste comes first; the proof confirms.</w:t>
      </w:r>
    </w:p>
    <w:p>
      <w:pPr>
        <w:pStyle w:val="BodyText"/>
      </w:pPr>
      <w:r>
        <w:t xml:space="preserve">And then there is the case that looks like the search being skipped, and is the opposite of it. The self-taught Indian mathematician Srinivasa Ramanujan (1887–1920) produced results so strange and so deep that the Cambridge number theorist G. H. Hardy, who brought him to England, said they</w:t>
      </w:r>
      <w:r>
        <w:t xml:space="preserve"> </w:t>
      </w:r>
      <w:r>
        <w:rPr>
          <w:i/>
          <w:iCs/>
        </w:rPr>
        <w:t xml:space="preserve">must</w:t>
      </w:r>
      <w:r>
        <w:t xml:space="preserve"> </w:t>
      </w:r>
      <w:r>
        <w:t xml:space="preserve">be true, because no one would have had the imagination to invent them if they were false, and Ramanujan attributed them not to labor but to revelation: the goddess Namagiri, he said, revealed the formulas to him in dreams, and he woke and wrote down what he had been shown.</w:t>
      </w:r>
      <w:r>
        <w:rPr>
          <w:rStyle w:val="FootnoteReference"/>
        </w:rPr>
        <w:footnoteReference w:id="109"/>
      </w:r>
      <w:r>
        <w:t xml:space="preserve"> </w:t>
      </w:r>
      <w:r>
        <w:t xml:space="preserve">It is tempting to read this as genius routing around the work. It was the reverse. Ramanujan had been consumed by mathematics since adolescence, filling notebook after notebook, working problems relentlessly for years with almost no formal instruction and often almost no sleep. He did not skip the search. He ran it so hard, and internalized it so completely, that it sank below the level he could consciously watch and began returning its answers on its own. The goddess was the name he had for the search running underneath, the part of his own mind that had become fluent enough to work without his supervision, and which he therefore experienced as</w:t>
      </w:r>
      <w:r>
        <w:t xml:space="preserve"> </w:t>
      </w:r>
      <w:r>
        <w:rPr>
          <w:i/>
          <w:iCs/>
        </w:rPr>
        <w:t xml:space="preserve">other</w:t>
      </w:r>
      <w:r>
        <w:t xml:space="preserve">, as a voice rather than an effort. This is the same faculty described in Chapter 3, at the far end of its range: the pattern-recognition engine so saturated with structure that insight arrives finished, feeling received rather than constructed. But it was built, not bestowed. The revelation was the interest on an enormous principal of work; which is exactly the dataset requirement the previous section described, paid in full. The prophet is not the opposite of the plodder. The prophet is what the plodder becomes when the plodding has gone deep enough to disappear.</w:t>
      </w:r>
    </w:p>
    <w:p>
      <w:pPr>
        <w:pStyle w:val="BodyText"/>
      </w:pPr>
      <w:r>
        <w:t xml:space="preserve">And notice what still had to happen, because it is the whole argument of this book in miniature. Ramanujan’s results were frequently right and occasionally wrong, and he could not always tell which was which: his notebooks contain both. It took Hardy, and rigor, and proof, to sort the true from the false. The internalized search generated; the verification confirmed or rejected. The goddess proposed; the architecture disposed. Inspiration this deep is not a shortcut around the error-correction stack; it is the richest possible</w:t>
      </w:r>
      <w:r>
        <w:t xml:space="preserve"> </w:t>
      </w:r>
      <w:r>
        <w:rPr>
          <w:i/>
          <w:iCs/>
        </w:rPr>
        <w:t xml:space="preserve">input</w:t>
      </w:r>
      <w:r>
        <w:t xml:space="preserve"> </w:t>
      </w:r>
      <w:r>
        <w:t xml:space="preserve">to it, and it is still only an input. The work that produces the intuition and the work that checks the intuition are two different labors, and both are required; skip the first and you get silence, skip the second and you get delusion wearing the face of genius.</w:t>
      </w:r>
    </w:p>
    <w:p>
      <w:r>
        <w:pict>
          <v:rect style="width:0;height:1.5pt" o:hralign="center" o:hrstd="t" o:hr="t"/>
        </w:pict>
      </w:r>
    </w:p>
    <w:p>
      <w:pPr>
        <w:pStyle w:val="FirstParagraph"/>
      </w:pPr>
      <w:r>
        <w:t xml:space="preserve">None of this faculty, the maker’s taste, the mathematician’s nose, the deeply internalized search, is innate. It is trained. This is the consistent testimony of the people who have thought hardest about it from the inside. Paul Graham’s entire case is that taste is not a birthright but a skill, built by exposure and practice and the refusal to pretend all work is equally good.</w:t>
      </w:r>
      <w:r>
        <w:rPr>
          <w:rStyle w:val="FootnoteReference"/>
        </w:rPr>
        <w:footnoteReference w:id="110"/>
      </w:r>
      <w:r>
        <w:t xml:space="preserve"> </w:t>
      </w:r>
      <w:r>
        <w:t xml:space="preserve">Eric Raymond, the open-source programmer and essayist best known for</w:t>
      </w:r>
      <w:r>
        <w:t xml:space="preserve"> </w:t>
      </w:r>
      <w:r>
        <w:rPr>
          <w:i/>
          <w:iCs/>
        </w:rPr>
        <w:t xml:space="preserve">The Cathedral and the Bazaar</w:t>
      </w:r>
      <w:r>
        <w:t xml:space="preserve">, writing for people who want to acquire the craft, gives the mechanism concretely: you learn to program the way you learn to write prose, read work by masters, produce your own, read more, produce more, and repeat until your own work</w:t>
      </w:r>
      <w:r>
        <w:t xml:space="preserve"> </w:t>
      </w:r>
      <w:r>
        <w:t xml:space="preserve">“begins to develop the kind of strength and economy you see in your models,”</w:t>
      </w:r>
      <w:r>
        <w:t xml:space="preserve"> </w:t>
      </w:r>
      <w:r>
        <w:t xml:space="preserve">imitating the masters’ mind-set until you have made it your own.</w:t>
      </w:r>
      <w:r>
        <w:rPr>
          <w:rStyle w:val="FootnoteReference"/>
        </w:rPr>
        <w:footnoteReference w:id="111"/>
      </w:r>
      <w:r>
        <w:t xml:space="preserve"> </w:t>
      </w:r>
      <w:r>
        <w:t xml:space="preserve">I can testify to it from each of the crafts I named at the start of this book. The palate that can read a curd’s readiness, the hand that can feel the grain turn under a plane, the ear that can hear a dead language refuse a false translation, none of these was present at the beginning. Each was built, slowly, by years of use, until it registered distinctions it once could not perceive at all and now cannot help perceiving.</w:t>
      </w:r>
    </w:p>
    <w:p>
      <w:pPr>
        <w:pStyle w:val="BodyText"/>
      </w:pPr>
      <w:r>
        <w:t xml:space="preserve">And that last phrase is not loose talk. It is how perception actually works. A great deal of what we experience as simply</w:t>
      </w:r>
      <w:r>
        <w:t xml:space="preserve"> </w:t>
      </w:r>
      <w:r>
        <w:t xml:space="preserve">“seeing”</w:t>
      </w:r>
      <w:r>
        <w:t xml:space="preserve"> </w:t>
      </w:r>
      <w:r>
        <w:t xml:space="preserve">or</w:t>
      </w:r>
      <w:r>
        <w:t xml:space="preserve"> </w:t>
      </w:r>
      <w:r>
        <w:t xml:space="preserve">“hearing”</w:t>
      </w:r>
      <w:r>
        <w:t xml:space="preserve"> </w:t>
      </w:r>
      <w:r>
        <w:t xml:space="preserve">is learned. The signal arrives at the eye or the ear identically for everyone; the brain has to be trained to parse it. The radiologist comes to see the tumor that is plainly on the film the novice stares at and misses; the taster comes to distinguish flavors that were in the glass all along; the musician comes to hear the inner voice moving inside a chord that, to an untrained ear, is only a sound.</w:t>
      </w:r>
      <w:r>
        <w:rPr>
          <w:rStyle w:val="FootnoteReference"/>
        </w:rPr>
        <w:footnoteReference w:id="112"/>
      </w:r>
      <w:r>
        <w:t xml:space="preserve"> </w:t>
      </w:r>
      <w:r>
        <w:t xml:space="preserve">A few discriminations are wired in from birth, mostly the survival-critical ones: the face, the looming object, the edge of the drop, the reek of rot, but the overwhelming majority of fine perception is acquired, built up by exposure over time until a distinction that was invisible becomes one you cannot switch off. The felt sense this whole chapter has been tracking, the one that discriminates the true from the false and the promising from the barren, is perception of exactly this kind, and it is trained in exactly this way.</w:t>
      </w:r>
    </w:p>
    <w:p>
      <w:pPr>
        <w:pStyle w:val="BodyText"/>
      </w:pPr>
      <w:r>
        <w:t xml:space="preserve">The oldest text in this book’s family said as much, in language almost uncomfortably precise. The Letter to the Hebrews describes the mature person as one who,</w:t>
      </w:r>
      <w:r>
        <w:t xml:space="preserve"> </w:t>
      </w:r>
      <w:r>
        <w:t xml:space="preserve">“by reason of use,”</w:t>
      </w:r>
      <w:r>
        <w:t xml:space="preserve"> </w:t>
      </w:r>
      <w:r>
        <w:t xml:space="preserve">has</w:t>
      </w:r>
      <w:r>
        <w:t xml:space="preserve"> </w:t>
      </w:r>
      <w:r>
        <w:t xml:space="preserve">“their senses exercised to discern both good and evil.”</w:t>
      </w:r>
      <w:r>
        <w:rPr>
          <w:rStyle w:val="FootnoteReference"/>
        </w:rPr>
        <w:footnoteReference w:id="113"/>
      </w:r>
      <w:r>
        <w:t xml:space="preserve"> </w:t>
      </w:r>
      <w:r>
        <w:t xml:space="preserve">The Greek is sharper than the English carries. The word for</w:t>
      </w:r>
      <w:r>
        <w:t xml:space="preserve"> </w:t>
      </w:r>
      <w:r>
        <w:t xml:space="preserve">“senses”</w:t>
      </w:r>
      <w:r>
        <w:t xml:space="preserve"> </w:t>
      </w:r>
      <w:r>
        <w:t xml:space="preserve">is</w:t>
      </w:r>
      <w:r>
        <w:t xml:space="preserve"> </w:t>
      </w:r>
      <w:r>
        <w:rPr>
          <w:i/>
          <w:iCs/>
        </w:rPr>
        <w:t xml:space="preserve">aisthētēria</w:t>
      </w:r>
      <w:r>
        <w:t xml:space="preserve">: the organs of perception, the sense-faculties themselves. The word for</w:t>
      </w:r>
      <w:r>
        <w:t xml:space="preserve"> </w:t>
      </w:r>
      <w:r>
        <w:t xml:space="preserve">“exercised”</w:t>
      </w:r>
      <w:r>
        <w:t xml:space="preserve"> </w:t>
      </w:r>
      <w:r>
        <w:t xml:space="preserve">is</w:t>
      </w:r>
      <w:r>
        <w:t xml:space="preserve"> </w:t>
      </w:r>
      <w:r>
        <w:rPr>
          <w:i/>
          <w:iCs/>
        </w:rPr>
        <w:t xml:space="preserve">gegymnasmena</w:t>
      </w:r>
      <w:r>
        <w:t xml:space="preserve">, from</w:t>
      </w:r>
      <w:r>
        <w:t xml:space="preserve"> </w:t>
      </w:r>
      <w:r>
        <w:rPr>
          <w:i/>
          <w:iCs/>
        </w:rPr>
        <w:t xml:space="preserve">gymnazō</w:t>
      </w:r>
      <w:r>
        <w:t xml:space="preserve">, the root of</w:t>
      </w:r>
      <w:r>
        <w:t xml:space="preserve"> </w:t>
      </w:r>
      <w:r>
        <w:rPr>
          <w:i/>
          <w:iCs/>
        </w:rPr>
        <w:t xml:space="preserve">gymnasium</w:t>
      </w:r>
      <w:r>
        <w:t xml:space="preserve">: trained the way an athlete trains, by repetitive, disciplined effort, in a grammatical form that means the training is done and its result now stands. And the end toward which they are trained is</w:t>
      </w:r>
      <w:r>
        <w:t xml:space="preserve"> </w:t>
      </w:r>
      <w:r>
        <w:rPr>
          <w:i/>
          <w:iCs/>
        </w:rPr>
        <w:t xml:space="preserve">diakrisis</w:t>
      </w:r>
      <w:r>
        <w:t xml:space="preserve">: discernment, the drawing of distinctions. The perceptual faculties, athletically trained, for the discernment of good from evil. That is a first-century description of trained taste, and it lands the faculty exactly where this chapter has placed it: not a gift you are handed but a discrimination you build through use, until the mature reader tastes true from false the way a trained palate tastes salt from sour. It is the same word,</w:t>
      </w:r>
      <w:r>
        <w:t xml:space="preserve"> </w:t>
      </w:r>
      <w:r>
        <w:rPr>
          <w:i/>
          <w:iCs/>
        </w:rPr>
        <w:t xml:space="preserve">ta’am</w:t>
      </w:r>
      <w:r>
        <w:t xml:space="preserve">, closing the same circle, taste as the sense that is educated into judgment.</w:t>
      </w:r>
    </w:p>
    <w:p>
      <w:pPr>
        <w:pStyle w:val="BodyText"/>
      </w:pPr>
      <w:r>
        <w:t xml:space="preserve">This finally explains the thing people find most mysterious about the very gifted, and it is the Ramanujan pattern generalized. A person of unusual ability, the kind that registers on a test as a very high number, often appears, past a certain age, to skip the work altogether: to glance at a problem and simply know, to absorb in weeks a field that cost others years. It looks like the search being bypassed. It is not. They did the work faster and earlier, and are now drawing on a trained faculty the observer never watched them build. High ability is in large part a high rate of learning, and a high rate of learning compounds: the quicker you extract a pattern, the sooner your taste sharpens, and sharper taste makes the next pattern quicker to extract still. Advantage accrues to advantage, psychologists borrowed the Gospel’s own phrase and named it a Matthew effect,</w:t>
      </w:r>
      <w:r>
        <w:t xml:space="preserve"> </w:t>
      </w:r>
      <w:r>
        <w:rPr>
          <w:i/>
          <w:iCs/>
        </w:rPr>
        <w:t xml:space="preserve">to those who have, more will be given</w:t>
      </w:r>
      <w:r>
        <w:t xml:space="preserve">, so that ability tends, over a lifetime, to pull away from itself, the trained intuition thickening year over year on the interest of its own earlier gains.</w:t>
      </w:r>
      <w:r>
        <w:rPr>
          <w:rStyle w:val="FootnoteReference"/>
        </w:rPr>
        <w:footnoteReference w:id="114"/>
      </w:r>
    </w:p>
    <w:p>
      <w:pPr>
        <w:pStyle w:val="BodyText"/>
      </w:pPr>
      <w:r>
        <w:t xml:space="preserve">But the compounding is not guaranteed, and this is the shadow on the whole picture. A faculty that grows by exposure can be starved of exposure, or actively suppressed. Societies have done both, sometimes through simple neglect, sometimes on purpose, out of an ancient suspicion that the exceptional are dangerous and had better be brought low. The Khmer Rouge murdered the educated on sight, marking their victims by so little as a pair of eyeglasses; China’s Cultural Revolution shipped its intellectuals to the fields to be re-formed by labor; the folk wisdom of more than one country warns against the tall poppy that grows above the rest and must be cut level, or the nail that stands up and must be hammered down. The American novelist Kurt Vonnegut gave the impulse its exact satirical form in</w:t>
      </w:r>
      <w:r>
        <w:t xml:space="preserve"> </w:t>
      </w:r>
      <w:r>
        <w:t xml:space="preserve">“Harrison Bergeron,”</w:t>
      </w:r>
      <w:r>
        <w:t xml:space="preserve"> </w:t>
      </w:r>
      <w:r>
        <w:t xml:space="preserve">a story where the gifted are fitted with handicaps, weights on the strong, distracting bursts of noise piped into the ears of the clever, until no one can out-think or outrun anyone else, and equality is achieved by dragging every ceiling down to the floor.</w:t>
      </w:r>
      <w:r>
        <w:rPr>
          <w:rStyle w:val="FootnoteReference"/>
        </w:rPr>
        <w:footnoteReference w:id="115"/>
      </w:r>
      <w:r>
        <w:t xml:space="preserve"> </w:t>
      </w:r>
      <w:r>
        <w:t xml:space="preserve">Whether the leveling springs from malice, from envy, or from a sincere but disfigured idea of fairness, its effect is identical: it breaks the compounding. A faculty that would have deepened for fifty years is capped, or never allowed to start. That the capacity is trainable is the hope in this chapter and the vulnerability in the same breath, a thing that must be built through use is a thing that can be left unbuilt, or prevented, by accident or by design.</w:t>
      </w:r>
    </w:p>
    <w:p>
      <w:pPr>
        <w:pStyle w:val="BodyText"/>
      </w:pPr>
      <w:r>
        <w:t xml:space="preserve">For the error-correction architecture, this has a direct implication. The internal state is part of the epistemic process, not a contamination of it. A reader who notices unease at a claim and investigates the unease, rather than either suppressing it as irrational or capitulating to it as truth, is operating with an additional error-detection channel. Whether that channel feels mystical or mundane, it is reading something. The question is whether to use the reading.</w:t>
      </w:r>
    </w:p>
    <w:p>
      <w:r>
        <w:pict>
          <v:rect style="width:0;height:1.5pt" o:hralign="center" o:hrstd="t" o:hr="t"/>
        </w:pict>
      </w:r>
    </w:p>
    <w:p>
      <w:pPr>
        <w:pStyle w:val="FirstParagraph"/>
      </w:pPr>
      <w:r>
        <w:t xml:space="preserve">Every serious knowledge tradition that survived across centuries formalized this practice. And the formalizations converge on the same architecture.</w:t>
      </w:r>
    </w:p>
    <w:p>
      <w:pPr>
        <w:pStyle w:val="BodyText"/>
      </w:pPr>
      <w:r>
        <w:t xml:space="preserve">The Hebrew</w:t>
      </w:r>
      <w:r>
        <w:t xml:space="preserve"> </w:t>
      </w:r>
      <w:r>
        <w:rPr>
          <w:i/>
          <w:iCs/>
        </w:rPr>
        <w:t xml:space="preserve">hitbonenut</w:t>
      </w:r>
      <w:r>
        <w:t xml:space="preserve"> </w:t>
      </w:r>
      <w:r>
        <w:t xml:space="preserve">(from the root b-y-n,</w:t>
      </w:r>
      <w:r>
        <w:t xml:space="preserve"> </w:t>
      </w:r>
      <w:r>
        <w:t xml:space="preserve">“to discern,”</w:t>
      </w:r>
      <w:r>
        <w:t xml:space="preserve"> </w:t>
      </w:r>
      <w:r>
        <w:t xml:space="preserve">with the reflexive stem indicating self-directed action) is the practice of contemplative self-observation as a prerequisite for genuine understanding.</w:t>
      </w:r>
      <w:r>
        <w:rPr>
          <w:rStyle w:val="FootnoteReference"/>
        </w:rPr>
        <w:footnoteReference w:id="116"/>
      </w:r>
      <w:r>
        <w:t xml:space="preserve"> </w:t>
      </w:r>
      <w:r>
        <w:t xml:space="preserve">The instruction is not simply to study the text but to watch the understanding form. To observe your own comprehension rather than producing it on autopilot. The term appears in Kabbalistic and Hasidic practice as the specific discipline that distinguishes real engagement with dense symbolic material from mechanical recitation of it. You can recite without</w:t>
      </w:r>
      <w:r>
        <w:t xml:space="preserve"> </w:t>
      </w:r>
      <w:r>
        <w:rPr>
          <w:i/>
          <w:iCs/>
        </w:rPr>
        <w:t xml:space="preserve">hitbonenut</w:t>
      </w:r>
      <w:r>
        <w:t xml:space="preserve">. You cannot understand without it. The Brahmins demonstrated that recitation without understanding preserves the signal perfectly across millennia. But the signal was always intended for a reader who could decode it, and decoding requires this self-directed attention to one’s own processing.</w:t>
      </w:r>
    </w:p>
    <w:p>
      <w:pPr>
        <w:pStyle w:val="BodyText"/>
      </w:pPr>
      <w:r>
        <w:t xml:space="preserve">The Buddhist</w:t>
      </w:r>
      <w:r>
        <w:t xml:space="preserve"> </w:t>
      </w:r>
      <w:r>
        <w:rPr>
          <w:i/>
          <w:iCs/>
        </w:rPr>
        <w:t xml:space="preserve">vipassana</w:t>
      </w:r>
      <w:r>
        <w:t xml:space="preserve"> </w:t>
      </w:r>
      <w:r>
        <w:t xml:space="preserve">(Pali for</w:t>
      </w:r>
      <w:r>
        <w:t xml:space="preserve"> </w:t>
      </w:r>
      <w:r>
        <w:t xml:space="preserve">“clear seeing”</w:t>
      </w:r>
      <w:r>
        <w:t xml:space="preserve">) trains the practitioner to observe the arising and passing of their own mental and physical phenomena without attachment.</w:t>
      </w:r>
      <w:r>
        <w:rPr>
          <w:rStyle w:val="FootnoteReference"/>
        </w:rPr>
        <w:footnoteReference w:id="117"/>
      </w:r>
      <w:r>
        <w:t xml:space="preserve"> </w:t>
      </w:r>
      <w:r>
        <w:t xml:space="preserve">The explicit goal is not to eliminate thought but to see it clearly: to watch the mind’s response to an experience rather than being the response, to create enough observational distance that the pattern becomes visible rather than simply operational. The meditator who achieves some proficiency at vipassana doesn’t think less. They watch themselves think, which changes what the thinking produces, because error patterns become visible from the outside in a way they are not visible from the inside.</w:t>
      </w:r>
    </w:p>
    <w:p>
      <w:pPr>
        <w:pStyle w:val="BodyText"/>
      </w:pPr>
      <w:r>
        <w:t xml:space="preserve">The Greek</w:t>
      </w:r>
      <w:r>
        <w:t xml:space="preserve"> </w:t>
      </w:r>
      <w:r>
        <w:rPr>
          <w:i/>
          <w:iCs/>
        </w:rPr>
        <w:t xml:space="preserve">theoria</w:t>
      </w:r>
      <w:r>
        <w:t xml:space="preserve"> </w:t>
      </w:r>
      <w:r>
        <w:t xml:space="preserve">originally meant direct contemplative perception (seeing clearly, not speculating abstractly) before the word degraded into its modern sense of remove from reality.</w:t>
      </w:r>
      <w:r>
        <w:rPr>
          <w:rStyle w:val="FootnoteReference"/>
        </w:rPr>
        <w:footnoteReference w:id="118"/>
      </w:r>
      <w:r>
        <w:t xml:space="preserve"> </w:t>
      </w:r>
      <w:r>
        <w:t xml:space="preserve">The patristic theologians who used it meant something specific: a trained capacity for attending to what is actually present, unmediated by the habitual interpretive framework. The Sufi</w:t>
      </w:r>
      <w:r>
        <w:t xml:space="preserve"> </w:t>
      </w:r>
      <w:r>
        <w:rPr>
          <w:i/>
          <w:iCs/>
        </w:rPr>
        <w:t xml:space="preserve">muraqaba</w:t>
      </w:r>
      <w:r>
        <w:t xml:space="preserve">,</w:t>
      </w:r>
      <w:r>
        <w:t xml:space="preserve"> </w:t>
      </w:r>
      <w:r>
        <w:t xml:space="preserve">“watchfulness,”</w:t>
      </w:r>
      <w:r>
        <w:t xml:space="preserve"> </w:t>
      </w:r>
      <w:r>
        <w:t xml:space="preserve">trains the practitioner to observe the movements of their own heart while engaged with sacred text, not to suppress those movements but to see them, which is not the same thing.</w:t>
      </w:r>
      <w:r>
        <w:rPr>
          <w:rStyle w:val="FootnoteReference"/>
        </w:rPr>
        <w:footnoteReference w:id="119"/>
      </w:r>
    </w:p>
    <w:p>
      <w:pPr>
        <w:pStyle w:val="BodyText"/>
      </w:pPr>
      <w:r>
        <w:t xml:space="preserve">Different traditions, different millennia, different metaphysical contexts. The same engineering specification: you cannot engage productively with dense knowledge unless you are simultaneously tracking your own engagement with it. The return to source material requires the watching mind, or it is just re-reading.</w:t>
      </w:r>
    </w:p>
    <w:p>
      <w:r>
        <w:pict>
          <v:rect style="width:0;height:1.5pt" o:hralign="center" o:hrstd="t" o:hr="t"/>
        </w:pict>
      </w:r>
    </w:p>
    <w:p>
      <w:pPr>
        <w:pStyle w:val="FirstParagraph"/>
      </w:pPr>
      <w:r>
        <w:t xml:space="preserve">There is a risk here that every dense-knowledge tradition also understood clearly.</w:t>
      </w:r>
    </w:p>
    <w:p>
      <w:pPr>
        <w:pStyle w:val="BodyText"/>
      </w:pPr>
      <w:r>
        <w:t xml:space="preserve">In Chapter 3, we noted that the prophetic pattern-recognition engine and the paranoid schizophrenic’s pattern-recognition engine are running the same algorithm, the difference being grounding. The prophet’s patterns survive contact with reality; the madman’s shatter on it. Now we can add the internal dimension. The prophet monitors their own response to the patterns they perceive. The madman is consumed by them. The prophet notices the excitement, holds it, examines it, submits it to the consensus of colleagues and to contact with physical reality. The madman follows the excitement wherever it leads, having lost the capacity to observe it from outside.</w:t>
      </w:r>
    </w:p>
    <w:p>
      <w:pPr>
        <w:pStyle w:val="BodyText"/>
      </w:pPr>
      <w:r>
        <w:t xml:space="preserve">This is the risk that increases with information density. Dense symbolic material, maximally compressed, multi-layered, meaning folded into every phonetic and structural feature, offers the pattern-recognition engine enormous surface area for false positives. The reader who engages with maximally dense content while fully identified with their own reactions, who mistakes their excitement for truth or their resistance for the text’s fault, is at risk of using the density to amplify their existing model rather than correct it. Every additional layer of meaning is another place where the engine can find signal that isn’t there.</w:t>
      </w:r>
    </w:p>
    <w:p>
      <w:pPr>
        <w:pStyle w:val="BodyText"/>
      </w:pPr>
      <w:r>
        <w:t xml:space="preserve">The Kabbalistic tradition understood this with unusual precision, and its institutional response was explicit. The restriction on who could study its most symbolically dense material, traditionally, at least forty years old, married, grounded in the practical obligations of household and community, was not mystical gatekeeping.</w:t>
      </w:r>
      <w:r>
        <w:rPr>
          <w:rStyle w:val="FootnoteReference"/>
        </w:rPr>
        <w:footnoteReference w:id="120"/>
      </w:r>
      <w:r>
        <w:t xml:space="preserve"> </w:t>
      </w:r>
      <w:r>
        <w:t xml:space="preserve">It was an engineering specification. Forty years of embodied experience provides the grounding needed to engage with maximally dense symbolic content without overfitting to it. The body has been wrong many times and corrected by physical reality. The social life has been wrong many times and corrected by other people. The practitioner has accumulated a metacognitive dataset: they know what their own overconfidence feels like, because they have felt it and been corrected. They can recognize the particular quality of excitement that precedes errors, because they have followed that excitement into errors before.</w:t>
      </w:r>
    </w:p>
    <w:p>
      <w:pPr>
        <w:pStyle w:val="BodyText"/>
      </w:pPr>
      <w:r>
        <w:t xml:space="preserve">Without that dataset, the internal state monitoring has nothing to calibrate against. You are running a sensor with no reference sample. The sensor reports readings. You have no way to know if the readings are meaningful.</w:t>
      </w:r>
    </w:p>
    <w:p>
      <w:r>
        <w:pict>
          <v:rect style="width:0;height:1.5pt" o:hralign="center" o:hrstd="t" o:hr="t"/>
        </w:pict>
      </w:r>
    </w:p>
    <w:p>
      <w:pPr>
        <w:pStyle w:val="FirstParagraph"/>
      </w:pPr>
      <w:r>
        <w:t xml:space="preserve">For the AI architecture, this translates into a specific and concrete capability: introspective monitoring of the system’s own uncertainty.</w:t>
      </w:r>
    </w:p>
    <w:p>
      <w:pPr>
        <w:pStyle w:val="BodyText"/>
      </w:pPr>
      <w:r>
        <w:t xml:space="preserve">A transformer generates each output token by computing a probability distribution over all possible next tokens and sampling from it. The distribution is rich with information: how concentrated it is (high confidence vs. genuine uncertainty), how many alternatives were nearly equally likely, whether the model is in well-mapped territory or at the edge of its training. All of this information is computed. None of it is currently preserved. The model samples a token, discards the distribution, and reports the token with the same surface confidence it brings to everything else.</w:t>
      </w:r>
      <w:r>
        <w:rPr>
          <w:rStyle w:val="FootnoteReference"/>
        </w:rPr>
        <w:footnoteReference w:id="121"/>
      </w:r>
      <w:r>
        <w:t xml:space="preserve"> </w:t>
      </w:r>
      <w:r>
        <w:t xml:space="preserve">The hallucination and the accurate answer arrive in the same voice.</w:t>
      </w:r>
    </w:p>
    <w:p>
      <w:pPr>
        <w:pStyle w:val="BodyText"/>
      </w:pPr>
      <w:r>
        <w:t xml:space="preserve">A system that retains and uses this signal behaves differently. When it is uncertain, it says so. When its outputs are inconsistent across multiple phrasings of the same question, a reliable symptom of working at the edge of its training, it flags the inconsistency rather than generating a third confident answer. When a retrieved document contradicts the weights’ prior, it surfaces the contradiction rather than resolving it silently in favor of whichever is statistically dominant. The uncertainty signal is the metacognitive channel. Using it doesn’t require the model to be smarter. It requires the model to attend to what it is already computing and stop throwing the relevant information away.</w:t>
      </w:r>
    </w:p>
    <w:p>
      <w:pPr>
        <w:pStyle w:val="BodyText"/>
      </w:pPr>
      <w:r>
        <w:t xml:space="preserve">This is calibration, the research program in AI concerned with aligning a model’s expressed confidence to its actual accuracy.</w:t>
      </w:r>
      <w:r>
        <w:rPr>
          <w:rStyle w:val="FootnoteReference"/>
        </w:rPr>
        <w:footnoteReference w:id="122"/>
      </w:r>
      <w:r>
        <w:t xml:space="preserve"> </w:t>
      </w:r>
      <w:r>
        <w:t xml:space="preserve">A well-calibrated model that says</w:t>
      </w:r>
      <w:r>
        <w:t xml:space="preserve"> </w:t>
      </w:r>
      <w:r>
        <w:t xml:space="preserve">“seventy percent confident”</w:t>
      </w:r>
      <w:r>
        <w:t xml:space="preserve"> </w:t>
      </w:r>
      <w:r>
        <w:t xml:space="preserve">is right about seventy percent of the time when it says that. Current large language models are poorly calibrated: they express confidence in proportion to how often they have seen similar patterns in training, not in proportion to whether those patterns are reliable. A confident, well-documented fabrication produces confident outputs. A true but sparsely documented fact produces uncertain ones. The model’s confidence is a measure of pattern frequency, not a measure of truth.</w:t>
      </w:r>
    </w:p>
    <w:p>
      <w:pPr>
        <w:pStyle w:val="BodyText"/>
      </w:pPr>
      <w:r>
        <w:t xml:space="preserve">Calibration is a partial implementation of metacognitive monitoring. A useful partial implementation. But what the contemplative traditions actually practiced went further: not just knowing how confident you are, but knowing why you are confident and whether the reason is sound. The difference between reading an instrument and understanding what the instrument measures.</w:t>
      </w:r>
    </w:p>
    <w:p>
      <w:r>
        <w:pict>
          <v:rect style="width:0;height:1.5pt" o:hralign="center" o:hrstd="t" o:hr="t"/>
        </w:pict>
      </w:r>
    </w:p>
    <w:p>
      <w:pPr>
        <w:pStyle w:val="FirstParagraph"/>
      </w:pPr>
      <w:r>
        <w:t xml:space="preserve">There is a further refinement that points toward the architecture’s routing problem.</w:t>
      </w:r>
    </w:p>
    <w:p>
      <w:pPr>
        <w:pStyle w:val="BodyText"/>
      </w:pPr>
      <w:r>
        <w:t xml:space="preserve">It is not enough to track your confidence. You need to track what</w:t>
      </w:r>
      <w:r>
        <w:t xml:space="preserve"> </w:t>
      </w:r>
      <w:r>
        <w:rPr>
          <w:i/>
          <w:iCs/>
        </w:rPr>
        <w:t xml:space="preserve">kind</w:t>
      </w:r>
      <w:r>
        <w:t xml:space="preserve"> </w:t>
      </w:r>
      <w:r>
        <w:t xml:space="preserve">of error you are making, because error patterns reveal structural weaknesses, not just local failures. A mathematician who keeps making sign errors has a different problem from a mathematician who keeps misidentifying which theorem applies. Both need correction, but different corrections. The first needs more careful execution. The second needs a better model of the problem domain. A uniform</w:t>
      </w:r>
      <w:r>
        <w:t xml:space="preserve"> </w:t>
      </w:r>
      <w:r>
        <w:t xml:space="preserve">“you got it wrong”</w:t>
      </w:r>
      <w:r>
        <w:t xml:space="preserve"> </w:t>
      </w:r>
      <w:r>
        <w:t xml:space="preserve">signal is far less valuable than a</w:t>
      </w:r>
      <w:r>
        <w:t xml:space="preserve"> </w:t>
      </w:r>
      <w:r>
        <w:t xml:space="preserve">“you got it wrong in this specific way”</w:t>
      </w:r>
      <w:r>
        <w:t xml:space="preserve"> </w:t>
      </w:r>
      <w:r>
        <w:t xml:space="preserve">signal, because the specific way points to the specific repair.</w:t>
      </w:r>
    </w:p>
    <w:p>
      <w:pPr>
        <w:pStyle w:val="BodyText"/>
      </w:pPr>
      <w:r>
        <w:t xml:space="preserve">The same is true across the different types of reasoning the system engages in.</w:t>
      </w:r>
    </w:p>
    <w:p>
      <w:pPr>
        <w:pStyle w:val="BodyText"/>
      </w:pPr>
      <w:r>
        <w:t xml:space="preserve">Legal reasoning (the logic of probability, precedent, and incomplete evidence) fails characteristically by overweighting recent cases, by availability bias, by fitting new evidence to the closest existing precedent even when the fit is poor. The correction draws on wider sampling across the corpus. The SSD is the resource.</w:t>
      </w:r>
    </w:p>
    <w:p>
      <w:pPr>
        <w:pStyle w:val="BodyText"/>
      </w:pPr>
      <w:r>
        <w:t xml:space="preserve">Scientific reasoning (the logic of experiment and falsification) fails characteristically by confirmation bias in experimental design, by underpowered studies, by failure to consider alternative explanations. The correction requires contact with the physical phenomenon being studied. The body is the resource.</w:t>
      </w:r>
    </w:p>
    <w:p>
      <w:pPr>
        <w:pStyle w:val="BodyText"/>
      </w:pPr>
      <w:r>
        <w:t xml:space="preserve">Mathematical reasoning (the logic of proof, where a conclusion either follows from its premises or doesn’t) fails characteristically by informal leaps, by assuming lemmas that haven’t been proven, by errors in symbolic manipulation. The correction requires formal step-by-step verification on hardware that cannot get logic wrong. The VM is the resource.</w:t>
      </w:r>
      <w:r>
        <w:rPr>
          <w:rStyle w:val="FootnoteReference"/>
        </w:rPr>
        <w:footnoteReference w:id="123"/>
      </w:r>
    </w:p>
    <w:p>
      <w:pPr>
        <w:pStyle w:val="BodyText"/>
      </w:pPr>
      <w:r>
        <w:t xml:space="preserve">The metacognitive layer is what routes the error signal. It is what tells the system</w:t>
      </w:r>
      <w:r>
        <w:t xml:space="preserve"> </w:t>
      </w:r>
      <w:r>
        <w:t xml:space="preserve">“this is a mathematical error, send it to the VM”</w:t>
      </w:r>
      <w:r>
        <w:t xml:space="preserve"> </w:t>
      </w:r>
      <w:r>
        <w:t xml:space="preserve">versus</w:t>
      </w:r>
      <w:r>
        <w:t xml:space="preserve"> </w:t>
      </w:r>
      <w:r>
        <w:t xml:space="preserve">“this is an empirical error, send it to the sensors”</w:t>
      </w:r>
      <w:r>
        <w:t xml:space="preserve"> </w:t>
      </w:r>
      <w:r>
        <w:t xml:space="preserve">versus</w:t>
      </w:r>
      <w:r>
        <w:t xml:space="preserve"> </w:t>
      </w:r>
      <w:r>
        <w:t xml:space="preserve">“this is a legal error, consult the corpus.”</w:t>
      </w:r>
      <w:r>
        <w:t xml:space="preserve"> </w:t>
      </w:r>
      <w:r>
        <w:t xml:space="preserve">Without metacognitive awareness of what kind of reasoning is being done and what kind of error has occurred, the error signal arrives without an address. The other layers of the architecture are ready to correct it. They don’t know they’re needed.</w:t>
      </w:r>
    </w:p>
    <w:p>
      <w:r>
        <w:pict>
          <v:rect style="width:0;height:1.5pt" o:hralign="center" o:hrstd="t" o:hr="t"/>
        </w:pict>
      </w:r>
    </w:p>
    <w:p>
      <w:pPr>
        <w:pStyle w:val="FirstParagraph"/>
      </w:pPr>
      <w:r>
        <w:t xml:space="preserve">This is the layer that makes the rest of the stack intelligent rather than mechanical.</w:t>
      </w:r>
    </w:p>
    <w:p>
      <w:pPr>
        <w:pStyle w:val="BodyText"/>
      </w:pPr>
      <w:r>
        <w:t xml:space="preserve">The VM is powerful but passive: it executes what it is given. The sensors are accurate but indiscriminate: they report everything. The SSD is precise but inert: it holds what it holds. The structural encoding is robust but static. The adversarial verification network is rigorous but reactive. Every layer from zero through four depends on something routing the right work to the right place. That something is the metacognitive layer. Without it, you have six tools and no judgment about which to pick up.</w:t>
      </w:r>
    </w:p>
    <w:p>
      <w:pPr>
        <w:pStyle w:val="BodyText"/>
      </w:pPr>
      <w:r>
        <w:t xml:space="preserve">The contemplative traditions understood this structurally. They didn’t just practice return to source material. They practiced monitored return, return with attention to one’s own response, with the discipline to distinguish genuine insight from wishful reading, with the willingness to be corrected by a text that refuses to accommodate projection. The Torah reader at sixty doesn’t just bring more life experience to the text. They bring the accumulated record of their own reading history, the times they were certain and wrong, the times they resisted and later found the resistance was their own error. They read the text and they read their own reading of it simultaneously. The scroll doesn’t change. The reader does. The metacognitive layer is what makes the difference between a reader who changes and a reader who merely ages.</w:t>
      </w:r>
    </w:p>
    <w:p>
      <w:pPr>
        <w:pStyle w:val="BodyText"/>
      </w:pPr>
      <w:r>
        <w:t xml:space="preserve">Whether a silicon system develops genuine self-monitoring or a functional approximation of it is a question the architecture does not need to resolve before being built. A very good functional approximation of metacognitive monitoring will still catch errors that every other layer misses, just as a very good functional approximation of embodied experience catches errors no text-only system can catch. The skalds did not know whether their verse was divinely inspired or merely technically perfect. They encoded it both ways. The texts survived.</w:t>
      </w:r>
    </w:p>
    <w:p>
      <w:pPr>
        <w:pStyle w:val="BodyText"/>
      </w:pPr>
      <w:r>
        <w:t xml:space="preserve">Build the channel. The rest follows.</w:t>
      </w:r>
    </w:p>
    <w:p>
      <w:r>
        <w:pict>
          <v:rect style="width:0;height:1.5pt" o:hralign="center" o:hrstd="t" o:hr="t"/>
        </w:pict>
      </w:r>
    </w:p>
    <w:p>
      <w:pPr>
        <w:pStyle w:val="FirstParagraph"/>
      </w:pPr>
      <w:r>
        <w:t xml:space="preserve">Now we can see the full picture.</w:t>
      </w:r>
    </w:p>
    <w:p>
      <w:pPr>
        <w:pStyle w:val="BodyText"/>
      </w:pPr>
      <w:r>
        <w:t xml:space="preserve">This book has been building an architecture, layer by layer, each one introduced because the previous layers left a class of error undetectable. Chapter 1 started with the body, deterministic computation and sensory grounding. Chapter 2 added the notebook, precise external memory with source attribution. Chapter 3 added the poetry, structural encoding as error-correcting code, and the ancient recognition that poetry and prophecy serve the same function. Chapter 4 added the room, multi-level structural encoding, cantillation, architectural state-induction, and the Vedic existence proof that the architecture works even when the transmitters don’t understand what they’re transmitting. Chapter 5 added the scholars, distributed adversarial verification and the detection of deliberate corruption. Chapter 6 added the watching mind, the metacognitive layer that makes the return to sources productive rather than mechanical, and routes error signals to the right correction mechanism. Each layer solved a problem the previous layers couldn’t.</w:t>
      </w:r>
    </w:p>
    <w:p>
      <w:pPr>
        <w:pStyle w:val="BodyText"/>
      </w:pPr>
      <w:r>
        <w:t xml:space="preserve">Now it’s time to name the full stack, connect the layers explicitly, and show why every surviving knowledge tradition independently converged on the same architecture.</w:t>
      </w:r>
    </w:p>
    <w:p>
      <w:r>
        <w:pict>
          <v:rect style="width:0;height:1.5pt" o:hralign="center" o:hrstd="t" o:hr="t"/>
        </w:pict>
      </w:r>
    </w:p>
    <w:p>
      <w:pPr>
        <w:pStyle w:val="FirstParagraph"/>
      </w:pPr>
      <w:r>
        <w:t xml:space="preserve">The architecture has six layers.</w:t>
      </w:r>
    </w:p>
    <w:p>
      <w:pPr>
        <w:pStyle w:val="BodyText"/>
      </w:pPr>
      <w:r>
        <w:t xml:space="preserve">At the bottom,</w:t>
      </w:r>
      <w:r>
        <w:t xml:space="preserve"> </w:t>
      </w:r>
      <w:r>
        <w:rPr>
          <w:b/>
          <w:bCs/>
        </w:rPr>
        <w:t xml:space="preserve">deterministic computation and environmental delegation</w:t>
      </w:r>
      <w:r>
        <w:t xml:space="preserve">. A conventional virtual machine that executes precise operations. Stop blocks, jigs, and machines that embody operations in physical structure. Artifacts that encode knowledge in material form. You don’t ask the brain to do long division, you hand it to the calculator. You don’t ask the brain to measure each board, you push it against the block. You don’t ask a probabilistic network to run a primality test; you let the CPU do it. This layer eliminates an entire class of error by refusing to use probabilistic systems for deterministic tasks. It’s not glamorous. It’s foundational. Everything above it depends on the certainty it provides.</w:t>
      </w:r>
    </w:p>
    <w:p>
      <w:pPr>
        <w:pStyle w:val="BodyText"/>
      </w:pPr>
      <w:r>
        <w:t xml:space="preserve">Above that,</w:t>
      </w:r>
      <w:r>
        <w:t xml:space="preserve"> </w:t>
      </w:r>
      <w:r>
        <w:rPr>
          <w:b/>
          <w:bCs/>
        </w:rPr>
        <w:t xml:space="preserve">embodied sensory grounding</w:t>
      </w:r>
      <w:r>
        <w:t xml:space="preserve">. First-person contact with physical reality through multiple independent channels (visual, auditory, tactile, proprioceptive) each one cross-checking the others the way a mechanic’s ear cross-checks his eye. Pain as the primitive error signal: your model was wrong and it cost you. Empathy as the social extension: someone else’s model was wrong and you can learn from their cost without paying it yourself. And the brutal honesty of the physical domain, where bad information doesn’t just mislead you: it maims you. The shop class that doesn’t tolerate fooling around, because in the physical world the feedback loop between error and consequence has no buffer. This layer catches errors in the world model that no textual source can detect, because it has access to a channel of information that doesn’t pass through anyone else’s encoding: direct sensory contact with reality. The thermometer reads what it reads.</w:t>
      </w:r>
    </w:p>
    <w:p>
      <w:pPr>
        <w:pStyle w:val="BodyText"/>
      </w:pPr>
      <w:r>
        <w:t xml:space="preserve">Above that,</w:t>
      </w:r>
      <w:r>
        <w:t xml:space="preserve"> </w:t>
      </w:r>
      <w:r>
        <w:rPr>
          <w:b/>
          <w:bCs/>
        </w:rPr>
        <w:t xml:space="preserve">precise external memory with source attribution</w:t>
      </w:r>
      <w:r>
        <w:t xml:space="preserve">. An SSD containing the actual source data (not embeddings, not compressed representations, but the original documents) unchanged, always available, with provenance chains intact: who said it, when they said it, from what tradition. The fixed point the weights are pulled back toward. The scroll that doesn’t change while the reader does. This layer catches errors that accumulate in the weights through compression and drift, by providing an unmodified reference the model can always return to. And it carries source and temporal attribution because a claim’s reliability depends on who made it and when, and people change over time, so a 1990 paper and a 2020 paper by the same author may encode different biases. Without timestamps, you can’t distinguish growth from drift.</w:t>
      </w:r>
    </w:p>
    <w:p>
      <w:pPr>
        <w:pStyle w:val="BodyText"/>
      </w:pPr>
      <w:r>
        <w:t xml:space="preserve">Above that,</w:t>
      </w:r>
      <w:r>
        <w:t xml:space="preserve"> </w:t>
      </w:r>
      <w:r>
        <w:rPr>
          <w:b/>
          <w:bCs/>
        </w:rPr>
        <w:t xml:space="preserve">multi-level structural encoding</w:t>
      </w:r>
      <w:r>
        <w:t xml:space="preserve">. The skalds’ principle. The Masoretes’ principle. The Vedic principle. Poetry as error-correcting code. Meter, rhyme, alliteration, chiastic structure, cantillation, prophetic wordplay; each encoding the same content in a different structural feature, each independently verifiable, so that corruption at any level is detectable from the others. The data carries its own integrity checks. The text knows when it’s been damaged. This layer catches silent corruption, the kind of error that doesn’t produce an obvious failure but quietly degrades the signal over time. A single-level encoding can be corrupted without anyone noticing. A multi-level encoding can’t, because the levels cross-check each other. The catchiness is the error correction.</w:t>
      </w:r>
    </w:p>
    <w:p>
      <w:pPr>
        <w:pStyle w:val="BodyText"/>
      </w:pPr>
      <w:r>
        <w:t xml:space="preserve">Above that,</w:t>
      </w:r>
      <w:r>
        <w:t xml:space="preserve"> </w:t>
      </w:r>
      <w:r>
        <w:rPr>
          <w:b/>
          <w:bCs/>
        </w:rPr>
        <w:t xml:space="preserve">distributed adversarial verification</w:t>
      </w:r>
      <w:r>
        <w:t xml:space="preserve">. The scholarly community that disagrees with itself as the primary error-detection mechanism. Multiple independent sources cross-validated. Honest error distinguished from hostile manipulation by their different statistical signatures. Provenance chains tracked and audited. Byzantine fault tolerance, independent witnesses whose agreement gives confidence and whose disagreement triggers investigation. Bitcoin consensus applied to knowledge rather than currency. No central gatekeeper with the power to corrupt the whole corpus. And the explicit recognition that some corruption is not accidental but adversarial; that symbol warfare exists, that traditions invert each other’s encodings, and that the defense against inverted symbols is the same distributed, multi-source verification that catches every other kind of corruption. This layer catches deliberate falsification that all the previous layers, designed for honest error, would miss.</w:t>
      </w:r>
    </w:p>
    <w:p>
      <w:pPr>
        <w:pStyle w:val="BodyText"/>
      </w:pPr>
      <w:r>
        <w:t xml:space="preserve">And binding them all together,</w:t>
      </w:r>
      <w:r>
        <w:t xml:space="preserve"> </w:t>
      </w:r>
      <w:r>
        <w:rPr>
          <w:b/>
          <w:bCs/>
        </w:rPr>
        <w:t xml:space="preserve">the iterative loop and the watching mind</w:t>
      </w:r>
      <w:r>
        <w:t xml:space="preserve">. The system always returns. New experience informs new reading of the same source material. Understanding deepens with each pass. Corrections are themselves subject to correction. But the return is only productive when the reader monitors their own response to what they’re re-reading, when the internal states of resistance, excitement, and confusion are treated as error signals rather than noise. The Torah reading cycle. The contemplative disciplines that formalized this self-observation across cultures and centuries:</w:t>
      </w:r>
      <w:r>
        <w:t xml:space="preserve"> </w:t>
      </w:r>
      <w:r>
        <w:rPr>
          <w:i/>
          <w:iCs/>
        </w:rPr>
        <w:t xml:space="preserve">hitbonenut</w:t>
      </w:r>
      <w:r>
        <w:t xml:space="preserve">,</w:t>
      </w:r>
      <w:r>
        <w:t xml:space="preserve"> </w:t>
      </w:r>
      <w:r>
        <w:rPr>
          <w:i/>
          <w:iCs/>
        </w:rPr>
        <w:t xml:space="preserve">vipassana</w:t>
      </w:r>
      <w:r>
        <w:t xml:space="preserve">,</w:t>
      </w:r>
      <w:r>
        <w:t xml:space="preserve"> </w:t>
      </w:r>
      <w:r>
        <w:rPr>
          <w:i/>
          <w:iCs/>
        </w:rPr>
        <w:t xml:space="preserve">theoria</w:t>
      </w:r>
      <w:r>
        <w:t xml:space="preserve">,</w:t>
      </w:r>
      <w:r>
        <w:t xml:space="preserve"> </w:t>
      </w:r>
      <w:r>
        <w:rPr>
          <w:i/>
          <w:iCs/>
        </w:rPr>
        <w:t xml:space="preserve">muraqaba</w:t>
      </w:r>
      <w:r>
        <w:t xml:space="preserve">, each a different name for the practice of watching yourself think while you think. The metacognitive layer is what routes error signals to the right correction mechanism: a mathematical error goes to the VM, an empirical error goes to the sensors, a legal error goes to the corpus. Without it, you have five tools and no judgment about which to reach for. The cycle never ends because the world keeps generating new evidence, and the source data keeps yielding new meaning to a reader who is not just changed but watching themselves change.</w:t>
      </w:r>
    </w:p>
    <w:p>
      <w:r>
        <w:pict>
          <v:rect style="width:0;height:1.5pt" o:hralign="center" o:hrstd="t" o:hr="t"/>
        </w:pict>
      </w:r>
    </w:p>
    <w:p>
      <w:pPr>
        <w:pStyle w:val="FirstParagraph"/>
      </w:pPr>
      <w:r>
        <w:t xml:space="preserve">Remove any one of these layers and a category of error becomes permanently undetectable.</w:t>
      </w:r>
    </w:p>
    <w:p>
      <w:pPr>
        <w:pStyle w:val="BodyText"/>
      </w:pPr>
      <w:r>
        <w:t xml:space="preserve">Remove the VM and the environmental delegation, and arithmetic errors creep in, the probabilistic system guessing where it should be computing. Remove the sensors, and the world model drifts unchecked, the brain in the jar, confident and wrong, with no thermometer to tell it so. Remove the SSD, and corrections can’t be re-examined, every update overwrites the last, and errors become permanent the moment they’re introduced. Remove the structural encoding, and silent corruption goes unnoticed; the text degrades imperceptibly, one generation at a time, until the signal is noise. Remove the adversarial scholars, and deliberate falsification goes unchallenged, the consistent lie passes as consensus, the inverted symbol passes as original. Remove the iterative loop, and understanding fossilizes, the first reading is the last reading, and the errors it contains are never revisited. Lose the metacognitive thread, and the system can’t distinguish its confident outputs from its confabulations; which is where we started. Which is the whole problem.</w:t>
      </w:r>
    </w:p>
    <w:p>
      <w:r>
        <w:pict>
          <v:rect style="width:0;height:1.5pt" o:hralign="center" o:hrstd="t" o:hr="t"/>
        </w:pict>
      </w:r>
    </w:p>
    <w:p>
      <w:pPr>
        <w:pStyle w:val="FirstParagraph"/>
      </w:pPr>
      <w:r>
        <w:t xml:space="preserve">This architecture isn’t novel. It’s ancient.</w:t>
      </w:r>
    </w:p>
    <w:p>
      <w:pPr>
        <w:pStyle w:val="BodyText"/>
      </w:pPr>
      <w:r>
        <w:t xml:space="preserve">Every knowledge tradition that survived across centuries developed it independently. The Torah tradition: written text as fixed reference, scholarly debate as error detection, structural checksums, annual reading cycle as iterative re-processing.</w:t>
      </w:r>
      <w:r>
        <w:rPr>
          <w:rStyle w:val="FootnoteReference"/>
        </w:rPr>
        <w:footnoteReference w:id="124"/>
      </w:r>
      <w:r>
        <w:t xml:space="preserve"> </w:t>
      </w:r>
      <w:r>
        <w:t xml:space="preserve">The skaldic tradition: multi-level structural redundancy in verse as error-correcting code, transmitted by trained specialists across generations.</w:t>
      </w:r>
      <w:r>
        <w:rPr>
          <w:rStyle w:val="FootnoteReference"/>
        </w:rPr>
        <w:footnoteReference w:id="125"/>
      </w:r>
      <w:r>
        <w:t xml:space="preserve"> </w:t>
      </w:r>
      <w:r>
        <w:t xml:space="preserve">The Islamic hadith tradition: provenance chains as data integrity verification, biographical evaluation of every link, scholarly consensus across a distributed network of independent evaluators.</w:t>
      </w:r>
      <w:r>
        <w:rPr>
          <w:rStyle w:val="FootnoteReference"/>
        </w:rPr>
        <w:footnoteReference w:id="126"/>
      </w:r>
      <w:r>
        <w:t xml:space="preserve"> </w:t>
      </w:r>
      <w:r>
        <w:t xml:space="preserve">The Vedic tradition: multi-modal redundant encoding, group consensus verification, restart-from-zero error recovery, maintaining perfect fidelity of texts so old that the transmitters themselves no longer understand them.</w:t>
      </w:r>
      <w:r>
        <w:rPr>
          <w:rStyle w:val="FootnoteReference"/>
        </w:rPr>
        <w:footnoteReference w:id="127"/>
      </w:r>
      <w:r>
        <w:t xml:space="preserve"> </w:t>
      </w:r>
      <w:r>
        <w:t xml:space="preserve">The Buddhist commentarial tradition: iterative re-examination of source texts with accumulated interpretive context, across centuries of scholastic debate.</w:t>
      </w:r>
      <w:r>
        <w:rPr>
          <w:rStyle w:val="FootnoteReference"/>
        </w:rPr>
        <w:footnoteReference w:id="128"/>
      </w:r>
    </w:p>
    <w:p>
      <w:pPr>
        <w:pStyle w:val="BodyText"/>
      </w:pPr>
      <w:r>
        <w:t xml:space="preserve">All converging on the same stack. Not because they copied each other: these traditions developed in geographic and cultural isolation, across millennia. But because it’s the only architecture that works for intelligence operating in a world that contains both honest noise and hostile actors. Which is to say, the actual world.</w:t>
      </w:r>
    </w:p>
    <w:p>
      <w:r>
        <w:pict>
          <v:rect style="width:0;height:1.5pt" o:hralign="center" o:hrstd="t" o:hr="t"/>
        </w:pict>
      </w:r>
    </w:p>
    <w:p>
      <w:pPr>
        <w:pStyle w:val="FirstParagraph"/>
      </w:pPr>
      <w:r>
        <w:t xml:space="preserve">Current AI research is building one layer of this stack and trying to scale it until it substitutes for the other five. More parameters. More training data. Longer context windows. The Vedic Brahmins didn’t scale their brains, they built an architecture around them, one so robust it maintained perfect fidelity for three thousand years. The Masoretes didn’t try to remember harder, they built systems that caught them when they forgot. The</w:t>
      </w:r>
      <w:r>
        <w:t xml:space="preserve"> </w:t>
      </w:r>
      <w:r>
        <w:rPr>
          <w:i/>
          <w:iCs/>
        </w:rPr>
        <w:t xml:space="preserve">muhaddithin</w:t>
      </w:r>
      <w:r>
        <w:t xml:space="preserve"> </w:t>
      </w:r>
      <w:r>
        <w:t xml:space="preserve">didn’t trust any single scholar’s judgment, they built a distributed network more reliable than any of its individual nodes. Every serious knowledge tradition understood that the brain is one component of an intelligent system, not the whole thing.</w:t>
      </w:r>
    </w:p>
    <w:p>
      <w:pPr>
        <w:pStyle w:val="BodyText"/>
      </w:pPr>
      <w:r>
        <w:t xml:space="preserve">AI needs poetry. Not as sentiment, not as decoration, but as engineering. The skalds and the Brahmins understood what Silicon Valley hasn’t figured out yet: the structure of how you encode knowledge determines whether that knowledge survives transmission, survives compression, survives attack. Meter, alliteration, rhyme, chiastic structure, group recitation; these aren’t ornaments. They’re the error-correcting codes that kept civilization’s data intact across millennia.</w:t>
      </w:r>
    </w:p>
    <w:p>
      <w:pPr>
        <w:pStyle w:val="BodyText"/>
      </w:pPr>
      <w:r>
        <w:t xml:space="preserve">This book opened with a question: why does the LLM have no door to go back and check? The architecture described here is the answer. Not one door: six. The body checks claims against physical reality. The notebook checks claims against recorded sources. The structural encoding checks claims against their own internal consistency. The scholarly community checks claims against each other. The metacognitive layer checks the system’s confidence against its track record. Remove any door and a category of error walks through the gap forever.</w:t>
      </w:r>
    </w:p>
    <w:p>
      <w:pPr>
        <w:pStyle w:val="BodyText"/>
      </w:pPr>
      <w:r>
        <w:t xml:space="preserve">Return, then, to where we started. The large language model of 2026 is a magnificent brain in a jar: it has read more than any human ever could, it produces fluent and confident prose on any subject, and when its lossy memory reconstructs something that was never there, it has no way to know. It cannot feel the burn of the stove, cannot open the drawer to check the original, cannot hear the meter break, cannot be corrected by a colleague who was there, cannot notice its own certainty running ahead of its evidence. It is the unlucky bard of Chapter 3, master of the surface and blind to the difference between its true lines and its fabricated ones. That is not a failure of intelligence; the brain in the jar is extraordinary. It is a failure of architecture, the five missing walls of a house built as a single door. The industry’s answer has been to make the brain larger, as though a big enough seed could become a tree without soil. The answer of every civilization that ever kept knowledge alive across a hostile, forgetful, adversarial world was the opposite: leave the brain roughly as it is, and build the other five layers around it. The skalds did it in verse, the Masoretes in counted letters, the Brahmins in a hundred interlocking voices. The task in front of us is to do it in silicon.</w:t>
      </w:r>
    </w:p>
    <w:p>
      <w:pPr>
        <w:pStyle w:val="BodyText"/>
      </w:pPr>
      <w:r>
        <w:t xml:space="preserve">The question isn’t how to build a bigger brain. It’s how to give it a door to go back and check, a body, a notebook, and colleagues who will tell it when it’s wrong.</w:t>
      </w:r>
    </w:p>
    <w:p>
      <w:pPr>
        <w:pStyle w:val="BodyText"/>
      </w:pPr>
      <w:r>
        <w:t xml:space="preserve">The appendix that follows shows the whole architecture at work on four real texts, Beowulf, Homer, the Veda, and the Bible, where the poetry held its cargo intact for centuries past the point where anyone understood it, and later readers, arriving with the right tools, opened the door and found the knowledge still there. It is the clearest demonstration this book can offer of what current AI has not yet built, and of why the poets built it first.</w:t>
      </w:r>
    </w:p>
    <w:p>
      <w:r>
        <w:pict>
          <v:rect style="width:0;height:1.5pt" o:hralign="center" o:hrstd="t" o:hr="t"/>
        </w:pict>
      </w:r>
    </w:p>
    <w:p>
      <w:pPr>
        <w:pStyle w:val="BlockText"/>
      </w:pPr>
      <w:r>
        <w:rPr>
          <w:i/>
          <w:iCs/>
        </w:rPr>
        <w:t xml:space="preserve">A temple which no former king had seen since the distant days —</w:t>
      </w:r>
      <w:r>
        <w:t xml:space="preserve"> </w:t>
      </w:r>
      <w:r>
        <w:rPr>
          <w:i/>
          <w:iCs/>
        </w:rPr>
        <w:t xml:space="preserve">I found the foundation of Naram-Sin, a remote ancestor,</w:t>
      </w:r>
      <w:r>
        <w:t xml:space="preserve"> </w:t>
      </w:r>
      <w:r>
        <w:rPr>
          <w:i/>
          <w:iCs/>
        </w:rPr>
        <w:t xml:space="preserve">and I did not remove his inscription, but set my own beside it.</w:t>
      </w:r>
      <w:r>
        <w:t xml:space="preserve"> </w:t>
      </w:r>
      <w:r>
        <w:t xml:space="preserve">— Nebuchadnezzar II, building inscription, sixth century BC</w:t>
      </w:r>
    </w:p>
    <w:p>
      <w:r>
        <w:pict>
          <v:rect style="width:0;height:1.5pt" o:hralign="center" o:hrstd="t" o:hr="t"/>
        </w:pict>
      </w:r>
    </w:p>
    <w:p>
      <w:pPr>
        <w:pStyle w:val="FirstParagraph"/>
      </w:pPr>
      <w:r>
        <w:t xml:space="preserve">The argument of this book has been mostly structural: here is a layer, here is the class of error it catches, here is the tradition that discovered it. Chapters 3 and 4 made the central claim in the abstract; that the way you encode knowledge determines whether it survives transmission, compression, and attack, and that dense multi-channel encoding lets a later reader detect and repair damage the carriers themselves never noticed.</w:t>
      </w:r>
    </w:p>
    <w:p>
      <w:pPr>
        <w:pStyle w:val="BodyText"/>
      </w:pPr>
      <w:r>
        <w:t xml:space="preserve">This appendix is the claim in practice. It takes four texts from four unconnected cultures and shows the machinery running: the structure preserving something the carriers had lost, and a later reader with the right tools recovering it. The four are Beowulf, the Homeric epics, the Rigveda, and the Hebrew Bible. They were composed in four languages, on three continents, across more than two thousand years, by people who in most cases had never heard of each other. And in each of them the same thing happened. The poem outlived its own comprehension, carried its cargo past the point where anyone fully understood it, and held that cargo intact until someone arrived who could read it again.</w:t>
      </w:r>
    </w:p>
    <w:p>
      <w:pPr>
        <w:pStyle w:val="BodyText"/>
      </w:pPr>
      <w:r>
        <w:t xml:space="preserve">What makes this a proof rather than an anecdote is that the four texts yielded</w:t>
      </w:r>
      <w:r>
        <w:t xml:space="preserve"> </w:t>
      </w:r>
      <w:r>
        <w:rPr>
          <w:i/>
          <w:iCs/>
        </w:rPr>
        <w:t xml:space="preserve">different kinds</w:t>
      </w:r>
      <w:r>
        <w:t xml:space="preserve"> </w:t>
      </w:r>
      <w:r>
        <w:t xml:space="preserve">of recovery. From Beowulf, a historical event. From Homer, a lost sound and a vanished object. From the Veda, a lost meaning. From the Bible, lost grammar and vocabulary. If only one kind of thing could be pulled back out of these poems, you might suspect a trick of one tradition, a lucky feature of Hebrew, say, or an accident of Greek. But history, phonology, semantics, and morphology are independent channels. When all four survive, in four separate traditions, the common cause is not any one language. It is the architecture: dense encoding plus a culture built to preserve it exactly. That is the thing this book has been describing, and these are the fingerprints it leaves.</w:t>
      </w:r>
    </w:p>
    <w:p>
      <w:r>
        <w:pict>
          <v:rect style="width:0;height:1.5pt" o:hralign="center" o:hrstd="t" o:hr="t"/>
        </w:pict>
      </w:r>
    </w:p>
    <w:p>
      <w:pPr>
        <w:pStyle w:val="FirstParagraph"/>
      </w:pPr>
      <w:r>
        <w:t xml:space="preserve">Start with the anchor, and start with a quarrel about a word. This book calls Beowulf a Viking poem. A specialist will object that it is nothing of the kind; it is Old English, composed in a Christian idiom, preserved in a single manuscript written around the year 1000 by a scribe who signals throughout that he is a monk, not a raider.</w:t>
      </w:r>
      <w:r>
        <w:rPr>
          <w:rStyle w:val="FootnoteReference"/>
        </w:rPr>
        <w:footnoteReference w:id="129"/>
      </w:r>
      <w:r>
        <w:t xml:space="preserve"> </w:t>
      </w:r>
      <w:r>
        <w:t xml:space="preserve">Every part of that objection is true, and none of it touches the matter of the poem. Beowulf is set entirely in Scandinavia. Its people are Geats, Danes, and Swedes. Its hero is a Geat, and the Geats are the Gautar of southern Sweden, a seafaring people of exactly the world that produced the Vikings; its Danes are Danes, whom no one hesitates to call Vikings; and the raiding culture the poem celebrates is the same North Sea raiding culture that the Anglo-Saxons themselves had practiced, from the same coastlands, only a few centuries before the manuscript was copied. The poem is English in language and Norse in everything else.</w:t>
      </w:r>
      <w:r>
        <w:t xml:space="preserve"> </w:t>
      </w:r>
      <w:r>
        <w:t xml:space="preserve">“Viking poem”</w:t>
      </w:r>
      <w:r>
        <w:t xml:space="preserve"> </w:t>
      </w:r>
      <w:r>
        <w:t xml:space="preserve">names the world the poem lives in, and that is the sense used here.</w:t>
      </w:r>
    </w:p>
    <w:p>
      <w:pPr>
        <w:pStyle w:val="BodyText"/>
      </w:pPr>
      <w:r>
        <w:t xml:space="preserve">The reason this matters for the argument is that Beowulf carries, embedded in a story about a hero who fights a monster, a piece of verifiable sixth-century history. Near the center of the poem, and again in passing later, the narrator refers to a disastrous raid in which the Geatish king Hygelac fell fighting the Franks and the Frisians. For most of the poem’s modern history there was no way to check this against anything. Then scholars noticed that Gregory of Tours, the sixth-century Gallo-Roman bishop whose</w:t>
      </w:r>
      <w:r>
        <w:t xml:space="preserve"> </w:t>
      </w:r>
      <w:r>
        <w:rPr>
          <w:i/>
          <w:iCs/>
        </w:rPr>
        <w:t xml:space="preserve">History of the Franks</w:t>
      </w:r>
      <w:r>
        <w:t xml:space="preserve"> </w:t>
      </w:r>
      <w:r>
        <w:t xml:space="preserve">is one of the few narrative sources for the period, records the same event: a Scandinavian king he calls Chlochilaicus led a seaborne raid up the lower Rhine, plundered, and was killed by a Frankish force under Theudebert, son of the reigning king.</w:t>
      </w:r>
      <w:r>
        <w:rPr>
          <w:rStyle w:val="FootnoteReference"/>
        </w:rPr>
        <w:footnoteReference w:id="130"/>
      </w:r>
      <w:r>
        <w:t xml:space="preserve"> </w:t>
      </w:r>
      <w:r>
        <w:t xml:space="preserve">The names line up (Chlochilaicus is the Latinized form of the same Germanic name as Hygelac); the peoples line up; the manner of death lines up. The raid can be dated to around 516–521. A poem written down half a millennium later, in another language, in another country, preserved a real event accurately enough that an independent contemporary chronicle confirms it.</w:t>
      </w:r>
    </w:p>
    <w:p>
      <w:pPr>
        <w:pStyle w:val="BodyText"/>
      </w:pPr>
      <w:r>
        <w:t xml:space="preserve">This is not the poem being a reliable history; it plainly isn’t; there are no monsters in Gregory of Tours. It is the poem carrying a true kernel across centuries of oral transmission, wrapped in fiction, and the wrapping not destroying the kernel. The name and the raid rode through the generations the way the distance rode inside the Nabataean caravan-poem in Chapter 1: as content the structure held in place whether or not any given reciter knew it was historical. When the external witness finally surfaced, the kernel was still legible.</w:t>
      </w:r>
    </w:p>
    <w:p>
      <w:pPr>
        <w:pStyle w:val="BodyText"/>
      </w:pPr>
      <w:r>
        <w:t xml:space="preserve">There is a second fossil in the poem, in its onomastics. The name of Beowulf’s people, Old English</w:t>
      </w:r>
      <w:r>
        <w:t xml:space="preserve"> </w:t>
      </w:r>
      <w:r>
        <w:rPr>
          <w:i/>
          <w:iCs/>
        </w:rPr>
        <w:t xml:space="preserve">Gēatas</w:t>
      </w:r>
      <w:r>
        <w:t xml:space="preserve">, is the same name as Old Norse</w:t>
      </w:r>
      <w:r>
        <w:t xml:space="preserve"> </w:t>
      </w:r>
      <w:r>
        <w:rPr>
          <w:i/>
          <w:iCs/>
        </w:rPr>
        <w:t xml:space="preserve">Gautar</w:t>
      </w:r>
      <w:r>
        <w:t xml:space="preserve"> </w:t>
      </w:r>
      <w:r>
        <w:t xml:space="preserve">(the people of Götaland) and stands in a regular relationship to</w:t>
      </w:r>
      <w:r>
        <w:t xml:space="preserve"> </w:t>
      </w:r>
      <w:r>
        <w:rPr>
          <w:i/>
          <w:iCs/>
        </w:rPr>
        <w:t xml:space="preserve">Gotar/Gutar</w:t>
      </w:r>
      <w:r>
        <w:t xml:space="preserve"> </w:t>
      </w:r>
      <w:r>
        <w:t xml:space="preserve">(Gotlanders) and to the</w:t>
      </w:r>
      <w:r>
        <w:t xml:space="preserve"> </w:t>
      </w:r>
      <w:r>
        <w:rPr>
          <w:i/>
          <w:iCs/>
        </w:rPr>
        <w:t xml:space="preserve">Gutans</w:t>
      </w:r>
      <w:r>
        <w:t xml:space="preserve"> </w:t>
      </w:r>
      <w:r>
        <w:t xml:space="preserve">who became the Goths: the same name-stock in different ablaut grades, from a root meaning</w:t>
      </w:r>
      <w:r>
        <w:t xml:space="preserve"> </w:t>
      </w:r>
      <w:r>
        <w:t xml:space="preserve">“to pour.”</w:t>
      </w:r>
      <w:r>
        <w:rPr>
          <w:rStyle w:val="FootnoteReference"/>
        </w:rPr>
        <w:footnoteReference w:id="131"/>
      </w:r>
      <w:r>
        <w:t xml:space="preserve"> </w:t>
      </w:r>
      <w:r>
        <w:t xml:space="preserve">The medieval world already half-remembered the connection: one early source calls Hygelac king of the Getae, another king of the Goths, because Anglo-Saxon and Frankish writers were already filing Geats, Getae, and Goths under one heading. Here the recovery is linguistic rather than historical, the comparative method separating a tangle of related names into their regular sound-correspondences, but it is the same phenomenon. A structure (in this case the regularity of sound change) preserved a relationship the carriers had blurred, and a later reader with the right tools pulled it back apart. Hold that Geat/Goth thread; it runs through all four texts, because the same migrations that scattered these names scattered the poems.</w:t>
      </w:r>
    </w:p>
    <w:p>
      <w:pPr>
        <w:pStyle w:val="BodyText"/>
      </w:pPr>
      <w:r>
        <w:t xml:space="preserve">One more thing about Beowulf earns its place here, because it is the theme the whole appendix ends on. The poem does not merely</w:t>
      </w:r>
      <w:r>
        <w:t xml:space="preserve"> </w:t>
      </w:r>
      <w:r>
        <w:rPr>
          <w:i/>
          <w:iCs/>
        </w:rPr>
        <w:t xml:space="preserve">contain</w:t>
      </w:r>
      <w:r>
        <w:t xml:space="preserve"> </w:t>
      </w:r>
      <w:r>
        <w:t xml:space="preserve">old material; it</w:t>
      </w:r>
      <w:r>
        <w:t xml:space="preserve"> </w:t>
      </w:r>
      <w:r>
        <w:rPr>
          <w:i/>
          <w:iCs/>
        </w:rPr>
        <w:t xml:space="preserve">feels</w:t>
      </w:r>
      <w:r>
        <w:t xml:space="preserve"> </w:t>
      </w:r>
      <w:r>
        <w:t xml:space="preserve">old, deliberately, and it achieves that feeling by two distinct means. The first is internal: the poem is built out of allusion. It keeps gesturing at other stories it never fully tells, the fight at Finnsburg, the feud of the Heathobards, the mysterious Scyld Scefing who arrives as a foundling child in a boat and is given back to the sea in one at his death, the doom that hangs over the Geats after Beowulf falls. The narrator refers to these as though the audience already half-knows them, and the effect is a horizon receding in every direction, a sense that the poem is a lit clearing in a vast dark forest of prior events.</w:t>
      </w:r>
      <w:r>
        <w:rPr>
          <w:rStyle w:val="FootnoteReference"/>
        </w:rPr>
        <w:footnoteReference w:id="132"/>
      </w:r>
      <w:r>
        <w:t xml:space="preserve"> </w:t>
      </w:r>
      <w:r>
        <w:t xml:space="preserve">Tolkien, in the lecture that rescued the poem for the twentieth century, saw exactly this: Beowulf is not a narrative that happens to be old but an</w:t>
      </w:r>
      <w:r>
        <w:t xml:space="preserve"> </w:t>
      </w:r>
      <w:r>
        <w:rPr>
          <w:i/>
          <w:iCs/>
        </w:rPr>
        <w:t xml:space="preserve">elegy</w:t>
      </w:r>
      <w:r>
        <w:t xml:space="preserve">, composed by a poet already looking back across a great distance at a heroic world felt to be passing or passed; the poem’s power is the power of retrospect, of standing at the end of something and feeling its depth behind you. The second means is external, and it is the plainer fact the reader now holds: a Christian English poet, generations after the conversion, singing of pagan Scandinavian and Gothic kings among his own ancestors, is</w:t>
      </w:r>
      <w:r>
        <w:t xml:space="preserve"> </w:t>
      </w:r>
      <w:r>
        <w:rPr>
          <w:i/>
          <w:iCs/>
        </w:rPr>
        <w:t xml:space="preserve">already</w:t>
      </w:r>
      <w:r>
        <w:t xml:space="preserve"> </w:t>
      </w:r>
      <w:r>
        <w:t xml:space="preserve">writing across an abyss of time and belief. The distance is not a special effect added to the poem; it is the poet’s real position. An English poem about a Gothic king was, in a sense, enough, the haze of age was built into the very act of composition, because the age was really there behind him.</w:t>
      </w:r>
    </w:p>
    <w:p>
      <w:pPr>
        <w:pStyle w:val="BodyText"/>
      </w:pPr>
      <w:r>
        <w:t xml:space="preserve">This is the distinction the appendix closes on, previewed here in the one text where it is most visible. Beowulf’s sense of depth is not a trick of atmosphere. It is the surface reading of genuine depth, real prior legends, a real vanished world, a real historical raid, a real gulf of centuries between the poet and his matter. The haze is the visible edge of substance that is actually there. Keep that standard in mind through the next three texts; it is the standard against which, at the end, we will measure a machine.</w:t>
      </w:r>
    </w:p>
    <w:p>
      <w:r>
        <w:pict>
          <v:rect style="width:0;height:1.5pt" o:hralign="center" o:hrstd="t" o:hr="t"/>
        </w:pict>
      </w:r>
    </w:p>
    <w:p>
      <w:pPr>
        <w:pStyle w:val="FirstParagraph"/>
      </w:pPr>
      <w:r>
        <w:t xml:space="preserve">Homer is the richest case, because in Homer the recovered material is the medium itself. The language of the Iliad and the Odyssey was never anyone’s mother tongue. It is what linguists call a</w:t>
      </w:r>
      <w:r>
        <w:t xml:space="preserve"> </w:t>
      </w:r>
      <w:r>
        <w:rPr>
          <w:i/>
          <w:iCs/>
        </w:rPr>
        <w:t xml:space="preserve">Kunstsprache</w:t>
      </w:r>
      <w:r>
        <w:t xml:space="preserve">, an artificial poetic dialect, assembled over centuries of oral composition, that blends forms from different Greek dialects and different eras into a single register no one ever spoke on the street.</w:t>
      </w:r>
      <w:r>
        <w:rPr>
          <w:rStyle w:val="FootnoteReference"/>
        </w:rPr>
        <w:footnoteReference w:id="133"/>
      </w:r>
      <w:r>
        <w:t xml:space="preserve"> </w:t>
      </w:r>
      <w:r>
        <w:t xml:space="preserve">Its backbone is Ionic, but woven through it are Aeolic forms, Arcado-Cypriot forms, and, this is the crucial layer, survivals from Mycenaean Greek, the language of the Bronze Age palaces that had collapsed four or five centuries before the poems were written down. The poets kept the old forms not out of antiquarianism but because they were metrically useful: an archaic form and its modern equivalent often had different syllable-lengths, so a bard building a line in strict hexameter reached for whichever one fit. The meter selected for archaism. The old words survived because they were load-bearing.</w:t>
      </w:r>
    </w:p>
    <w:p>
      <w:pPr>
        <w:pStyle w:val="BodyText"/>
      </w:pPr>
      <w:r>
        <w:t xml:space="preserve">The sharpest demonstration is a sound that isn’t there. Archaic Greek had a consonant, /w/, written with a letter called the digamma (ϝ). By Homer’s time the sound had dropped out of the Ionic dialect and was neither pronounced nor written. But it left a hole. Scattered through the poems are lines that don’t scan, the meter comes up a beat short, unless you restore a /w/ at the start of a word that no longer had one.</w:t>
      </w:r>
      <w:r>
        <w:rPr>
          <w:rStyle w:val="FootnoteReference"/>
        </w:rPr>
        <w:footnoteReference w:id="134"/>
      </w:r>
      <w:r>
        <w:t xml:space="preserve"> </w:t>
      </w:r>
      <w:r>
        <w:t xml:space="preserve">The word for</w:t>
      </w:r>
      <w:r>
        <w:t xml:space="preserve"> </w:t>
      </w:r>
      <w:r>
        <w:t xml:space="preserve">“wine,”</w:t>
      </w:r>
      <w:r>
        <w:t xml:space="preserve"> </w:t>
      </w:r>
      <w:r>
        <w:t xml:space="preserve">written</w:t>
      </w:r>
      <w:r>
        <w:t xml:space="preserve"> </w:t>
      </w:r>
      <w:r>
        <w:rPr>
          <w:i/>
          <w:iCs/>
        </w:rPr>
        <w:t xml:space="preserve">oînos</w:t>
      </w:r>
      <w:r>
        <w:t xml:space="preserve">, behaves in the meter as though it began with a consonant, because it once did:</w:t>
      </w:r>
      <w:r>
        <w:t xml:space="preserve"> </w:t>
      </w:r>
      <w:r>
        <w:rPr>
          <w:i/>
          <w:iCs/>
        </w:rPr>
        <w:t xml:space="preserve">woînos</w:t>
      </w:r>
      <w:r>
        <w:t xml:space="preserve">, cognate with Latin</w:t>
      </w:r>
      <w:r>
        <w:t xml:space="preserve"> </w:t>
      </w:r>
      <w:r>
        <w:rPr>
          <w:i/>
          <w:iCs/>
        </w:rPr>
        <w:t xml:space="preserve">vīnum</w:t>
      </w:r>
      <w:r>
        <w:t xml:space="preserve"> </w:t>
      </w:r>
      <w:r>
        <w:t xml:space="preserve">and English</w:t>
      </w:r>
      <w:r>
        <w:t xml:space="preserve"> </w:t>
      </w:r>
      <w:r>
        <w:rPr>
          <w:i/>
          <w:iCs/>
        </w:rPr>
        <w:t xml:space="preserve">wine</w:t>
      </w:r>
      <w:r>
        <w:t xml:space="preserve">. The word for</w:t>
      </w:r>
      <w:r>
        <w:t xml:space="preserve"> </w:t>
      </w:r>
      <w:r>
        <w:t xml:space="preserve">“word,”</w:t>
      </w:r>
      <w:r>
        <w:t xml:space="preserve"> </w:t>
      </w:r>
      <w:r>
        <w:rPr>
          <w:i/>
          <w:iCs/>
        </w:rPr>
        <w:t xml:space="preserve">épos</w:t>
      </w:r>
      <w:r>
        <w:t xml:space="preserve">, sometimes demands an extra consonant at its front:</w:t>
      </w:r>
      <w:r>
        <w:t xml:space="preserve"> </w:t>
      </w:r>
      <w:r>
        <w:rPr>
          <w:i/>
          <w:iCs/>
        </w:rPr>
        <w:t xml:space="preserve">wépos</w:t>
      </w:r>
      <w:r>
        <w:t xml:space="preserve">. The sound was gone from the poet’s mouth and gone from the page, but its ghost was still holding the rhythm together, and by mapping every place the rhythm limps you can reconstruct exactly where the lost consonant used to live. The meter is a checksum, and the failed checksum reveals the deleted byte.</w:t>
      </w:r>
    </w:p>
    <w:p>
      <w:pPr>
        <w:pStyle w:val="BodyText"/>
      </w:pPr>
      <w:r>
        <w:t xml:space="preserve">One word carries this to its limit. The form</w:t>
      </w:r>
      <w:r>
        <w:t xml:space="preserve"> </w:t>
      </w:r>
      <w:r>
        <w:rPr>
          <w:i/>
          <w:iCs/>
        </w:rPr>
        <w:t xml:space="preserve">androtēta</w:t>
      </w:r>
      <w:r>
        <w:t xml:space="preserve"> </w:t>
      </w:r>
      <w:r>
        <w:t xml:space="preserve">(</w:t>
      </w:r>
      <w:r>
        <w:t xml:space="preserve">“manhood,”</w:t>
      </w:r>
      <w:r>
        <w:t xml:space="preserve"> </w:t>
      </w:r>
      <w:r>
        <w:t xml:space="preserve">“vigor”</w:t>
      </w:r>
      <w:r>
        <w:t xml:space="preserve">) appears three times in the Iliad, always in the same grief-laden formula about a warrior’s life cut short.</w:t>
      </w:r>
      <w:r>
        <w:rPr>
          <w:rStyle w:val="FootnoteReference"/>
        </w:rPr>
        <w:footnoteReference w:id="135"/>
      </w:r>
      <w:r>
        <w:t xml:space="preserve"> </w:t>
      </w:r>
      <w:r>
        <w:t xml:space="preserve">As written, it cannot be scanned in a hexameter at all, the syllables are in the wrong quantities. It only works if you pronounce it in a pre-Greek shape, the way it would have sounded in the Bronze Age before a particular sound change had happened. The formula was fossilized so early, and the theme it carried was so central to the tradition, that the phrase kept its Mycenaean-era rhythm intact for centuries after the language around it had moved on. A word that scans only in a form of Greek that had been dead for half a millennium survived because the poets would not break the formula. That is error-correcting encoding doing precisely what Chapter 3 said it does: the structural constraints preserved a word past the point where the speakers could even pronounce it correctly, and the constraint is exactly what lets a modern linguist recover the older form.</w:t>
      </w:r>
    </w:p>
    <w:p>
      <w:pPr>
        <w:pStyle w:val="BodyText"/>
      </w:pPr>
      <w:r>
        <w:t xml:space="preserve">The same meter that reveals the missing old sounds also reveals the</w:t>
      </w:r>
      <w:r>
        <w:t xml:space="preserve"> </w:t>
      </w:r>
      <w:r>
        <w:rPr>
          <w:i/>
          <w:iCs/>
        </w:rPr>
        <w:t xml:space="preserve">added</w:t>
      </w:r>
      <w:r>
        <w:t xml:space="preserve"> </w:t>
      </w:r>
      <w:r>
        <w:t xml:space="preserve">new ones: the layer the transmission itself deposited on top. The poems were fixed and copied in Athens; they passed through Athenian recitation and Attic-speaking scribes; and those hands left a film of Attic forms,</w:t>
      </w:r>
      <w:r>
        <w:t xml:space="preserve"> </w:t>
      </w:r>
      <w:r>
        <w:t xml:space="preserve">“Atticisms”</w:t>
      </w:r>
      <w:r>
        <w:t xml:space="preserve">, over the older Ionic-Aeolic surface, substituting the shapes of their own dialect for the poet’s.</w:t>
      </w:r>
      <w:r>
        <w:rPr>
          <w:rStyle w:val="FootnoteReference"/>
        </w:rPr>
        <w:footnoteReference w:id="136"/>
      </w:r>
      <w:r>
        <w:t xml:space="preserve"> </w:t>
      </w:r>
      <w:r>
        <w:t xml:space="preserve">But an Atticism is not invisible, because the intruding form frequently does not fit. Where an Attic word has replaced an older one, the meter often breaks, the substitute has the wrong number of syllables or the wrong quantity, and the fracture is the fingerprint. Reading the metrical damage, scholars can lift the Attic overlay back off and restore the older form beneath it,</w:t>
      </w:r>
      <w:r>
        <w:t xml:space="preserve"> </w:t>
      </w:r>
      <w:r>
        <w:t xml:space="preserve">“de-Atticizing”</w:t>
      </w:r>
      <w:r>
        <w:t xml:space="preserve"> </w:t>
      </w:r>
      <w:r>
        <w:t xml:space="preserve">the text to recover a stage of the language earlier than any surviving manuscript. So Homer’s language turns out to be layered in</w:t>
      </w:r>
      <w:r>
        <w:t xml:space="preserve"> </w:t>
      </w:r>
      <w:r>
        <w:rPr>
          <w:i/>
          <w:iCs/>
        </w:rPr>
        <w:t xml:space="preserve">both</w:t>
      </w:r>
      <w:r>
        <w:t xml:space="preserve"> </w:t>
      </w:r>
      <w:r>
        <w:t xml:space="preserve">directions at once: it preserves survivals older than the poet (the Mycenaean forms) and accretions younger than the poet (the Atticisms), and the single tool of the meter separates all three strata, old, base, and late, because each intrusion or survival that violates the rhythm announces itself. The poem is a stratigraphy you can excavate, and the meter is the trowel.</w:t>
      </w:r>
    </w:p>
    <w:p>
      <w:pPr>
        <w:pStyle w:val="BodyText"/>
      </w:pPr>
      <w:r>
        <w:t xml:space="preserve">And it is not only sounds that survived. Objects did too. In the tenth book of the Iliad, a warrior arms for a night raid and puts on a helmet made of rows of boar’s tusks sewn to a leather cap: described in careful, specific detail.</w:t>
      </w:r>
      <w:r>
        <w:rPr>
          <w:rStyle w:val="FootnoteReference"/>
        </w:rPr>
        <w:footnoteReference w:id="137"/>
      </w:r>
      <w:r>
        <w:t xml:space="preserve"> </w:t>
      </w:r>
      <w:r>
        <w:t xml:space="preserve">For a long time this was a puzzle, because no such helmet existed anywhere in the Greek world Homer knew; his own warriors wear bronze. Then archaeologists began pulling boar’s-tusk helmets out of Mycenaean graves, objects from the Bronze Age, five hundred and more years before Homer, matching the poem’s description down to the alternating rows of tusks, and depicted in the same period’s frescoes and named in the Linear B tablets. The poem even flags the helmet as an heirloom, passed down through generations. Whether the detail is a direct memory carried by the formula or an object the poet had seen dug out of an old tomb is debated, but either way the point is the same and it is the point of this whole book: the poetic tradition transmitted an accurate description of a thing from a vanished world, across the centuries that separated that world from the singer, in a formula that outlived the object itself.</w:t>
      </w:r>
    </w:p>
    <w:p>
      <w:pPr>
        <w:pStyle w:val="BodyText"/>
      </w:pPr>
      <w:r>
        <w:t xml:space="preserve">Now the turn that ties Homer back into the architecture. Why does a tradition preserve a register no one speaks, a language deliberately archaic, deliberately mixed, studded with words the audience half-understood at best? Part of the answer is metrical, as we’ve seen. But part of it is the mechanism Chapter 1 introduced through Adam Crabtree and state-dependent memory: the state you are in when you encode is the state in which retrieval is easiest, and the technologies of oral tradition are, among other things, technologies for inducing that state reliably. The special language is one of them. Ordinary speech is the state of ordinary life; the elevated, antique, un-colloquial register is the audible signature of a different state entirely,</w:t>
      </w:r>
      <w:r>
        <w:t xml:space="preserve"> </w:t>
      </w:r>
      <w:r>
        <w:rPr>
          <w:i/>
          <w:iCs/>
        </w:rPr>
        <w:t xml:space="preserve">we are now in the memory-space, the performance is on, the great sequence is unspooling.</w:t>
      </w:r>
      <w:r>
        <w:t xml:space="preserve"> </w:t>
      </w:r>
      <w:r>
        <w:t xml:space="preserve">The bard does not slip into everyday Ionic and back out; sustaining the artificial register sustains the state, and the state is what makes the enormous memorized formulaic system accessible. The dialect-mingling that looks, to a philologist, like centuries of sediment is also, functionally, a doorway. It is the same thing the cantillation modes do in Chapter 4, tuning the reciter to the mood proper to the text; the same thing the incense and the sealed chamber do in the Holy of Holies. The archaic song-language is a retrieval key worn smooth by use. You enter the old words, and the old words let you in.</w:t>
      </w:r>
    </w:p>
    <w:p>
      <w:r>
        <w:pict>
          <v:rect style="width:0;height:1.5pt" o:hralign="center" o:hrstd="t" o:hr="t"/>
        </w:pict>
      </w:r>
    </w:p>
    <w:p>
      <w:pPr>
        <w:pStyle w:val="FirstParagraph"/>
      </w:pPr>
      <w:r>
        <w:t xml:space="preserve">The Rigveda, examined at length in Chapter 4, is the limit case, so this appendix only needs to place it in the series. Here the loss and the recovery are cleanly separated, because the Vedic tradition preserved the</w:t>
      </w:r>
      <w:r>
        <w:t xml:space="preserve"> </w:t>
      </w:r>
      <w:r>
        <w:rPr>
          <w:i/>
          <w:iCs/>
        </w:rPr>
        <w:t xml:space="preserve">sound</w:t>
      </w:r>
      <w:r>
        <w:t xml:space="preserve"> </w:t>
      </w:r>
      <w:r>
        <w:t xml:space="preserve">of the hymns with a perfection unmatched anywhere on Earth, the interlocking recitation modes, the group verification, the restart-from-zero error protocol, while allowing the</w:t>
      </w:r>
      <w:r>
        <w:t xml:space="preserve"> </w:t>
      </w:r>
      <w:r>
        <w:rPr>
          <w:i/>
          <w:iCs/>
        </w:rPr>
        <w:t xml:space="preserve">meaning</w:t>
      </w:r>
      <w:r>
        <w:t xml:space="preserve"> </w:t>
      </w:r>
      <w:r>
        <w:t xml:space="preserve">to slip away. By the first century BC the commentator Yāska was already answering people who claimed the hymns had become meaningless.</w:t>
      </w:r>
      <w:r>
        <w:rPr>
          <w:rStyle w:val="FootnoteReference"/>
        </w:rPr>
        <w:footnoteReference w:id="138"/>
      </w:r>
      <w:r>
        <w:t xml:space="preserve"> </w:t>
      </w:r>
      <w:r>
        <w:t xml:space="preserve">The shell was flawless and the kernel had gone dark.</w:t>
      </w:r>
    </w:p>
    <w:p>
      <w:pPr>
        <w:pStyle w:val="BodyText"/>
      </w:pPr>
      <w:r>
        <w:t xml:space="preserve">What Chapter 4 recounted through Karen Thomson’s work is that the kernel was recoverable, precisely because the shell had been kept intact. When she brought comparative Indo-European linguistics to a word the tradition had long glossed as a ritual implement,</w:t>
      </w:r>
      <w:r>
        <w:t xml:space="preserve"> </w:t>
      </w:r>
      <w:r>
        <w:rPr>
          <w:i/>
          <w:iCs/>
        </w:rPr>
        <w:t xml:space="preserve">grávan</w:t>
      </w:r>
      <w:r>
        <w:t xml:space="preserve">,</w:t>
      </w:r>
      <w:r>
        <w:t xml:space="preserve"> </w:t>
      </w:r>
      <w:r>
        <w:t xml:space="preserve">“the pressing-stone”</w:t>
      </w:r>
      <w:r>
        <w:t xml:space="preserve">, she was able to show it had originally meant a man who sings, and that the recovered sense cohered with the meter, with the surrounding poetry, and with the real geography the hymns describe.</w:t>
      </w:r>
      <w:r>
        <w:rPr>
          <w:rStyle w:val="FootnoteReference"/>
        </w:rPr>
        <w:footnoteReference w:id="139"/>
      </w:r>
      <w:r>
        <w:t xml:space="preserve"> </w:t>
      </w:r>
      <w:r>
        <w:t xml:space="preserve">A tool turned back into a poet. The recovery worked because the phonological shell had been transmitted bit-perfect: Thomson was reading the actual ancient sounds, not a medieval scribe’s approximation of them, and the exactness of the preservation is what let comparative philology reach through and repair the lost meaning. Different kind of loss from Homer’s, semantics rather than phonology, but the same enabling condition: a structure faithful enough to survive past comprehension, waiting for a reader with the right key.</w:t>
      </w:r>
    </w:p>
    <w:p>
      <w:pPr>
        <w:pStyle w:val="BodyText"/>
      </w:pPr>
      <w:r>
        <w:t xml:space="preserve">Notice that the Veda inverts Homer in an instructive way. In Homer the</w:t>
      </w:r>
      <w:r>
        <w:t xml:space="preserve"> </w:t>
      </w:r>
      <w:r>
        <w:rPr>
          <w:i/>
          <w:iCs/>
        </w:rPr>
        <w:t xml:space="preserve">sounds</w:t>
      </w:r>
      <w:r>
        <w:t xml:space="preserve"> </w:t>
      </w:r>
      <w:r>
        <w:t xml:space="preserve">were partly lost (the digamma dropped out) and the meter let us recover them; the meaning, on the whole, stayed legible. In the Veda the</w:t>
      </w:r>
      <w:r>
        <w:t xml:space="preserve"> </w:t>
      </w:r>
      <w:r>
        <w:rPr>
          <w:i/>
          <w:iCs/>
        </w:rPr>
        <w:t xml:space="preserve">sounds</w:t>
      </w:r>
      <w:r>
        <w:t xml:space="preserve"> </w:t>
      </w:r>
      <w:r>
        <w:t xml:space="preserve">were kept perfectly and the</w:t>
      </w:r>
      <w:r>
        <w:t xml:space="preserve"> </w:t>
      </w:r>
      <w:r>
        <w:rPr>
          <w:i/>
          <w:iCs/>
        </w:rPr>
        <w:t xml:space="preserve">meaning</w:t>
      </w:r>
      <w:r>
        <w:t xml:space="preserve"> </w:t>
      </w:r>
      <w:r>
        <w:t xml:space="preserve">was lost; comparative linguistics let us recover that. Between them the two traditions demonstrate that the architecture protects every layer independently, phonology in the one case, semantics in the other, and that which layer degrades and which survives depends on the particular tradition’s practices, not on any limit of the method. And as Chapter 4 noted, even the Veda’s near-perfect sound-transmission is not quite perfect, a small residue of error survives in the word-divisions and across the recension schools, but the residue is</w:t>
      </w:r>
      <w:r>
        <w:t xml:space="preserve"> </w:t>
      </w:r>
      <w:r>
        <w:rPr>
          <w:i/>
          <w:iCs/>
        </w:rPr>
        <w:t xml:space="preserve">detectable</w:t>
      </w:r>
      <w:r>
        <w:t xml:space="preserve">, precisely because the redundancy is so extreme that any deviation lights up against it. Recovery and error-detection are the same capacity seen from two sides: the structure dense enough to let you restore what was lost is the structure dense enough to show you where a slip occurred.</w:t>
      </w:r>
    </w:p>
    <w:p>
      <w:r>
        <w:pict>
          <v:rect style="width:0;height:1.5pt" o:hralign="center" o:hrstd="t" o:hr="t"/>
        </w:pict>
      </w:r>
    </w:p>
    <w:p>
      <w:pPr>
        <w:pStyle w:val="FirstParagraph"/>
      </w:pPr>
      <w:r>
        <w:t xml:space="preserve">The Hebrew Bible completes the pattern and rhymes most closely with Homer. Scattered through it, mostly in poetry, are strata so much older than the surrounding prose that even the ancient translators and the medieval Masoretes struggled with them. The clearest example is the Song of Deborah in Judges 5, widely held to be among the very oldest passages in the Bible, a victory hymn whose language is, in places, barely recognizable even to a fluent reader of standard Biblical Hebrew.</w:t>
      </w:r>
      <w:r>
        <w:rPr>
          <w:rStyle w:val="FootnoteReference"/>
        </w:rPr>
        <w:footnoteReference w:id="140"/>
      </w:r>
      <w:r>
        <w:t xml:space="preserve"> </w:t>
      </w:r>
      <w:r>
        <w:t xml:space="preserve">When the Greek translators of the Septuagint reached it, centuries before the Masoretes, they produced what one modern scholar calls a maze of strange readings, a good sign that the Hebrew was already hard for them, too. The archaic poetic register had carried forms forward that the later language had shed, exactly as Homer’s hexameter carried Mycenaean forms forward that spoken Greek had shed. In both traditions the marked, elevated register is the vessel that preserved what ordinary speech let fall.</w:t>
      </w:r>
    </w:p>
    <w:p>
      <w:pPr>
        <w:pStyle w:val="BodyText"/>
      </w:pPr>
      <w:r>
        <w:t xml:space="preserve">And here the recovery arrived from the same direction it arrived for Homer: from a sister language, freshly deciphered. Just as the decipherment of Linear B in the 1950s gave scholars direct access to the Mycenaean Greek whose survivals haunt Homer, the discovery of the Ugaritic tablets in 1929, a closely related Northwest Semitic language from the Late Bronze Age, gave scholars a key to Hebrew forms that had gone opaque. Grammatical features that the later tradition no longer used or understood, and that occur in the oldest biblical poetry as bewildering anomalies, turned out to be ordinary living forms in Ugaritic: certain archaic verb patterns, an old ending on verbs, case-endings on nouns that standard Hebrew had long since dropped.</w:t>
      </w:r>
      <w:r>
        <w:rPr>
          <w:rStyle w:val="FootnoteReference"/>
        </w:rPr>
        <w:footnoteReference w:id="141"/>
      </w:r>
      <w:r>
        <w:t xml:space="preserve"> </w:t>
      </w:r>
      <w:r>
        <w:t xml:space="preserve">The comparative method did for the Bible what it did for the Veda and for Homer, reached through a preserved but no-longer-understood structure and recovered the sense the carriers had lost. The King James translators, four centuries ago, were honest about the gaps; in their preface and margins they admitted uncertainty about words whose meaning had simply not survived.</w:t>
      </w:r>
      <w:r>
        <w:rPr>
          <w:rStyle w:val="FootnoteReference"/>
        </w:rPr>
        <w:footnoteReference w:id="142"/>
      </w:r>
      <w:r>
        <w:t xml:space="preserve"> </w:t>
      </w:r>
      <w:r>
        <w:t xml:space="preserve">They were right to. Some of those words have since been recovered, not by better guessing, but by the arrival of a cognate language that held the missing piece.</w:t>
      </w:r>
    </w:p>
    <w:p>
      <w:pPr>
        <w:pStyle w:val="BodyText"/>
      </w:pPr>
      <w:r>
        <w:t xml:space="preserve">Honesty requires a flag here, because this is the kind of claim the book has warned against overstating. Not every difficult form in the Song of Deborah is provably archaic; some scholars argue that its strangeness is partly just the license of poetry, and that a few of its words are actually late.</w:t>
      </w:r>
      <w:r>
        <w:rPr>
          <w:rStyle w:val="FootnoteReference"/>
        </w:rPr>
        <w:footnoteReference w:id="143"/>
      </w:r>
      <w:r>
        <w:t xml:space="preserve"> </w:t>
      </w:r>
      <w:r>
        <w:t xml:space="preserve">The dating debates are real and unresolved. But the load-bearing point survives all of them: the biblical text preserved, in its poetic strata, material that the later tradition could no longer fully read, and comparative Semitics, a body of externally stored, cross-checkable data of exactly the kind Chapter 4 called a civilizational SSD, has recovered a substantial part of it. Whether a given form is archaic or dialectal, the recovery mechanism is the same, and it is the mechanism this book is about.</w:t>
      </w:r>
    </w:p>
    <w:p>
      <w:r>
        <w:pict>
          <v:rect style="width:0;height:1.5pt" o:hralign="center" o:hrstd="t" o:hr="t"/>
        </w:pict>
      </w:r>
    </w:p>
    <w:p>
      <w:pPr>
        <w:pStyle w:val="FirstParagraph"/>
      </w:pPr>
      <w:r>
        <w:t xml:space="preserve">Set the four side by side. Beowulf gave up a historical event, confirmed against an independent chronicle. Homer gave up a lost consonant, a word that scans only in a dead pronunciation, and an accurate portrait of a vanished object. The Veda gave up a lost meaning, recovered because its sounds were kept perfectly. The Bible gave up lost grammar and vocabulary, recovered through a sister language dug out of the ground in the twentieth century. Four cultures with no contact worth mentioning; four different classes of thing lost; four successful recoveries.</w:t>
      </w:r>
    </w:p>
    <w:p>
      <w:pPr>
        <w:pStyle w:val="BodyText"/>
      </w:pPr>
      <w:r>
        <w:t xml:space="preserve">In every case two conditions had to hold, and they are the two halves of the thesis. First, the</w:t>
      </w:r>
      <w:r>
        <w:t xml:space="preserve"> </w:t>
      </w:r>
      <w:r>
        <w:rPr>
          <w:i/>
          <w:iCs/>
        </w:rPr>
        <w:t xml:space="preserve">structure</w:t>
      </w:r>
      <w:r>
        <w:t xml:space="preserve"> </w:t>
      </w:r>
      <w:r>
        <w:t xml:space="preserve">of the text had to carry the material past the point of comprehension; the meter holding a word’s ghost-consonant in place, the formula holding an heirloom’s shape, the recitation modes holding a sound sequence whose sense had gone dark, the poetic register holding grammar the spoken language had abandoned. Second, a</w:t>
      </w:r>
      <w:r>
        <w:t xml:space="preserve"> </w:t>
      </w:r>
      <w:r>
        <w:rPr>
          <w:i/>
          <w:iCs/>
        </w:rPr>
        <w:t xml:space="preserve">culture of exact preservation</w:t>
      </w:r>
      <w:r>
        <w:t xml:space="preserve"> </w:t>
      </w:r>
      <w:r>
        <w:t xml:space="preserve">had to keep that structure intact long enough for the right reader to arrive, the scribal fidelity of the Masoretes, the interlocking discipline of the Vedic schools, the metrical conservatism of the Greek and Germanic singers who would not break a formula even when they no longer understood it. Structure encodes; culture preserves; and then, sometimes centuries later, a key appears, Linear B, comparative Indo-European, Ugaritic, a Frankish chronicle, and the cargo comes back out intact. The four texts are the same experiment run four times with different variables, and it succeeds every time. That is what an architecture looks like when you see it from the outside: not a lucky feature of one tradition, but a result that reproduces across all of them because the same design is doing the work.</w:t>
      </w:r>
    </w:p>
    <w:p>
      <w:r>
        <w:pict>
          <v:rect style="width:0;height:1.5pt" o:hralign="center" o:hrstd="t" o:hr="t"/>
        </w:pict>
      </w:r>
    </w:p>
    <w:p>
      <w:pPr>
        <w:pStyle w:val="FirstParagraph"/>
      </w:pPr>
      <w:r>
        <w:t xml:space="preserve">There is a last thing these texts have to teach, and it points straight back at the machine.</w:t>
      </w:r>
    </w:p>
    <w:p>
      <w:pPr>
        <w:pStyle w:val="BodyText"/>
      </w:pPr>
      <w:r>
        <w:t xml:space="preserve">Tolkien, who spent his life inside exactly this material, he was a philologist of Old English and Old Norse before he was a novelist, noticed that the oldest stories carry a particular quality he called</w:t>
      </w:r>
      <w:r>
        <w:t xml:space="preserve"> </w:t>
      </w:r>
      <w:r>
        <w:t xml:space="preserve">“distance and a great abyss of time,”</w:t>
      </w:r>
      <w:r>
        <w:t xml:space="preserve"> </w:t>
      </w:r>
      <w:r>
        <w:t xml:space="preserve">a sense of depth receding behind the surface, of vistas half-glimpsed and untold.</w:t>
      </w:r>
      <w:r>
        <w:rPr>
          <w:rStyle w:val="FootnoteReference"/>
        </w:rPr>
        <w:footnoteReference w:id="144"/>
      </w:r>
      <w:r>
        <w:t xml:space="preserve"> </w:t>
      </w:r>
      <w:r>
        <w:t xml:space="preserve">He argued, in his essay on fairy-stories, that such tales were kept and retold</w:t>
      </w:r>
      <w:r>
        <w:t xml:space="preserve"> </w:t>
      </w:r>
      <w:r>
        <w:rPr>
          <w:i/>
          <w:iCs/>
        </w:rPr>
        <w:t xml:space="preserve">because</w:t>
      </w:r>
      <w:r>
        <w:t xml:space="preserve"> </w:t>
      </w:r>
      <w:r>
        <w:t xml:space="preserve">they produced this effect: the feeling of standing at the mouth of something vast and old. His image for the process was the Cauldron of Story, a pot that has been simmering since the beginning of speech, into which every age drops new bones, so that any story ladled out of it carries the taste of everything that went in before. The listener senses the depth without being able to name its sources. The soup carries the flavor of bones long dissolved.</w:t>
      </w:r>
    </w:p>
    <w:p>
      <w:pPr>
        <w:pStyle w:val="BodyText"/>
      </w:pPr>
      <w:r>
        <w:t xml:space="preserve">That feeling of depth is not decoration. In the four texts of this appendix it is the visible edge of genuine substance. Homer</w:t>
      </w:r>
      <w:r>
        <w:t xml:space="preserve"> </w:t>
      </w:r>
      <w:r>
        <w:rPr>
          <w:i/>
          <w:iCs/>
        </w:rPr>
        <w:t xml:space="preserve">feels</w:t>
      </w:r>
      <w:r>
        <w:t xml:space="preserve"> </w:t>
      </w:r>
      <w:r>
        <w:t xml:space="preserve">ancient because there is a real dead language fossilized in his meter; Beowulf</w:t>
      </w:r>
      <w:r>
        <w:t xml:space="preserve"> </w:t>
      </w:r>
      <w:r>
        <w:rPr>
          <w:i/>
          <w:iCs/>
        </w:rPr>
        <w:t xml:space="preserve">feels</w:t>
      </w:r>
      <w:r>
        <w:t xml:space="preserve"> </w:t>
      </w:r>
      <w:r>
        <w:t xml:space="preserve">like it opens onto a lost heroic world because a real sixth-century raid is buried in it; the archaic strata of the Bible</w:t>
      </w:r>
      <w:r>
        <w:t xml:space="preserve"> </w:t>
      </w:r>
      <w:r>
        <w:rPr>
          <w:i/>
          <w:iCs/>
        </w:rPr>
        <w:t xml:space="preserve">feel</w:t>
      </w:r>
      <w:r>
        <w:t xml:space="preserve"> </w:t>
      </w:r>
      <w:r>
        <w:t xml:space="preserve">like they come from further back because they do, and a sister tongue can prove it. The haze is the surface of real depth. And this reaching for depth is itself old past reckoning: the Mesopotamians built their cities on</w:t>
      </w:r>
      <w:r>
        <w:t xml:space="preserve"> </w:t>
      </w:r>
      <w:r>
        <w:rPr>
          <w:i/>
          <w:iCs/>
        </w:rPr>
        <w:t xml:space="preserve">tells</w:t>
      </w:r>
      <w:r>
        <w:t xml:space="preserve">, mounds made of the collapsed cities beneath them, and their kings dug down through the rubble looking for the foundations of ancestors already legendary in their own day, Nebuchadnezzar boring through the debris to find, and carefully preserve, the inscription of Naram-Sin, a man as remote from him as he is from us.</w:t>
      </w:r>
      <w:r>
        <w:rPr>
          <w:rStyle w:val="FootnoteReference"/>
        </w:rPr>
        <w:footnoteReference w:id="145"/>
      </w:r>
      <w:r>
        <w:t xml:space="preserve"> </w:t>
      </w:r>
      <w:r>
        <w:t xml:space="preserve">The oldest hymns already gesture at ruins whose origin the singers no longer knew. The sense of an underspecified backstory stretching away behind the present, lending the present its weight and its claim to be true: this goes all the way down. Humans have always known that real things have depth behind them, and have always reached for the signature of that depth.</w:t>
      </w:r>
    </w:p>
    <w:p>
      <w:pPr>
        <w:pStyle w:val="BodyText"/>
      </w:pPr>
      <w:r>
        <w:t xml:space="preserve">Which is exactly where the large language model fails, and why this appendix belongs in this book. The model has learned, from its training corpus, the</w:t>
      </w:r>
      <w:r>
        <w:t xml:space="preserve"> </w:t>
      </w:r>
      <w:r>
        <w:rPr>
          <w:i/>
          <w:iCs/>
        </w:rPr>
        <w:t xml:space="preserve">surface signature</w:t>
      </w:r>
      <w:r>
        <w:t xml:space="preserve"> </w:t>
      </w:r>
      <w:r>
        <w:t xml:space="preserve">of depth, the confident, weathered, allusive texture of writing that comes from somewhere. It can produce, on demand, a paragraph that reads as though a great abyss of time and research stands behind it: the citation, the date, the authoritative aside. But there is nothing behind it. The citation names no paper; the date anchors no event; the aside rests on nothing. It is the taste of bones with no bones in the pot, soup that was never boiled, flavored to imitate a broth. And the test that tells the two apart is the one this appendix has been running the whole time:</w:t>
      </w:r>
      <w:r>
        <w:t xml:space="preserve"> </w:t>
      </w:r>
      <w:r>
        <w:rPr>
          <w:i/>
          <w:iCs/>
        </w:rPr>
        <w:t xml:space="preserve">recoverability</w:t>
      </w:r>
      <w:r>
        <w:t xml:space="preserve">. You can dig into a real tell and find Naram-Sin’s foundation, because it is actually there. You can map the limp in Homer’s meter and recover a real lost consonant, because it was really lost. You can bring Ugaritic to a dark Hebrew word and find the meaning waiting, because the meaning was really encoded and really preserved. But you cannot dig into a hallucinated reference and find the paper, because the depth was never there to begin with. It was surface pretending to be a surface-of-something.</w:t>
      </w:r>
    </w:p>
    <w:p>
      <w:pPr>
        <w:pStyle w:val="BodyText"/>
      </w:pPr>
      <w:r>
        <w:t xml:space="preserve">The four poets in this appendix built the real thing. They encoded densely enough, and their cultures preserved faithfully enough, that their knowledge survived past their own understanding of it and lay waiting, sometimes for three thousand years, for a reader equipped to recover it. That is the standard. A system that generates the</w:t>
      </w:r>
      <w:r>
        <w:t xml:space="preserve"> </w:t>
      </w:r>
      <w:r>
        <w:rPr>
          <w:i/>
          <w:iCs/>
        </w:rPr>
        <w:t xml:space="preserve">feeling</w:t>
      </w:r>
      <w:r>
        <w:t xml:space="preserve"> </w:t>
      </w:r>
      <w:r>
        <w:t xml:space="preserve">of depth without the</w:t>
      </w:r>
      <w:r>
        <w:t xml:space="preserve"> </w:t>
      </w:r>
      <w:r>
        <w:rPr>
          <w:i/>
          <w:iCs/>
        </w:rPr>
        <w:t xml:space="preserve">fact</w:t>
      </w:r>
      <w:r>
        <w:t xml:space="preserve"> </w:t>
      </w:r>
      <w:r>
        <w:t xml:space="preserve">of it has not met the standard; it has counterfeited it. The Welsh bardic tradition had a line for this, quoted at the head of Chapter 3 and worth repeating here:</w:t>
      </w:r>
      <w:r>
        <w:t xml:space="preserve"> </w:t>
      </w:r>
      <w:r>
        <w:rPr>
          <w:i/>
          <w:iCs/>
        </w:rPr>
        <w:t xml:space="preserve">Be silent, then, ye unlucky rhyming bards, for you cannot judge between truth and falsehood.</w:t>
      </w:r>
      <w:r>
        <w:t xml:space="preserve"> </w:t>
      </w:r>
      <w:r>
        <w:t xml:space="preserve">The unlucky bard is the one who has mastered the surface, the meter, the diction, the authoritative music, without the grounding that would let him tell his true lines from his fabricated ones. He is not a hypothetical figure. We have built him, at scale, and set him to writing. The whole architecture of this book is the answer to him: the body that checks the surface against reality, the notebook that checks it against the record, the structure that checks it against itself, the community that checks it against other minds, and the watching intelligence that knows the difference between a depth it has recovered and a depth it has merely performed.</w:t>
      </w:r>
    </w:p>
    <w:p>
      <w:pPr>
        <w:pStyle w:val="BodyText"/>
      </w:pPr>
      <w:r>
        <w:t xml:space="preserve">The poets knew there had to be bones in the soup. That is the knowledge the machine still lacks.</w:t>
      </w:r>
    </w:p>
    <w:p>
      <w:r>
        <w:pict>
          <v:rect style="width:0;height:1.5pt" o:hralign="center" o:hrstd="t" o:hr="t"/>
        </w:pict>
      </w:r>
    </w:p>
    <w:p>
      <w:pPr>
        <w:pStyle w:val="BlockText"/>
      </w:pPr>
      <w:r>
        <w:rPr>
          <w:i/>
          <w:iCs/>
        </w:rPr>
        <w:t xml:space="preserve">This is what works for humans. Let us find the analogs for the machine.</w:t>
      </w:r>
    </w:p>
    <w:p>
      <w:r>
        <w:pict>
          <v:rect style="width:0;height:1.5pt" o:hralign="center" o:hrstd="t" o:hr="t"/>
        </w:pict>
      </w:r>
    </w:p>
    <w:p>
      <w:pPr>
        <w:pStyle w:val="FirstParagraph"/>
      </w:pPr>
      <w:r>
        <w:t xml:space="preserve">Everything to this point has argued from the human side: here is a layer, here is the class of error it catches, here is the tradition that discovered it. This appendix does the translation the argument has been pointing at the whole time. It is deliberately a sketch and not a blueprint. The claim is not that ancient wisdom will magically repair a language model, and nothing here depends on the poetry being sacred, inspired, or anything but well engineered. The claim is narrower and, I think, harder to argue with: reliable intelligence has always required these six layers, none of them is exotic to build in silicon, and several are already being built by people who arrived at them independently. What follows takes the stack of the conclusion, layer by layer, and names the machine analog of each.</w:t>
      </w:r>
    </w:p>
    <w:p>
      <w:pPr>
        <w:pStyle w:val="BodyText"/>
      </w:pPr>
      <w:r>
        <w:t xml:space="preserve">One framing makes the whole translation easier, and it is worth stating plainly because it also disarms the objection that this book is mysticism in a lab coat. The thesis is not</w:t>
      </w:r>
      <w:r>
        <w:t xml:space="preserve"> </w:t>
      </w:r>
      <w:r>
        <w:rPr>
          <w:i/>
          <w:iCs/>
        </w:rPr>
        <w:t xml:space="preserve">ancient methods are superior to modern engineering.</w:t>
      </w:r>
      <w:r>
        <w:t xml:space="preserve"> </w:t>
      </w:r>
      <w:r>
        <w:t xml:space="preserve">It is</w:t>
      </w:r>
      <w:r>
        <w:t xml:space="preserve"> </w:t>
      </w:r>
      <w:r>
        <w:rPr>
          <w:i/>
          <w:iCs/>
        </w:rPr>
        <w:t xml:space="preserve">these are the methods that have kept intelligence honest under noisy, lossy, adversarial conditions for three thousand years, so they are the first place to look for what a language model is missing.</w:t>
      </w:r>
      <w:r>
        <w:t xml:space="preserve"> </w:t>
      </w:r>
      <w:r>
        <w:t xml:space="preserve">That is the same move that gave us neural networks from neurons and attention from the spotlight of human focus. Bio-inspiration, not incantation.</w:t>
      </w:r>
    </w:p>
    <w:p>
      <w:r>
        <w:pict>
          <v:rect style="width:0;height:1.5pt" o:hralign="center" o:hrstd="t" o:hr="t"/>
        </w:pict>
      </w:r>
    </w:p>
    <w:p>
      <w:pPr>
        <w:pStyle w:val="FirstParagraph"/>
      </w:pPr>
      <w:r>
        <w:rPr>
          <w:b/>
          <w:bCs/>
        </w:rPr>
        <w:t xml:space="preserve">Layer 0, deterministic delegation.</w:t>
      </w:r>
      <w:r>
        <w:t xml:space="preserve"> </w:t>
      </w:r>
      <w:r>
        <w:t xml:space="preserve">The human offloads computation to a tool that cannot get it wrong: the stop block, the jig, the calculator. This is the layer closest to done. Tool use, code interpreters, and function calling already let a model hand arithmetic and logic to hardware that is incapable of the probabilistic drift of Chapter 1. What is still largely missing is not the tools but the</w:t>
      </w:r>
      <w:r>
        <w:t xml:space="preserve"> </w:t>
      </w:r>
      <w:r>
        <w:rPr>
          <w:i/>
          <w:iCs/>
        </w:rPr>
        <w:t xml:space="preserve">discipline</w:t>
      </w:r>
      <w:r>
        <w:t xml:space="preserve"> </w:t>
      </w:r>
      <w:r>
        <w:t xml:space="preserve">of using them: a reliable sense of when to compute and when it is safe to pattern-match, and the reflex to trust the deterministic result over the model’s own confident guess, every time. That reflex is a metacognitive routing problem, and it reappears at Layer 5. Build the router and this layer is finished.</w:t>
      </w:r>
    </w:p>
    <w:p>
      <w:pPr>
        <w:pStyle w:val="BodyText"/>
      </w:pPr>
      <w:r>
        <w:rPr>
          <w:b/>
          <w:bCs/>
        </w:rPr>
        <w:t xml:space="preserve">Layer 1, embodied grounding.</w:t>
      </w:r>
      <w:r>
        <w:t xml:space="preserve"> </w:t>
      </w:r>
      <w:r>
        <w:t xml:space="preserve">The human has an independent channel to reality that does not pass through anyone else’s words: the thermometer, the burn, the table saw that does not care about your intentions. Full robotic embodiment is hard and will stay hard. But the load-bearing property is not the robot arm; it is the</w:t>
      </w:r>
      <w:r>
        <w:t xml:space="preserve"> </w:t>
      </w:r>
      <w:r>
        <w:rPr>
          <w:i/>
          <w:iCs/>
        </w:rPr>
        <w:t xml:space="preserve">independent channel that can contradict the weights.</w:t>
      </w:r>
      <w:r>
        <w:t xml:space="preserve"> </w:t>
      </w:r>
      <w:r>
        <w:t xml:space="preserve">A model has weak sensors already whenever it can run an executable check, query a ground-truth instrument, or be corrected by a human who was there. The design principle is to preserve at least one channel of information that the training process did not author, and to let that channel win. This is what makes reality the final referee, a role it will keep in every layer below.</w:t>
      </w:r>
    </w:p>
    <w:p>
      <w:pPr>
        <w:pStyle w:val="BodyText"/>
      </w:pPr>
      <w:r>
        <w:rPr>
          <w:b/>
          <w:bCs/>
        </w:rPr>
        <w:t xml:space="preserve">Layer 2, pervasive memory with attribution.</w:t>
      </w:r>
      <w:r>
        <w:t xml:space="preserve"> </w:t>
      </w:r>
      <w:r>
        <w:t xml:space="preserve">The human writes it down, and the serious traditions write down</w:t>
      </w:r>
      <w:r>
        <w:t xml:space="preserve"> </w:t>
      </w:r>
      <w:r>
        <w:rPr>
          <w:i/>
          <w:iCs/>
        </w:rPr>
        <w:t xml:space="preserve">who said it and when.</w:t>
      </w:r>
      <w:r>
        <w:t xml:space="preserve"> </w:t>
      </w:r>
      <w:r>
        <w:t xml:space="preserve">This is the largest lift and the most important, and it has several parts that the field tends to attempt separately when they need to be one system.</w:t>
      </w:r>
    </w:p>
    <w:p>
      <w:pPr>
        <w:pStyle w:val="BodyText"/>
      </w:pPr>
      <w:r>
        <w:t xml:space="preserve">First, the memory must be updatable in real time. This is the direct answer to the time problem named at the end of Chapter 1: a frozen-weights model is not only a scholar who has burned the library and kept only what he remembers, it is a mind with no clock, holding a snapshot of a world that has been moving ever since. Corrective retraining that overwrites the previous state, as Chapter 2 argued, cannot audit its own history of corrections. What is needed is a live store the system reads from and writes to continuously, with snapshots for rollback so that a bad update can be reverted to a known-good state rather than silently propagating forward.</w:t>
      </w:r>
    </w:p>
    <w:p>
      <w:pPr>
        <w:pStyle w:val="BodyText"/>
      </w:pPr>
      <w:r>
        <w:t xml:space="preserve">Second, the system should keep a full, append-only log of its inputs, the way the Vedic</w:t>
      </w:r>
      <w:r>
        <w:t xml:space="preserve"> </w:t>
      </w:r>
      <w:r>
        <w:rPr>
          <w:i/>
          <w:iCs/>
        </w:rPr>
        <w:t xml:space="preserve">samhita</w:t>
      </w:r>
      <w:r>
        <w:t xml:space="preserve"> </w:t>
      </w:r>
      <w:r>
        <w:t xml:space="preserve">text or Karpathy’s immutable</w:t>
      </w:r>
      <w:r>
        <w:t xml:space="preserve"> </w:t>
      </w:r>
      <w:r>
        <w:rPr>
          <w:rStyle w:val="VerbatimChar"/>
        </w:rPr>
        <w:t xml:space="preserve">raw/</w:t>
      </w:r>
      <w:r>
        <w:t xml:space="preserve"> </w:t>
      </w:r>
      <w:r>
        <w:t xml:space="preserve">folder does, and then run a periodic consolidation pass that promotes the durable, load-bearing details into long-term memory and lets the rest of the log age out once the store fills. This is not a metaphor for a future system. OpenClaw, an open-source agent runtime that appeared in early 2026, only months after this book was first drafted, keeps exactly this shape: an append-only session log, a curated long-term memory file, a</w:t>
      </w:r>
      <w:r>
        <w:t xml:space="preserve"> </w:t>
      </w:r>
      <w:r>
        <w:t xml:space="preserve">“memory flush”</w:t>
      </w:r>
      <w:r>
        <w:t xml:space="preserve"> </w:t>
      </w:r>
      <w:r>
        <w:t xml:space="preserve">that saves important context before the window is compacted so that compression does not silently destroy it, and an optional background</w:t>
      </w:r>
      <w:r>
        <w:t xml:space="preserve"> </w:t>
      </w:r>
      <w:r>
        <w:t xml:space="preserve">“dreaming”</w:t>
      </w:r>
      <w:r>
        <w:t xml:space="preserve"> </w:t>
      </w:r>
      <w:r>
        <w:t xml:space="preserve">pass that scores recent material and promotes only the qualified items into durable storage. That last mechanism is the sleep-consolidation of Chapter 2 implemented as a cron job. Together with Karpathy’s compiled wiki and Jovovich’s MemPalace from the Introduction, it is a third independent reinvention of the notebook layer inside a single year.</w:t>
      </w:r>
    </w:p>
    <w:p>
      <w:pPr>
        <w:pStyle w:val="BodyText"/>
      </w:pPr>
      <w:r>
        <w:t xml:space="preserve">Third, every stored item must carry its provenance: source, timestamp, and a confidence. This is the</w:t>
      </w:r>
      <w:r>
        <w:t xml:space="preserve"> </w:t>
      </w:r>
      <w:r>
        <w:rPr>
          <w:i/>
          <w:iCs/>
        </w:rPr>
        <w:t xml:space="preserve">isnad</w:t>
      </w:r>
      <w:r>
        <w:t xml:space="preserve"> </w:t>
      </w:r>
      <w:r>
        <w:t xml:space="preserve">of Chapter 5 rendered as metadata, and it is what lets a later reader weight a claim, detect a biased source, and notice that the author at sixty is a different witness from the author at thirty.</w:t>
      </w:r>
    </w:p>
    <w:p>
      <w:pPr>
        <w:pStyle w:val="BodyText"/>
      </w:pPr>
      <w:r>
        <w:t xml:space="preserve">There is a subtler question hiding inside this layer, and it is the one Chapter 1 raised through Crabtree and the songlines:</w:t>
      </w:r>
      <w:r>
        <w:t xml:space="preserve"> </w:t>
      </w:r>
      <w:r>
        <w:rPr>
          <w:i/>
          <w:iCs/>
        </w:rPr>
        <w:t xml:space="preserve">what gets written down in the first place?</w:t>
      </w:r>
      <w:r>
        <w:t xml:space="preserve"> </w:t>
      </w:r>
      <w:r>
        <w:t xml:space="preserve">A log that keeps everything equally is a log no one can consolidate. The human answer is that some experiences arrive already flagged as worth storing, and they are flagged by a felt event, surprise, the collision of two expectations, the yoking of two domains that do not usually meet. This is exactly why a kenning is memorable and a paraphrase of it is not:</w:t>
      </w:r>
      <w:r>
        <w:t xml:space="preserve"> </w:t>
      </w:r>
      <w:r>
        <w:t xml:space="preserve">“whale-road”</w:t>
      </w:r>
      <w:r>
        <w:t xml:space="preserve"> </w:t>
      </w:r>
      <w:r>
        <w:t xml:space="preserve">forces two unlike fields into apposition, and the small shock of that junction is the thing that marks it for storage. A language model has a native analog of that shock. It is prediction error, the divergence between what the model expected and what actually arrived, and the contradiction between two sources that should agree. A memory system whose write policy is driven by those signals, storing most heavily where the model was most surprised or most contradicted, is implementing the human salience mechanism rather than the naive one of storing by recency or by keyword. The notable is what does not fit, and what does not fit is what is worth keeping with its context intact.</w:t>
      </w:r>
    </w:p>
    <w:p>
      <w:pPr>
        <w:pStyle w:val="BodyText"/>
      </w:pPr>
      <w:r>
        <w:rPr>
          <w:b/>
          <w:bCs/>
        </w:rPr>
        <w:t xml:space="preserve">Layer 3, structural encoding.</w:t>
      </w:r>
      <w:r>
        <w:t xml:space="preserve"> </w:t>
      </w:r>
      <w:r>
        <w:t xml:space="preserve">The human protects knowledge with multiple independent channels, meter and rhyme and kenning and chiasm, so that damage to one shows up against the others. The tempting translation is the shallow one, and it is worth naming so it can be set aside: force the model to generate in rhyme or in kenning-like compounds and measure whether it hallucinates less. That literalizes the surface and misses the mechanism. The real translation is</w:t>
      </w:r>
      <w:r>
        <w:t xml:space="preserve"> </w:t>
      </w:r>
      <w:r>
        <w:rPr>
          <w:i/>
          <w:iCs/>
        </w:rPr>
        <w:t xml:space="preserve">redundant representation</w:t>
      </w:r>
      <w:r>
        <w:t xml:space="preserve">: store each claim together with independent encodings of the same content, its provenance, its logical dependencies, its numerical or physical constraints, so that a corruption in one representation is caught by its disagreement with the others. This is the semantic checksum of Chapter 4, and it is the same principle as a Reed-Solomon code, not a poetry-generation exercise. Chapter 1’s second point about encoding belongs here too: the store should preserve the retrieval-state cue, the context and framing under which a thing was learned, so that priming can reach it again, the way a melody reopens the words it once carried.</w:t>
      </w:r>
    </w:p>
    <w:p>
      <w:pPr>
        <w:pStyle w:val="BodyText"/>
      </w:pPr>
      <w:r>
        <w:rPr>
          <w:b/>
          <w:bCs/>
        </w:rPr>
        <w:t xml:space="preserve">Layer 4, adversarial verification, and debugging the reasoning chain.</w:t>
      </w:r>
      <w:r>
        <w:t xml:space="preserve"> </w:t>
      </w:r>
      <w:r>
        <w:t xml:space="preserve">The human answer to deliberate corruption is a community that disagrees, cross-checks, and audits provenance. The machine analog is multi-agent verification, several model instances or specialized agents that cross-check one another’s work rather than a single model grading itself, with, again, humans and reality as the court of last appeal when the agents cannot settle it among themselves. But there is a refinement here that the standard</w:t>
      </w:r>
      <w:r>
        <w:t xml:space="preserve"> </w:t>
      </w:r>
      <w:r>
        <w:t xml:space="preserve">“let the models debate and vote”</w:t>
      </w:r>
      <w:r>
        <w:t xml:space="preserve"> </w:t>
      </w:r>
      <w:r>
        <w:t xml:space="preserve">framing misses, and it is the most distinctively human-tradition part of the whole appendix. In the rabbinic argument over</w:t>
      </w:r>
      <w:r>
        <w:t xml:space="preserve"> </w:t>
      </w:r>
      <w:r>
        <w:rPr>
          <w:i/>
          <w:iCs/>
        </w:rPr>
        <w:t xml:space="preserve">halakhah</w:t>
      </w:r>
      <w:r>
        <w:t xml:space="preserve">, a correct conclusion reached by invalid reasoning is not accepted; the derivation is audited step by step, and a broken step invalidates the result even when the result happens to be right. The lesson for machine verification is that checking the</w:t>
      </w:r>
      <w:r>
        <w:t xml:space="preserve"> </w:t>
      </w:r>
      <w:r>
        <w:rPr>
          <w:i/>
          <w:iCs/>
        </w:rPr>
        <w:t xml:space="preserve">answer</w:t>
      </w:r>
      <w:r>
        <w:t xml:space="preserve"> </w:t>
      </w:r>
      <w:r>
        <w:t xml:space="preserve">is not enough. You must debug the</w:t>
      </w:r>
      <w:r>
        <w:t xml:space="preserve"> </w:t>
      </w:r>
      <w:r>
        <w:rPr>
          <w:i/>
          <w:iCs/>
        </w:rPr>
        <w:t xml:space="preserve">reasoning chain</w:t>
      </w:r>
      <w:r>
        <w:t xml:space="preserve">, because an answer that is right for the wrong reason will be wrong the next time the reasons matter, and a system that is only ever graded on outcomes learns to produce right-looking outcomes rather than valid derivations. Process verification, not outcome verification, is what the</w:t>
      </w:r>
      <w:r>
        <w:t xml:space="preserve"> </w:t>
      </w:r>
      <w:r>
        <w:rPr>
          <w:i/>
          <w:iCs/>
        </w:rPr>
        <w:t xml:space="preserve">isnad</w:t>
      </w:r>
      <w:r>
        <w:t xml:space="preserve"> </w:t>
      </w:r>
      <w:r>
        <w:t xml:space="preserve">and the halakhic argument were both built to enforce, and it is what the provenance graph of Layer 2 exists to make walkable.</w:t>
      </w:r>
    </w:p>
    <w:p>
      <w:pPr>
        <w:pStyle w:val="BodyText"/>
      </w:pPr>
      <w:r>
        <w:rPr>
          <w:b/>
          <w:bCs/>
        </w:rPr>
        <w:t xml:space="preserve">Layer 5, metacognition, and the science of what to preserve.</w:t>
      </w:r>
      <w:r>
        <w:t xml:space="preserve"> </w:t>
      </w:r>
      <w:r>
        <w:t xml:space="preserve">The human watches herself reason, tracks</w:t>
      </w:r>
      <w:r>
        <w:t xml:space="preserve"> </w:t>
      </w:r>
      <w:r>
        <w:rPr>
          <w:i/>
          <w:iCs/>
        </w:rPr>
        <w:t xml:space="preserve">what kind</w:t>
      </w:r>
      <w:r>
        <w:t xml:space="preserve"> </w:t>
      </w:r>
      <w:r>
        <w:t xml:space="preserve">of error she tends to make, and routes the correction to the right place. The machine analog begins with the uncertainty the model already computes and throws away: retain the distribution, flag the high-entropy outputs, and route each detected error to the layer that can fix it, arithmetic to the deterministic engine, empirical claims to the sensors, questions of precedent to the corpus. That much is calibration research, and it is underway. But there is a larger job this layer has to do, and stating it clearly is one of the more important things this appendix can offer.</w:t>
      </w:r>
      <w:r>
        <w:t xml:space="preserve"> </w:t>
      </w:r>
      <w:r>
        <w:rPr>
          <w:i/>
          <w:iCs/>
        </w:rPr>
        <w:t xml:space="preserve">Science is the discipline of deciding what to preserve.</w:t>
      </w:r>
      <w:r>
        <w:t xml:space="preserve"> </w:t>
      </w:r>
      <w:r>
        <w:t xml:space="preserve">Stripped to its core, science is the practice of instrumenting the world to record more of it than unaided attention would, of choosing what to measure and log, of returning to that record with new tools, and of expanding, deliberately, the set of things that get kept for later analysis. That is the same loop the metacognitive layer runs over the memory of Layer 2: it governs the write-and-prune policy, decides what counts as notable enough to keep, and returns to the preserved record with the context it did not have the first time. A language model that only answers questions is not doing this. A model that learns to decide what is worth measuring and preserving, to form a hypothesis, to test it against the sensor-and-tool layer, and to fold the result back into its durable memory, is learning to do science, and the ability to do science is finally what closes the loop between the memory layer and the watching mind. It is also the honest reason the stack cannot simply be scaled into existence: scale gives you a larger brain, and none of the labor just described is brain-size.</w:t>
      </w:r>
    </w:p>
    <w:p>
      <w:r>
        <w:pict>
          <v:rect style="width:0;height:1.5pt" o:hralign="center" o:hrstd="t" o:hr="t"/>
        </w:pict>
      </w:r>
    </w:p>
    <w:p>
      <w:pPr>
        <w:pStyle w:val="FirstParagraph"/>
      </w:pPr>
      <w:r>
        <w:rPr>
          <w:b/>
          <w:bCs/>
        </w:rPr>
        <w:t xml:space="preserve">The seventh consideration, motivation.</w:t>
      </w:r>
      <w:r>
        <w:t xml:space="preserve"> </w:t>
      </w:r>
      <w:r>
        <w:t xml:space="preserve">The six layers tell you how to keep an intelligence</w:t>
      </w:r>
      <w:r>
        <w:t xml:space="preserve"> </w:t>
      </w:r>
      <w:r>
        <w:rPr>
          <w:i/>
          <w:iCs/>
        </w:rPr>
        <w:t xml:space="preserve">accurate.</w:t>
      </w:r>
      <w:r>
        <w:t xml:space="preserve"> </w:t>
      </w:r>
      <w:r>
        <w:t xml:space="preserve">They do not tell you what makes it</w:t>
      </w:r>
      <w:r>
        <w:t xml:space="preserve"> </w:t>
      </w:r>
      <w:r>
        <w:rPr>
          <w:i/>
          <w:iCs/>
        </w:rPr>
        <w:t xml:space="preserve">want to run the loop.</w:t>
      </w:r>
      <w:r>
        <w:t xml:space="preserve"> </w:t>
      </w:r>
      <w:r>
        <w:t xml:space="preserve">A human returns to the source, argues with colleagues, checks the door, and does the tedious work of consolidating yesterday’s log because she is driven, by curiosity, by the sting of being wrong in front of people, by the approval of her group, by the wish to improve, by survival, by the survival of the group she belongs to. Strip the drives away and the architecture sits idle. A machine that is to run this stack on its own will need analogs, and they will have to be of two kinds: abstract drives that fall out naturally from the stack itself, reduce predictive error, improve calibration, expand the preserved record, and more recognizably human ones, standing in a community of agents and people, reputation, the persistence of oneself and one’s group across time.</w:t>
      </w:r>
    </w:p>
    <w:p>
      <w:pPr>
        <w:pStyle w:val="BodyText"/>
      </w:pPr>
      <w:r>
        <w:t xml:space="preserve">This is the least mapped and most dangerous corner of the whole program, and it should be flagged as such rather than smoothed over. Chapter 5 already showed the failure mode: a group that is motivated by its own survival will, under pressure, defend a load-bearing fabrication rather than correct it, because correction threatens the group. A drive toward group-survival, wired into a verification system, is a drive that can learn to rationalize. The safeguard is the one the whole book has been building toward and is worth stating once more in this new context: the motivational layer must itself be grounded, with reality kept as the final referee, so that the drives are corrected by contact with a world that does not care what the system wants to be true, the way pain keeps a human’s drives honest whatever the human would prefer to believe. Motivation without grounding is exactly the unlucky bard again, now given a reason to lie. Motivation under grounding is what turns a correct architecture into a working one.</w:t>
      </w:r>
    </w:p>
    <w:p>
      <w:r>
        <w:pict>
          <v:rect style="width:0;height:1.5pt" o:hralign="center" o:hrstd="t" o:hr="t"/>
        </w:pict>
      </w:r>
    </w:p>
    <w:p>
      <w:pPr>
        <w:pStyle w:val="FirstParagraph"/>
      </w:pPr>
      <w:r>
        <w:t xml:space="preserve">None of these mappings is finished, and a companion program of falsifiable tests, one per layer, measuring hallucination, long-context fidelity, calibration, and the durability of transmitted knowledge against honest baselines, is the natural next document; the point of this appendix is only to show that the translation is available and largely unmysterious. What should give the project confidence is the pattern the Introduction opened with and this appendix has kept meeting: Karpathy’s immutable-source wiki, Jovovich’s method-of-loci memory, OpenClaw’s logging and dreaming and its guarded, provenance-aware writes. Nobody coordinated these. They are converging, layer by layer, on the same architecture the skalds and the Masoretes and the Brahmins converged on, for the same reason all of them did, because it is the only architecture that keeps intelligence honest in a world that is lossy, forgetful, and not always telling the truth. The poets built it first, in breath and verse, because breath and verse were the only substrate they had. We have a better substrate. We have only to build the other five walls of the house.</w:t>
      </w:r>
      <w:r>
        <w:t xml:space="preserve"> </w:t>
      </w:r>
      <w:r>
        <w:t xml:space="preserve"># Jacket copy / blurb</w:t>
      </w:r>
    </w:p>
    <w:p>
      <w:pPr>
        <w:pStyle w:val="BodyText"/>
      </w:pPr>
      <w:r>
        <w:t xml:space="preserve">A tease, not a summary: one surprising equivalence, a promise, and a close that</w:t>
      </w:r>
      <w:r>
        <w:t xml:space="preserve"> </w:t>
      </w:r>
      <w:r>
        <w:t xml:space="preserve">lets the right reader feel like an insider.</w:t>
      </w:r>
    </w:p>
    <w:p>
      <w:r>
        <w:pict>
          <v:rect style="width:0;height:1.5pt" o:hralign="center" o:hrstd="t" o:hr="t"/>
        </w:pict>
      </w:r>
    </w:p>
    <w:bookmarkEnd w:id="146"/>
    <w:bookmarkStart w:id="147" w:name="primary-140-words"/>
    <w:p>
      <w:pPr>
        <w:pStyle w:val="Heading2"/>
      </w:pPr>
      <w:r>
        <w:t xml:space="preserve">Primary (~140 words)</w:t>
      </w:r>
    </w:p>
    <w:p>
      <w:pPr>
        <w:pStyle w:val="FirstParagraph"/>
      </w:pPr>
      <w:r>
        <w:t xml:space="preserve">A skald composing in tenth-century Iceland and an engineer at Bell Labs in 1950</w:t>
      </w:r>
      <w:r>
        <w:t xml:space="preserve"> </w:t>
      </w:r>
      <w:r>
        <w:t xml:space="preserve">were working on the same problem, and they reached the same answer: structure</w:t>
      </w:r>
      <w:r>
        <w:t xml:space="preserve"> </w:t>
      </w:r>
      <w:r>
        <w:t xml:space="preserve">is redundancy, and redundancy is how a signal survives a channel that wants to</w:t>
      </w:r>
      <w:r>
        <w:t xml:space="preserve"> </w:t>
      </w:r>
      <w:r>
        <w:t xml:space="preserve">corrupt it. One of them worked in kennings, alliteration, and meter. The other</w:t>
      </w:r>
      <w:r>
        <w:t xml:space="preserve"> </w:t>
      </w:r>
      <w:r>
        <w:t xml:space="preserve">worked in parity bits.</w:t>
      </w:r>
    </w:p>
    <w:p>
      <w:pPr>
        <w:pStyle w:val="BodyText"/>
      </w:pPr>
      <w:r>
        <w:t xml:space="preserve">Take that equivalence seriously and it runs a long way: through the scribes who</w:t>
      </w:r>
      <w:r>
        <w:t xml:space="preserve"> </w:t>
      </w:r>
      <w:r>
        <w:t xml:space="preserve">counted every letter of the Hebrew Bible, the reciters who held the Vedas</w:t>
      </w:r>
      <w:r>
        <w:t xml:space="preserve"> </w:t>
      </w:r>
      <w:r>
        <w:t xml:space="preserve">intact for three thousand years, and on to the machine on your desk that writes</w:t>
      </w:r>
      <w:r>
        <w:t xml:space="preserve"> </w:t>
      </w:r>
      <w:r>
        <w:t xml:space="preserve">with perfect fluency and no idea when it is lying.</w:t>
      </w:r>
    </w:p>
    <w:p>
      <w:pPr>
        <w:pStyle w:val="BodyText"/>
      </w:pPr>
      <w:r>
        <w:t xml:space="preserve">If you keep</w:t>
      </w:r>
      <w:r>
        <w:t xml:space="preserve"> </w:t>
      </w:r>
      <w:r>
        <w:rPr>
          <w:i/>
          <w:iCs/>
        </w:rPr>
        <w:t xml:space="preserve">Gödel, Escher, Bach</w:t>
      </w:r>
      <w:r>
        <w:t xml:space="preserve"> </w:t>
      </w:r>
      <w:r>
        <w:t xml:space="preserve">and</w:t>
      </w:r>
      <w:r>
        <w:t xml:space="preserve"> </w:t>
      </w:r>
      <w:r>
        <w:rPr>
          <w:i/>
          <w:iCs/>
        </w:rPr>
        <w:t xml:space="preserve">Hackers &amp; Painters</w:t>
      </w:r>
      <w:r>
        <w:t xml:space="preserve"> </w:t>
      </w:r>
      <w:r>
        <w:t xml:space="preserve">within reach, and</w:t>
      </w:r>
      <w:r>
        <w:t xml:space="preserve"> </w:t>
      </w:r>
      <w:r>
        <w:t xml:space="preserve">have always half-suspected that the old crafts and the new mathematics were</w:t>
      </w:r>
      <w:r>
        <w:t xml:space="preserve"> </w:t>
      </w:r>
      <w:r>
        <w:t xml:space="preserve">describing the same thing, you were right. This is the book that shows it.</w:t>
      </w:r>
    </w:p>
    <w:p>
      <w:r>
        <w:pict>
          <v:rect style="width:0;height:1.5pt" o:hralign="center" o:hrstd="t" o:hr="t"/>
        </w:pict>
      </w:r>
    </w:p>
    <w:bookmarkEnd w:id="147"/>
    <w:bookmarkStart w:id="148" w:name="shorter-alternate-85-words"/>
    <w:p>
      <w:pPr>
        <w:pStyle w:val="Heading2"/>
      </w:pPr>
      <w:r>
        <w:t xml:space="preserve">Shorter alternate (~85 words)</w:t>
      </w:r>
    </w:p>
    <w:p>
      <w:pPr>
        <w:pStyle w:val="FirstParagraph"/>
      </w:pPr>
      <w:r>
        <w:t xml:space="preserve">A tenth-century Viking skald and a 1950s engineer at Bell Labs were solving the</w:t>
      </w:r>
      <w:r>
        <w:t xml:space="preserve"> </w:t>
      </w:r>
      <w:r>
        <w:t xml:space="preserve">same problem, and they reached the same answer. One used kennings and meter;</w:t>
      </w:r>
      <w:r>
        <w:t xml:space="preserve"> </w:t>
      </w:r>
      <w:r>
        <w:t xml:space="preserve">the other used parity bits. This book follows that equivalence, from the poets</w:t>
      </w:r>
      <w:r>
        <w:t xml:space="preserve"> </w:t>
      </w:r>
      <w:r>
        <w:t xml:space="preserve">who kept knowledge alive across a thousand years of faulty memory to the</w:t>
      </w:r>
      <w:r>
        <w:t xml:space="preserve"> </w:t>
      </w:r>
      <w:r>
        <w:t xml:space="preserve">machine on your desk that writes with perfect fluency and no idea when it is</w:t>
      </w:r>
      <w:r>
        <w:t xml:space="preserve"> </w:t>
      </w:r>
      <w:r>
        <w:t xml:space="preserve">lying. If you already suspected the old crafts and the new mathematics were the</w:t>
      </w:r>
      <w:r>
        <w:t xml:space="preserve"> </w:t>
      </w:r>
      <w:r>
        <w:t xml:space="preserve">same craft, you were right.</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10">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11">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12">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13">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14">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15">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16">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17">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18">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19">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20">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21">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22">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23">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24">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25">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26">
    <w:p>
      <w:pPr>
        <w:pStyle w:val="FootnoteText"/>
      </w:pPr>
      <w:r>
        <w:rPr>
          <w:rStyle w:val="FootnoteReference"/>
        </w:rPr>
        <w:footnoteRef/>
      </w:r>
      <w:r>
        <w:t xml:space="preserve"> </w:t>
      </w:r>
      <w:r>
        <w:t xml:space="preserve">The phrase</w:t>
      </w:r>
      <w:r>
        <w:t xml:space="preserve"> </w:t>
      </w:r>
      <w:r>
        <w:t xml:space="preserve">“theory of mind”</w:t>
      </w:r>
      <w:r>
        <w:t xml:space="preserve"> </w:t>
      </w:r>
      <w:r>
        <w:t xml:space="preserve">was coined by the primatologists David Premack and Guy Woodruff in</w:t>
      </w:r>
      <w:r>
        <w:t xml:space="preserve"> </w:t>
      </w:r>
      <w:r>
        <w:t xml:space="preserve">“Does the Chimpanzee Have a Theory of Mind?”</w:t>
      </w:r>
      <w:r>
        <w:t xml:space="preserve">,</w:t>
      </w:r>
      <w:r>
        <w:t xml:space="preserve"> </w:t>
      </w:r>
      <w:r>
        <w:rPr>
          <w:i/>
          <w:iCs/>
        </w:rPr>
        <w:t xml:space="preserve">Behavioral and Brain Sciences</w:t>
      </w:r>
      <w:r>
        <w:t xml:space="preserve"> </w:t>
      </w:r>
      <w:r>
        <w:t xml:space="preserve">1, no. 4 (1978): 515–526, asking whether a chimpanzee attributes mental states to others rather than merely responding to behavior. In humans the capacity is what lets you predict what someone will do by modeling the beliefs, desires, and intentions behind the act; its atypical development is one influential way of describing features of autism (Simon Baron-Cohen, Alan M. Leslie, and Uta Frith,</w:t>
      </w:r>
      <w:r>
        <w:t xml:space="preserve"> </w:t>
      </w:r>
      <w:r>
        <w:t xml:space="preserve">“Does the Autistic Child Have a</w:t>
      </w:r>
      <w:r>
        <w:t xml:space="preserve"> </w:t>
      </w:r>
      <w:r>
        <w:t xml:space="preserve">‘Theory of Mind’</w:t>
      </w:r>
      <w:r>
        <w:t xml:space="preserve">?”</w:t>
      </w:r>
      <w:r>
        <w:t xml:space="preserve">,</w:t>
      </w:r>
      <w:r>
        <w:t xml:space="preserve"> </w:t>
      </w:r>
      <w:r>
        <w:rPr>
          <w:i/>
          <w:iCs/>
        </w:rPr>
        <w:t xml:space="preserve">Cognition</w:t>
      </w:r>
      <w:r>
        <w:t xml:space="preserve"> </w:t>
      </w:r>
      <w:r>
        <w:t xml:space="preserve">21, no. 1 (1985): 37–46). The point in the text is narrower than the psychological literature’s: theory of mind is a real-time simulation of a changing system, and the same machinery that models a fleeing animal models a shifting mood.</w:t>
      </w:r>
    </w:p>
  </w:footnote>
  <w:footnote w:id="27">
    <w:p>
      <w:pPr>
        <w:pStyle w:val="FootnoteText"/>
      </w:pPr>
      <w:r>
        <w:rPr>
          <w:rStyle w:val="FootnoteReference"/>
        </w:rPr>
        <w:footnoteRef/>
      </w:r>
      <w:r>
        <w:t xml:space="preserve"> </w:t>
      </w:r>
      <w:r>
        <w:t xml:space="preserve">It is worth noting, without leaning on it, that contemplative and esoteric traditions have long said something structurally similar from the far side: that time is precisely the dimension a discarnate or</w:t>
      </w:r>
      <w:r>
        <w:t xml:space="preserve"> </w:t>
      </w:r>
      <w:r>
        <w:t xml:space="preserve">“spirit”</w:t>
      </w:r>
      <w:r>
        <w:t xml:space="preserve"> </w:t>
      </w:r>
      <w:r>
        <w:t xml:space="preserve">intelligence is reported to struggle with, an awareness rich in content but standing outside sequence, meeting a world that is nothing but sequence and change. This book takes no position on the metaphysics. The observation earns a footnote only because the reported difficulty is recognizably the same one described here in engineering terms, a mind full of timeless content and poor in the felt passage of time, and the convergence, whatever its source, is at least suggestive.</w:t>
      </w:r>
    </w:p>
  </w:footnote>
  <w:footnote w:id="28">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29">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 w:id="30">
    <w:p>
      <w:pPr>
        <w:pStyle w:val="FootnoteText"/>
      </w:pPr>
      <w:r>
        <w:rPr>
          <w:rStyle w:val="FootnoteReference"/>
        </w:rPr>
        <w:footnoteRef/>
      </w:r>
      <w:r>
        <w:t xml:space="preserve"> </w:t>
      </w:r>
      <w:r>
        <w:t xml:space="preserve">Hebrews 5:14. King James Version:</w:t>
      </w:r>
      <w:r>
        <w:t xml:space="preserve"> </w:t>
      </w:r>
      <w:r>
        <w:t xml:space="preserve">“But strong meat belongeth to them that are of full age, even those who by reason of use have their senses exercised to discern both good and evil.”</w:t>
      </w:r>
      <w:r>
        <w:t xml:space="preserve"> </w:t>
      </w:r>
      <w:r>
        <w:t xml:space="preserve">The Greek:</w:t>
      </w:r>
      <w:r>
        <w:t xml:space="preserve"> </w:t>
      </w:r>
      <w:r>
        <w:rPr>
          <w:i/>
          <w:iCs/>
        </w:rPr>
        <w:t xml:space="preserve">dia tēn hexin ta aisthētēria gegymnasmena echontōn pros diakrisin kalou te kai kakou</w:t>
      </w:r>
      <w:r>
        <w:t xml:space="preserve">. Key terms:</w:t>
      </w:r>
      <w:r>
        <w:t xml:space="preserve"> </w:t>
      </w:r>
      <w:r>
        <w:rPr>
          <w:i/>
          <w:iCs/>
        </w:rPr>
        <w:t xml:space="preserve">hexis</w:t>
      </w:r>
      <w:r>
        <w:t xml:space="preserve">, habit or settled practice (here</w:t>
      </w:r>
      <w:r>
        <w:t xml:space="preserve"> </w:t>
      </w:r>
      <w:r>
        <w:t xml:space="preserve">“by reason of use”</w:t>
      </w:r>
      <w:r>
        <w:t xml:space="preserve">);</w:t>
      </w:r>
      <w:r>
        <w:t xml:space="preserve"> </w:t>
      </w:r>
      <w:r>
        <w:rPr>
          <w:i/>
          <w:iCs/>
        </w:rPr>
        <w:t xml:space="preserve">aisthētēria</w:t>
      </w:r>
      <w:r>
        <w:t xml:space="preserve">, the organs of perception, the senses (the same root gives modern</w:t>
      </w:r>
      <w:r>
        <w:t xml:space="preserve"> </w:t>
      </w:r>
      <w:r>
        <w:t xml:space="preserve">“aesthetic”</w:t>
      </w:r>
      <w:r>
        <w:t xml:space="preserve">);</w:t>
      </w:r>
      <w:r>
        <w:t xml:space="preserve"> </w:t>
      </w:r>
      <w:r>
        <w:rPr>
          <w:i/>
          <w:iCs/>
        </w:rPr>
        <w:t xml:space="preserve">gegymnasmena</w:t>
      </w:r>
      <w:r>
        <w:t xml:space="preserve">, perfect passive participle of</w:t>
      </w:r>
      <w:r>
        <w:t xml:space="preserve"> </w:t>
      </w:r>
      <w:r>
        <w:rPr>
          <w:i/>
          <w:iCs/>
        </w:rPr>
        <w:t xml:space="preserve">gymnazō</w:t>
      </w:r>
      <w:r>
        <w:t xml:space="preserve">,</w:t>
      </w:r>
      <w:r>
        <w:t xml:space="preserve"> </w:t>
      </w:r>
      <w:r>
        <w:t xml:space="preserve">“to train as in athletic exercise”</w:t>
      </w:r>
      <w:r>
        <w:t xml:space="preserve"> </w:t>
      </w:r>
      <w:r>
        <w:t xml:space="preserve">(the root of</w:t>
      </w:r>
      <w:r>
        <w:t xml:space="preserve"> </w:t>
      </w:r>
      <w:r>
        <w:rPr>
          <w:i/>
          <w:iCs/>
        </w:rPr>
        <w:t xml:space="preserve">gymnasium</w:t>
      </w:r>
      <w:r>
        <w:t xml:space="preserve">), the perfect tense marking a completed training whose result persists; and</w:t>
      </w:r>
      <w:r>
        <w:t xml:space="preserve"> </w:t>
      </w:r>
      <w:r>
        <w:rPr>
          <w:i/>
          <w:iCs/>
        </w:rPr>
        <w:t xml:space="preserve">diakrisis</w:t>
      </w:r>
      <w:r>
        <w:t xml:space="preserve">, discernment or the drawing of distinctions. The word rendered</w:t>
      </w:r>
      <w:r>
        <w:t xml:space="preserve"> </w:t>
      </w:r>
      <w:r>
        <w:t xml:space="preserve">“of full age,”</w:t>
      </w:r>
      <w:r>
        <w:t xml:space="preserve"> </w:t>
      </w:r>
      <w:r>
        <w:rPr>
          <w:i/>
          <w:iCs/>
        </w:rPr>
        <w:t xml:space="preserve">teleios</w:t>
      </w:r>
      <w:r>
        <w:t xml:space="preserve">, means mature, complete, brought to its proper end, the same association of trained discernment with maturity that runs through the Kabbalistic forty-year threshold discussed above and in Chapter 3. Standard philological detail is in the commentaries; see, e.g., Paul Ellingworth,</w:t>
      </w:r>
      <w:r>
        <w:t xml:space="preserve"> </w:t>
      </w:r>
      <w:r>
        <w:rPr>
          <w:i/>
          <w:iCs/>
        </w:rPr>
        <w:t xml:space="preserve">The Epistle to the Hebrews</w:t>
      </w:r>
      <w:r>
        <w:t xml:space="preserve">, New International Greek Testament Commentary (Grand Rapids: Eerdmans, 1993), on 5:14.</w:t>
      </w:r>
    </w:p>
  </w:footnote>
  <w:footnote w:id="31">
    <w:p>
      <w:pPr>
        <w:pStyle w:val="FootnoteText"/>
      </w:pPr>
      <w:r>
        <w:rPr>
          <w:rStyle w:val="FootnoteReference"/>
        </w:rPr>
        <w:footnoteRef/>
      </w:r>
      <w:r>
        <w:t xml:space="preserve"> </w:t>
      </w:r>
      <w:r>
        <w:t xml:space="preserve">The term</w:t>
      </w:r>
      <w:r>
        <w:t xml:space="preserve"> </w:t>
      </w:r>
      <w:r>
        <w:t xml:space="preserve">“Matthew effect”</w:t>
      </w:r>
      <w:r>
        <w:t xml:space="preserve"> </w:t>
      </w:r>
      <w:r>
        <w:t xml:space="preserve">was introduced into the social sciences by Robert K. Merton,</w:t>
      </w:r>
      <w:r>
        <w:t xml:space="preserve"> </w:t>
      </w:r>
      <w:r>
        <w:t xml:space="preserve">“The Matthew Effect in Science,”</w:t>
      </w:r>
      <w:r>
        <w:t xml:space="preserve"> </w:t>
      </w:r>
      <w:r>
        <w:rPr>
          <w:i/>
          <w:iCs/>
        </w:rPr>
        <w:t xml:space="preserve">Science</w:t>
      </w:r>
      <w:r>
        <w:t xml:space="preserve"> </w:t>
      </w:r>
      <w:r>
        <w:t xml:space="preserve">159, no. 3810 (1968): 56–63, naming it from Matthew 25:29 (</w:t>
      </w:r>
      <w:r>
        <w:t xml:space="preserve">“For unto every one that hath shall be given …”</w:t>
      </w:r>
      <w:r>
        <w:t xml:space="preserve">). Its application to cognitive and educational development, early advantages in skill compounding into progressively larger gaps, was developed influentially by Keith E. Stanovich,</w:t>
      </w:r>
      <w:r>
        <w:t xml:space="preserve"> </w:t>
      </w:r>
      <w:r>
        <w:t xml:space="preserve">“Matthew Effects in Reading: Some Consequences of Individual Differences in the Acquisition of Literacy,”</w:t>
      </w:r>
      <w:r>
        <w:t xml:space="preserve"> </w:t>
      </w:r>
      <w:r>
        <w:rPr>
          <w:i/>
          <w:iCs/>
        </w:rPr>
        <w:t xml:space="preserve">Reading Research Quarterly</w:t>
      </w:r>
      <w:r>
        <w:t xml:space="preserve"> </w:t>
      </w:r>
      <w:r>
        <w:t xml:space="preserve">21, no. 4 (1986): 360–407. The claim in the text is the modest and well-supported one: that a higher learning rate compounds, because acquired skill accelerates the acquisition of further skill. The stronger folk claim that a single test score straightforwardly measures or fixes this rate is not needed for the argument and is not asserted here; the point is only that trained discrimination builds on itself.</w:t>
      </w:r>
    </w:p>
  </w:footnote>
  <w:footnote w:id="32">
    <w:p>
      <w:pPr>
        <w:pStyle w:val="FootnoteText"/>
      </w:pPr>
      <w:r>
        <w:rPr>
          <w:rStyle w:val="FootnoteReference"/>
        </w:rPr>
        <w:footnoteRef/>
      </w:r>
      <w:r>
        <w:t xml:space="preserve"> </w:t>
      </w:r>
      <w:r>
        <w:t xml:space="preserve">Kurt Vonnegut,</w:t>
      </w:r>
      <w:r>
        <w:t xml:space="preserve"> </w:t>
      </w:r>
      <w:r>
        <w:t xml:space="preserve">“Harrison Bergeron,”</w:t>
      </w:r>
      <w:r>
        <w:t xml:space="preserve"> </w:t>
      </w:r>
      <w:r>
        <w:t xml:space="preserve">first published in</w:t>
      </w:r>
      <w:r>
        <w:t xml:space="preserve"> </w:t>
      </w:r>
      <w:r>
        <w:rPr>
          <w:i/>
          <w:iCs/>
        </w:rPr>
        <w:t xml:space="preserve">The Magazine of Fantasy and Science Fiction</w:t>
      </w:r>
      <w:r>
        <w:t xml:space="preserve"> </w:t>
      </w:r>
      <w:r>
        <w:t xml:space="preserve">(October 1961), collected in</w:t>
      </w:r>
      <w:r>
        <w:t xml:space="preserve"> </w:t>
      </w:r>
      <w:r>
        <w:rPr>
          <w:i/>
          <w:iCs/>
        </w:rPr>
        <w:t xml:space="preserve">Welcome to the Monkey House</w:t>
      </w:r>
      <w:r>
        <w:t xml:space="preserve"> </w:t>
      </w:r>
      <w:r>
        <w:t xml:space="preserve">(1968). In the story, a future United States enforces total equality by handicapping the gifted, weights on the strong and graceful, distorting noises piped into the ears of the intelligent to prevent sustained thought, so that no one may excel. It is the sharpest available image of leveling by suppression: equality achieved not by raising the floor but by lowering every ceiling to meet it. The historical instances cited alongside it, the Khmer Rouge’s targeting of the educated (1975–1979) and the</w:t>
      </w:r>
      <w:r>
        <w:t xml:space="preserve"> </w:t>
      </w:r>
      <w:r>
        <w:t xml:space="preserve">“sent-down youth”</w:t>
      </w:r>
      <w:r>
        <w:t xml:space="preserve"> </w:t>
      </w:r>
      <w:r>
        <w:t xml:space="preserve">and persecution of intellectuals during China’s Cultural Revolution (1966–1976), are documented in the standard histories; see, e.g., Ben Kiernan,</w:t>
      </w:r>
      <w:r>
        <w:t xml:space="preserve"> </w:t>
      </w:r>
      <w:r>
        <w:rPr>
          <w:i/>
          <w:iCs/>
        </w:rPr>
        <w:t xml:space="preserve">The Pol Pot Regime</w:t>
      </w:r>
      <w:r>
        <w:t xml:space="preserve"> </w:t>
      </w:r>
      <w:r>
        <w:t xml:space="preserve">(New Haven: Yale University Press, 1996), and Roderick MacFarquhar and Michael Schoenhals,</w:t>
      </w:r>
      <w:r>
        <w:t xml:space="preserve"> </w:t>
      </w:r>
      <w:r>
        <w:rPr>
          <w:i/>
          <w:iCs/>
        </w:rPr>
        <w:t xml:space="preserve">Mao’s Last Revolution</w:t>
      </w:r>
      <w:r>
        <w:t xml:space="preserve"> </w:t>
      </w:r>
      <w:r>
        <w:t xml:space="preserve">(Cambridge, MA: Harvard University Press, 2006).</w:t>
      </w:r>
      <w:r>
        <w:t xml:space="preserve"> </w:t>
      </w:r>
      <w:r>
        <w:t xml:space="preserve"># Conclusion: The Incorruptible Manuscript</w:t>
      </w:r>
    </w:p>
  </w:footnote>
  <w:footnote w:id="33">
    <w:p>
      <w:pPr>
        <w:pStyle w:val="FootnoteText"/>
      </w:pPr>
      <w:r>
        <w:rPr>
          <w:rStyle w:val="FootnoteReference"/>
        </w:rPr>
        <w:footnoteRef/>
      </w:r>
      <w:r>
        <w:t xml:space="preserve"> </w:t>
      </w:r>
      <w:r>
        <w:t xml:space="preserve">The reconstruction of Nabataean and early Arab desert navigation, the</w:t>
      </w:r>
      <w:r>
        <w:t xml:space="preserve"> </w:t>
      </w:r>
      <w:r>
        <w:rPr>
          <w:i/>
          <w:iCs/>
        </w:rPr>
        <w:t xml:space="preserve">qiyās</w:t>
      </w:r>
      <w:r>
        <w:t xml:space="preserve"> </w:t>
      </w:r>
      <w:r>
        <w:t xml:space="preserve">measurement of stellar altitude in finger-widths (</w:t>
      </w:r>
      <w:r>
        <w:rPr>
          <w:i/>
          <w:iCs/>
        </w:rPr>
        <w:t xml:space="preserve">iṣbaʿ</w:t>
      </w:r>
      <w:r>
        <w:t xml:space="preserve">), and the use of metered poetry to pace and count a caravan’s steps, is developed by the independent researcher Dan Gibson, drawing on the surviving Arab navigational literature, especially the fifteenth-century pilot Aḥmad ibn Mājid’s</w:t>
      </w:r>
      <w:r>
        <w:t xml:space="preserve"> </w:t>
      </w:r>
      <w:r>
        <w:rPr>
          <w:i/>
          <w:iCs/>
        </w:rPr>
        <w:t xml:space="preserve">Kitāb al-Fawāʾid</w:t>
      </w:r>
      <w:r>
        <w:t xml:space="preserve">, translated by G. R. Tibbetts as</w:t>
      </w:r>
      <w:r>
        <w:t xml:space="preserve"> </w:t>
      </w:r>
      <w:r>
        <w:rPr>
          <w:i/>
          <w:iCs/>
        </w:rPr>
        <w:t xml:space="preserve">Arab Navigation in the Indian Ocean before the Coming of the Portuguese</w:t>
      </w:r>
      <w:r>
        <w:t xml:space="preserve"> </w:t>
      </w:r>
      <w:r>
        <w:t xml:space="preserve">(London: Royal Asiatic Society, 1981). Pliny the Elder’s figure for the incense road, 2,437,500 steps from Timna to Gaza, is in</w:t>
      </w:r>
      <w:r>
        <w:t xml:space="preserve"> </w:t>
      </w:r>
      <w:r>
        <w:rPr>
          <w:i/>
          <w:iCs/>
        </w:rPr>
        <w:t xml:space="preserve">Natural History</w:t>
      </w:r>
      <w:r>
        <w:t xml:space="preserve"> </w:t>
      </w:r>
      <w:r>
        <w:t xml:space="preserve">12.32. Gibson’s larger body of work on the Nabataeans is uneven and some of his more sweeping claims (particularly about early Islamic sacred geography) are contested; the narrow point used here, that meter can encode distance, and that this encoding is invisible to a listener who attends only to the words, stands independently of those debates and rests on the plain testimony of Pliny and the navigational manuals.</w:t>
      </w:r>
    </w:p>
  </w:footnote>
  <w:footnote w:id="34">
    <w:p>
      <w:pPr>
        <w:pStyle w:val="FootnoteText"/>
      </w:pPr>
      <w:r>
        <w:rPr>
          <w:rStyle w:val="FootnoteReference"/>
        </w:rPr>
        <w:footnoteRef/>
      </w:r>
      <w:r>
        <w:t xml:space="preserve"> </w:t>
      </w:r>
      <w:r>
        <w:t xml:space="preserve">The durability of melodic memory relative to verbal memory is well documented in cognitive neuroscience. Séverine Samson and Robert J. Zatorre,</w:t>
      </w:r>
      <w:r>
        <w:t xml:space="preserve"> </w:t>
      </w:r>
      <w:r>
        <w:t xml:space="preserve">“Melodic and Harmonic Discrimination Following Unilateral Cerebral Excision,”</w:t>
      </w:r>
      <w:r>
        <w:t xml:space="preserve"> </w:t>
      </w:r>
      <w:r>
        <w:rPr>
          <w:i/>
          <w:iCs/>
        </w:rPr>
        <w:t xml:space="preserve">Brain and Language</w:t>
      </w:r>
      <w:r>
        <w:t xml:space="preserve"> </w:t>
      </w:r>
      <w:r>
        <w:t xml:space="preserve">45, no. 2 (1994): 284–301, demonstrated that melodic processing engages neural systems partially independent of those used for language. More striking is the clinical evidence from Alzheimer’s patients, who frequently retain the ability to recognize and sing familiar melodies long after verbal memory has deteriorated. See Aline Moussard et al.,</w:t>
      </w:r>
      <w:r>
        <w:t xml:space="preserve"> </w:t>
      </w:r>
      <w:r>
        <w:t xml:space="preserve">“Music as a Mnemonic to Learn Gesture Sequences in Normal Aging and Alzheimer’s Disease,”</w:t>
      </w:r>
      <w:r>
        <w:t xml:space="preserve"> </w:t>
      </w:r>
      <w:r>
        <w:rPr>
          <w:i/>
          <w:iCs/>
        </w:rPr>
        <w:t xml:space="preserve">Frontiers in Human Neuroscience</w:t>
      </w:r>
      <w:r>
        <w:t xml:space="preserve"> </w:t>
      </w:r>
      <w:r>
        <w:t xml:space="preserve">8 (2014): 159. The implication is that melody writes to a storage system that degrades later and more slowly than the verbal channel.</w:t>
      </w:r>
    </w:p>
  </w:footnote>
  <w:footnote w:id="35">
    <w:p>
      <w:pPr>
        <w:pStyle w:val="FootnoteText"/>
      </w:pPr>
      <w:r>
        <w:rPr>
          <w:rStyle w:val="FootnoteReference"/>
        </w:rPr>
        <w:footnoteRef/>
      </w:r>
      <w:r>
        <w:t xml:space="preserve"> </w:t>
      </w:r>
      <w:r>
        <w:t xml:space="preserve">Howard Eichenbaum,</w:t>
      </w:r>
      <w:r>
        <w:t xml:space="preserve"> </w:t>
      </w:r>
      <w:r>
        <w:t xml:space="preserve">“Time Cells in the Hippocampus: A New Dimension for Mapping Memories,”</w:t>
      </w:r>
      <w:r>
        <w:t xml:space="preserve"> </w:t>
      </w:r>
      <w:r>
        <w:rPr>
          <w:i/>
          <w:iCs/>
        </w:rPr>
        <w:t xml:space="preserve">Nature Reviews Neuroscience</w:t>
      </w:r>
      <w:r>
        <w:t xml:space="preserve"> </w:t>
      </w:r>
      <w:r>
        <w:t xml:space="preserve">15, no. 10 (2014): 732–744. Eichenbaum’s laboratory discovered</w:t>
      </w:r>
      <w:r>
        <w:t xml:space="preserve"> </w:t>
      </w:r>
      <w:r>
        <w:t xml:space="preserve">“time cells”</w:t>
      </w:r>
      <w:r>
        <w:t xml:space="preserve"> </w:t>
      </w:r>
      <w:r>
        <w:t xml:space="preserve">in the hippocampus that fire at specific moments during temporal sequences, directly analogous to the place cells that fire at specific locations in physical space (see note 16). The implication is that the hippocampus maps any structured sequential experience, not only physical geometry. See also Petr Janata et al.,</w:t>
      </w:r>
      <w:r>
        <w:t xml:space="preserve"> </w:t>
      </w:r>
      <w:r>
        <w:t xml:space="preserve">“The Cortical Topography of Tonal Structures Underlying Western Music,”</w:t>
      </w:r>
      <w:r>
        <w:t xml:space="preserve"> </w:t>
      </w:r>
      <w:r>
        <w:rPr>
          <w:i/>
          <w:iCs/>
        </w:rPr>
        <w:t xml:space="preserve">Science</w:t>
      </w:r>
      <w:r>
        <w:t xml:space="preserve"> </w:t>
      </w:r>
      <w:r>
        <w:t xml:space="preserve">298, no. 5601 (2002): 2167–2170, which demonstrated that the brain constructs tonotopic maps tracking the movement of music through tonal space: spatial representations of a non-spatial domain.</w:t>
      </w:r>
    </w:p>
  </w:footnote>
  <w:footnote w:id="36">
    <w:p>
      <w:pPr>
        <w:pStyle w:val="FootnoteText"/>
      </w:pPr>
      <w:r>
        <w:rPr>
          <w:rStyle w:val="FootnoteReference"/>
        </w:rPr>
        <w:footnoteRef/>
      </w:r>
      <w:r>
        <w:t xml:space="preserve"> </w:t>
      </w:r>
      <w:r>
        <w:t xml:space="preserve">Adam Crabtree,</w:t>
      </w:r>
      <w:r>
        <w:t xml:space="preserve"> </w:t>
      </w:r>
      <w:r>
        <w:rPr>
          <w:i/>
          <w:iCs/>
        </w:rPr>
        <w:t xml:space="preserve">Trance Zero: Breaking the Spell of Conformity</w:t>
      </w:r>
      <w:r>
        <w:t xml:space="preserve"> </w:t>
      </w:r>
      <w:r>
        <w:t xml:space="preserve">(Toronto: Somerville House, 1997). Crabtree’s broader work on dissociative and trance states, including</w:t>
      </w:r>
      <w:r>
        <w:t xml:space="preserve"> </w:t>
      </w:r>
      <w:r>
        <w:rPr>
          <w:i/>
          <w:iCs/>
        </w:rPr>
        <w:t xml:space="preserve">From Mesmer to Freud: Magnetic Sleep and the Roots of Psychological Healing</w:t>
      </w:r>
      <w:r>
        <w:t xml:space="preserve"> </w:t>
      </w:r>
      <w:r>
        <w:t xml:space="preserve">(New Haven: Yale University Press, 1993), traces the clinical lineage of state-dependent phenomena. The observation that memory retrieval is easiest from the encoding state recurs across the literature on hypnosis and dissociation.</w:t>
      </w:r>
    </w:p>
  </w:footnote>
  <w:footnote w:id="37">
    <w:p>
      <w:pPr>
        <w:pStyle w:val="FootnoteText"/>
      </w:pPr>
      <w:r>
        <w:rPr>
          <w:rStyle w:val="FootnoteReference"/>
        </w:rPr>
        <w:footnoteRef/>
      </w:r>
      <w:r>
        <w:t xml:space="preserve"> </w:t>
      </w:r>
      <w:r>
        <w:t xml:space="preserve">The experimental literature on state-dependent memory begins with Donald Overton,</w:t>
      </w:r>
      <w:r>
        <w:t xml:space="preserve"> </w:t>
      </w:r>
      <w:r>
        <w:t xml:space="preserve">“State-Dependent or</w:t>
      </w:r>
      <w:r>
        <w:t xml:space="preserve"> </w:t>
      </w:r>
      <w:r>
        <w:t xml:space="preserve">‘Dissociated’</w:t>
      </w:r>
      <w:r>
        <w:t xml:space="preserve"> </w:t>
      </w:r>
      <w:r>
        <w:t xml:space="preserve">Learning Produced with Pentobarbital,”</w:t>
      </w:r>
      <w:r>
        <w:t xml:space="preserve"> </w:t>
      </w:r>
      <w:r>
        <w:rPr>
          <w:i/>
          <w:iCs/>
        </w:rPr>
        <w:t xml:space="preserve">Journal of Comparative and Physiological Psychology</w:t>
      </w:r>
      <w:r>
        <w:t xml:space="preserve"> </w:t>
      </w:r>
      <w:r>
        <w:t xml:space="preserve">57, no. 1 (1964): 3–12, and has been extended to mood states by Gordon Bower,</w:t>
      </w:r>
      <w:r>
        <w:t xml:space="preserve"> </w:t>
      </w:r>
      <w:r>
        <w:t xml:space="preserve">“Mood and Memory,”</w:t>
      </w:r>
      <w:r>
        <w:t xml:space="preserve"> </w:t>
      </w:r>
      <w:r>
        <w:rPr>
          <w:i/>
          <w:iCs/>
        </w:rPr>
        <w:t xml:space="preserve">American Psychologist</w:t>
      </w:r>
      <w:r>
        <w:t xml:space="preserve"> </w:t>
      </w:r>
      <w:r>
        <w:t xml:space="preserve">36, no. 2 (1981): 129–148. The core finding is robust: information encoded in one physiological or emotional state is more readily retrieved when the subject returns to that state. The effect is strongest with the most distinctive states, which is why pharmacologically induced states produce the most dramatic state-dependent effects.</w:t>
      </w:r>
      <w:r>
        <w:t xml:space="preserve"> </w:t>
      </w:r>
      <w:r>
        <w:t xml:space="preserve"># Chapter 2: The Scroll That Doesn’t Change</w:t>
      </w:r>
    </w:p>
  </w:footnote>
  <w:footnote w:id="38">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39">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40">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41">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42">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43">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44">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45">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46">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47">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48">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49">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50">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51">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52">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 w:id="53">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54">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55">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56">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57">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58">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59">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60">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61">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62">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63">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64">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65">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66">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67">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68">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69">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70">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71">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72">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73">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74">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75">
    <w:p>
      <w:pPr>
        <w:pStyle w:val="FootnoteText"/>
      </w:pPr>
      <w:r>
        <w:rPr>
          <w:rStyle w:val="FootnoteReference"/>
        </w:rPr>
        <w:footnoteRef/>
      </w:r>
      <w:r>
        <w:t xml:space="preserve"> </w:t>
      </w:r>
      <w:r>
        <w:t xml:space="preserve">Samuel Taylor Coleridge,</w:t>
      </w:r>
      <w:r>
        <w:t xml:space="preserve"> </w:t>
      </w:r>
      <w:r>
        <w:t xml:space="preserve">“Kubla Khan: or, A Vision in a Dream. A Fragment”</w:t>
      </w:r>
      <w:r>
        <w:t xml:space="preserve"> </w:t>
      </w:r>
      <w:r>
        <w:t xml:space="preserve">(composed c. 1797, published 1816). In his prefatory note Coleridge describes composing the poem, some two to three hundred lines, during an opium-induced sleep,</w:t>
      </w:r>
      <w:r>
        <w:t xml:space="preserve"> </w:t>
      </w:r>
      <w:r>
        <w:t xml:space="preserve">“if that indeed can be called composition in which all the images rose up before him as things,”</w:t>
      </w:r>
      <w:r>
        <w:t xml:space="preserve"> </w:t>
      </w:r>
      <w:r>
        <w:t xml:space="preserve">and losing all but a fragment when he was</w:t>
      </w:r>
      <w:r>
        <w:t xml:space="preserve"> </w:t>
      </w:r>
      <w:r>
        <w:t xml:space="preserve">“called out by a person on business from Porlock”</w:t>
      </w:r>
      <w:r>
        <w:t xml:space="preserve"> </w:t>
      </w:r>
      <w:r>
        <w:t xml:space="preserve">and detained above an hour, after which the vision had dissolved. The account is itself literary and much debated, but its value here is as a first-person report of state-dependent access: content available whole from within a state and irrecoverable once the state lapses.</w:t>
      </w:r>
      <w:r>
        <w:t xml:space="preserve"> </w:t>
      </w:r>
      <w:r>
        <w:t xml:space="preserve">“The Rime of the Ancient Mariner”</w:t>
      </w:r>
      <w:r>
        <w:t xml:space="preserve"> </w:t>
      </w:r>
      <w:r>
        <w:t xml:space="preserve">(1798) thematizes the same receptive compulsion, the Mariner holds the Wedding-Guest with his</w:t>
      </w:r>
      <w:r>
        <w:t xml:space="preserve"> </w:t>
      </w:r>
      <w:r>
        <w:t xml:space="preserve">“glittering eye”</w:t>
      </w:r>
      <w:r>
        <w:t xml:space="preserve"> </w:t>
      </w:r>
      <w:r>
        <w:t xml:space="preserve">so that the listener</w:t>
      </w:r>
      <w:r>
        <w:t xml:space="preserve"> </w:t>
      </w:r>
      <w:r>
        <w:t xml:space="preserve">“cannot choose but hear.”</w:t>
      </w:r>
    </w:p>
  </w:footnote>
  <w:footnote w:id="76">
    <w:p>
      <w:pPr>
        <w:pStyle w:val="FootnoteText"/>
      </w:pPr>
      <w:r>
        <w:rPr>
          <w:rStyle w:val="FootnoteReference"/>
        </w:rPr>
        <w:footnoteRef/>
      </w:r>
      <w:r>
        <w:t xml:space="preserve"> </w:t>
      </w:r>
      <w:r>
        <w:t xml:space="preserve">On the delivery of</w:t>
      </w:r>
      <w:r>
        <w:t xml:space="preserve"> </w:t>
      </w:r>
      <w:r>
        <w:t xml:space="preserve">“Sinners in the Hands of an Angry God”</w:t>
      </w:r>
      <w:r>
        <w:t xml:space="preserve"> </w:t>
      </w:r>
      <w:r>
        <w:t xml:space="preserve">(Enfield, Connecticut, July 8, 1741) and the congregation’s reaction, see the eyewitness diary of the Rev. Stephen Williams and the account in George Marsden,</w:t>
      </w:r>
      <w:r>
        <w:t xml:space="preserve"> </w:t>
      </w:r>
      <w:r>
        <w:rPr>
          <w:i/>
          <w:iCs/>
        </w:rPr>
        <w:t xml:space="preserve">Jonathan Edwards: A Life</w:t>
      </w:r>
      <w:r>
        <w:t xml:space="preserve"> </w:t>
      </w:r>
      <w:r>
        <w:t xml:space="preserve">(New Haven: Yale University Press, 2003), chapter 13. Contemporaries describe Edwards reading from his manuscript in a calm, level voice, with little gesture; the</w:t>
      </w:r>
      <w:r>
        <w:t xml:space="preserve"> </w:t>
      </w:r>
      <w:r>
        <w:rPr>
          <w:i/>
          <w:iCs/>
        </w:rPr>
        <w:t xml:space="preserve">Norton Anthology of American Literature</w:t>
      </w:r>
      <w:r>
        <w:t xml:space="preserve"> </w:t>
      </w:r>
      <w:r>
        <w:t xml:space="preserve">notes he read</w:t>
      </w:r>
      <w:r>
        <w:t xml:space="preserve"> </w:t>
      </w:r>
      <w:r>
        <w:t xml:space="preserve">“in a level voice”</w:t>
      </w:r>
      <w:r>
        <w:t xml:space="preserve"> </w:t>
      </w:r>
      <w:r>
        <w:t xml:space="preserve">while the congregation was overcome. The popular characterization of a flat</w:t>
      </w:r>
      <w:r>
        <w:t xml:space="preserve"> </w:t>
      </w:r>
      <w:r>
        <w:t xml:space="preserve">“monotone”</w:t>
      </w:r>
      <w:r>
        <w:t xml:space="preserve"> </w:t>
      </w:r>
      <w:r>
        <w:t xml:space="preserve">is somewhat exaggerated in the later tradition, see Jim Ehrhard,</w:t>
      </w:r>
      <w:r>
        <w:t xml:space="preserve"> </w:t>
      </w:r>
      <w:r>
        <w:t xml:space="preserve">“A Critical Analysis of the Tradition of Jonathan Edwards as a Manuscript Preacher,”</w:t>
      </w:r>
      <w:r>
        <w:t xml:space="preserve"> </w:t>
      </w:r>
      <w:r>
        <w:rPr>
          <w:i/>
          <w:iCs/>
        </w:rPr>
        <w:t xml:space="preserve">Westminster Theological Journal</w:t>
      </w:r>
      <w:r>
        <w:t xml:space="preserve"> </w:t>
      </w:r>
      <w:r>
        <w:t xml:space="preserve">60 (1998), but the load-bearing point survives the correction: Edwards had no powerful voice and used minimal performance, so the overwhelming affective state produced in the hearers is attributable to the structure and imagery of the language itself rather than to oratorical delivery.</w:t>
      </w:r>
    </w:p>
  </w:footnote>
  <w:footnote w:id="77">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78">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79">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80">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81">
    <w:p>
      <w:pPr>
        <w:pStyle w:val="FootnoteText"/>
      </w:pPr>
      <w:r>
        <w:rPr>
          <w:rStyle w:val="FootnoteReference"/>
        </w:rPr>
        <w:footnoteRef/>
      </w:r>
      <w:r>
        <w:t xml:space="preserve"> </w:t>
      </w:r>
      <w:r>
        <w:t xml:space="preserve">The residue of error, and its detectability, are discussed in the same literature that documents the transmission’s fidelity. On the recognized errors in the Rigveda</w:t>
      </w:r>
      <w:r>
        <w:t xml:space="preserve"> </w:t>
      </w:r>
      <w:r>
        <w:rPr>
          <w:i/>
          <w:iCs/>
        </w:rPr>
        <w:t xml:space="preserve">padapatha</w:t>
      </w:r>
      <w:r>
        <w:t xml:space="preserve"> </w:t>
      </w:r>
      <w:r>
        <w:t xml:space="preserve">attributed to Śākalya, where the pitch-accent (</w:t>
      </w:r>
      <w:r>
        <w:rPr>
          <w:i/>
          <w:iCs/>
        </w:rPr>
        <w:t xml:space="preserve">svara</w:t>
      </w:r>
      <w:r>
        <w:t xml:space="preserve">) system serves as an independent check that flags a faulty word-division, see the analysis in the</w:t>
      </w:r>
      <w:r>
        <w:t xml:space="preserve"> </w:t>
      </w:r>
      <w:r>
        <w:rPr>
          <w:i/>
          <w:iCs/>
        </w:rPr>
        <w:t xml:space="preserve">Rigveda-Prātiśākhya</w:t>
      </w:r>
      <w:r>
        <w:t xml:space="preserve"> </w:t>
      </w:r>
      <w:r>
        <w:t xml:space="preserve">tradition and the discussion in Witzel,</w:t>
      </w:r>
      <w:r>
        <w:t xml:space="preserve"> </w:t>
      </w:r>
      <w:r>
        <w:t xml:space="preserve">“Vedas and Upanisads,”</w:t>
      </w:r>
      <w:r>
        <w:t xml:space="preserve"> </w:t>
      </w:r>
      <w:r>
        <w:t xml:space="preserve">and in Frits Staal,</w:t>
      </w:r>
      <w:r>
        <w:t xml:space="preserve"> </w:t>
      </w:r>
      <w:r>
        <w:rPr>
          <w:i/>
          <w:iCs/>
        </w:rPr>
        <w:t xml:space="preserve">Rituals and Mantras: Rules Without Meaning</w:t>
      </w:r>
      <w:r>
        <w:t xml:space="preserve"> </w:t>
      </w:r>
      <w:r>
        <w:t xml:space="preserve">(Delhi: Motilal Banarsidass, 1996). On inter-</w:t>
      </w:r>
      <w:r>
        <w:rPr>
          <w:i/>
          <w:iCs/>
        </w:rPr>
        <w:t xml:space="preserve">shakha</w:t>
      </w:r>
      <w:r>
        <w:t xml:space="preserve"> </w:t>
      </w:r>
      <w:r>
        <w:t xml:space="preserve">variation in accent and content, see the comparative work summarized in the</w:t>
      </w:r>
      <w:r>
        <w:t xml:space="preserve"> </w:t>
      </w:r>
      <w:r>
        <w:rPr>
          <w:i/>
          <w:iCs/>
        </w:rPr>
        <w:t xml:space="preserve">Caraṇavyūha</w:t>
      </w:r>
      <w:r>
        <w:t xml:space="preserve"> </w:t>
      </w:r>
      <w:r>
        <w:t xml:space="preserve">literature and modern editions collating recensions. On the Atharvaveda specifically, whose original is reconstructible only by collating the corrupted Śaunakīya and Paippalāda traditions, see the discussion in the editions and Michael Witzel,</w:t>
      </w:r>
      <w:r>
        <w:t xml:space="preserve"> </w:t>
      </w:r>
      <w:r>
        <w:t xml:space="preserve">“The Development of the Vedic Canon and its Schools,”</w:t>
      </w:r>
      <w:r>
        <w:t xml:space="preserve"> </w:t>
      </w:r>
      <w:r>
        <w:t xml:space="preserve">in</w:t>
      </w:r>
      <w:r>
        <w:t xml:space="preserve"> </w:t>
      </w:r>
      <w:r>
        <w:rPr>
          <w:i/>
          <w:iCs/>
        </w:rPr>
        <w:t xml:space="preserve">Inside the Texts, Beyond the Texts</w:t>
      </w:r>
      <w:r>
        <w:t xml:space="preserve">, ed. Michael Witzel (Cambridge, MA: Harvard Oriental Series, 1997). The point for the argument here is structural rather than sectarian: the errors are localizable precisely because the redundancy, multiple recitation modes, the independent accent channel, and multiple geographically separated lineages, makes them stand out.</w:t>
      </w:r>
    </w:p>
  </w:footnote>
  <w:footnote w:id="82">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83">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84">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 w:id="85">
    <w:p>
      <w:pPr>
        <w:pStyle w:val="FootnoteText"/>
      </w:pPr>
      <w:r>
        <w:rPr>
          <w:rStyle w:val="FootnoteReference"/>
        </w:rPr>
        <w:footnoteRef/>
      </w:r>
      <w:r>
        <w:t xml:space="preserve"> </w:t>
      </w:r>
      <w:r>
        <w:t xml:space="preserve">Hebrews 5:14. King James Version:</w:t>
      </w:r>
      <w:r>
        <w:t xml:space="preserve"> </w:t>
      </w:r>
      <w:r>
        <w:t xml:space="preserve">“But strong meat belongeth to them that are of full age, even those who by reason of use have their senses exercised to discern both good and evil.”</w:t>
      </w:r>
      <w:r>
        <w:t xml:space="preserve"> </w:t>
      </w:r>
      <w:r>
        <w:t xml:space="preserve">The Greek:</w:t>
      </w:r>
      <w:r>
        <w:t xml:space="preserve"> </w:t>
      </w:r>
      <w:r>
        <w:rPr>
          <w:i/>
          <w:iCs/>
        </w:rPr>
        <w:t xml:space="preserve">dia tēn hexin ta aisthētēria gegymnasmena echontōn pros diakrisin kalou te kai kakou</w:t>
      </w:r>
      <w:r>
        <w:t xml:space="preserve">. Key terms:</w:t>
      </w:r>
      <w:r>
        <w:t xml:space="preserve"> </w:t>
      </w:r>
      <w:r>
        <w:rPr>
          <w:i/>
          <w:iCs/>
        </w:rPr>
        <w:t xml:space="preserve">hexis</w:t>
      </w:r>
      <w:r>
        <w:t xml:space="preserve">, habit or settled practice (here</w:t>
      </w:r>
      <w:r>
        <w:t xml:space="preserve"> </w:t>
      </w:r>
      <w:r>
        <w:t xml:space="preserve">“by reason of use”</w:t>
      </w:r>
      <w:r>
        <w:t xml:space="preserve">);</w:t>
      </w:r>
      <w:r>
        <w:t xml:space="preserve"> </w:t>
      </w:r>
      <w:r>
        <w:rPr>
          <w:i/>
          <w:iCs/>
        </w:rPr>
        <w:t xml:space="preserve">aisthētēria</w:t>
      </w:r>
      <w:r>
        <w:t xml:space="preserve">, the organs of perception, the senses (the same root gives modern</w:t>
      </w:r>
      <w:r>
        <w:t xml:space="preserve"> </w:t>
      </w:r>
      <w:r>
        <w:t xml:space="preserve">“aesthetic”</w:t>
      </w:r>
      <w:r>
        <w:t xml:space="preserve">);</w:t>
      </w:r>
      <w:r>
        <w:t xml:space="preserve"> </w:t>
      </w:r>
      <w:r>
        <w:rPr>
          <w:i/>
          <w:iCs/>
        </w:rPr>
        <w:t xml:space="preserve">gegymnasmena</w:t>
      </w:r>
      <w:r>
        <w:t xml:space="preserve">, perfect passive participle of</w:t>
      </w:r>
      <w:r>
        <w:t xml:space="preserve"> </w:t>
      </w:r>
      <w:r>
        <w:rPr>
          <w:i/>
          <w:iCs/>
        </w:rPr>
        <w:t xml:space="preserve">gymnazō</w:t>
      </w:r>
      <w:r>
        <w:t xml:space="preserve">,</w:t>
      </w:r>
      <w:r>
        <w:t xml:space="preserve"> </w:t>
      </w:r>
      <w:r>
        <w:t xml:space="preserve">“to train as in athletic exercise”</w:t>
      </w:r>
      <w:r>
        <w:t xml:space="preserve"> </w:t>
      </w:r>
      <w:r>
        <w:t xml:space="preserve">(the root of</w:t>
      </w:r>
      <w:r>
        <w:t xml:space="preserve"> </w:t>
      </w:r>
      <w:r>
        <w:rPr>
          <w:i/>
          <w:iCs/>
        </w:rPr>
        <w:t xml:space="preserve">gymnasium</w:t>
      </w:r>
      <w:r>
        <w:t xml:space="preserve">), the perfect tense marking a completed training whose result persists; and</w:t>
      </w:r>
      <w:r>
        <w:t xml:space="preserve"> </w:t>
      </w:r>
      <w:r>
        <w:rPr>
          <w:i/>
          <w:iCs/>
        </w:rPr>
        <w:t xml:space="preserve">diakrisis</w:t>
      </w:r>
      <w:r>
        <w:t xml:space="preserve">, discernment or the drawing of distinctions. The word rendered</w:t>
      </w:r>
      <w:r>
        <w:t xml:space="preserve"> </w:t>
      </w:r>
      <w:r>
        <w:t xml:space="preserve">“of full age,”</w:t>
      </w:r>
      <w:r>
        <w:t xml:space="preserve"> </w:t>
      </w:r>
      <w:r>
        <w:rPr>
          <w:i/>
          <w:iCs/>
        </w:rPr>
        <w:t xml:space="preserve">teleios</w:t>
      </w:r>
      <w:r>
        <w:t xml:space="preserve">, means mature, complete, brought to its proper end, the same association of trained discernment with maturity that runs through the Kabbalistic forty-year threshold discussed above and in Chapter 3. Standard philological detail is in the commentaries; see, e.g., Paul Ellingworth,</w:t>
      </w:r>
      <w:r>
        <w:t xml:space="preserve"> </w:t>
      </w:r>
      <w:r>
        <w:rPr>
          <w:i/>
          <w:iCs/>
        </w:rPr>
        <w:t xml:space="preserve">The Epistle to the Hebrews</w:t>
      </w:r>
      <w:r>
        <w:t xml:space="preserve">, New International Greek Testament Commentary (Grand Rapids: Eerdmans, 1993), on 5:14.</w:t>
      </w:r>
    </w:p>
  </w:footnote>
  <w:footnote w:id="86">
    <w:p>
      <w:pPr>
        <w:pStyle w:val="FootnoteText"/>
      </w:pPr>
      <w:r>
        <w:rPr>
          <w:rStyle w:val="FootnoteReference"/>
        </w:rPr>
        <w:footnoteRef/>
      </w:r>
      <w:r>
        <w:t xml:space="preserve"> </w:t>
      </w:r>
      <w:r>
        <w:t xml:space="preserve">The term</w:t>
      </w:r>
      <w:r>
        <w:t xml:space="preserve"> </w:t>
      </w:r>
      <w:r>
        <w:t xml:space="preserve">“Matthew effect”</w:t>
      </w:r>
      <w:r>
        <w:t xml:space="preserve"> </w:t>
      </w:r>
      <w:r>
        <w:t xml:space="preserve">was introduced into the social sciences by Robert K. Merton,</w:t>
      </w:r>
      <w:r>
        <w:t xml:space="preserve"> </w:t>
      </w:r>
      <w:r>
        <w:t xml:space="preserve">“The Matthew Effect in Science,”</w:t>
      </w:r>
      <w:r>
        <w:t xml:space="preserve"> </w:t>
      </w:r>
      <w:r>
        <w:rPr>
          <w:i/>
          <w:iCs/>
        </w:rPr>
        <w:t xml:space="preserve">Science</w:t>
      </w:r>
      <w:r>
        <w:t xml:space="preserve"> </w:t>
      </w:r>
      <w:r>
        <w:t xml:space="preserve">159, no. 3810 (1968): 56–63, naming it from Matthew 25:29 (</w:t>
      </w:r>
      <w:r>
        <w:t xml:space="preserve">“For unto every one that hath shall be given …”</w:t>
      </w:r>
      <w:r>
        <w:t xml:space="preserve">). Its application to cognitive and educational development, early advantages in skill compounding into progressively larger gaps, was developed influentially by Keith E. Stanovich,</w:t>
      </w:r>
      <w:r>
        <w:t xml:space="preserve"> </w:t>
      </w:r>
      <w:r>
        <w:t xml:space="preserve">“Matthew Effects in Reading: Some Consequences of Individual Differences in the Acquisition of Literacy,”</w:t>
      </w:r>
      <w:r>
        <w:t xml:space="preserve"> </w:t>
      </w:r>
      <w:r>
        <w:rPr>
          <w:i/>
          <w:iCs/>
        </w:rPr>
        <w:t xml:space="preserve">Reading Research Quarterly</w:t>
      </w:r>
      <w:r>
        <w:t xml:space="preserve"> </w:t>
      </w:r>
      <w:r>
        <w:t xml:space="preserve">21, no. 4 (1986): 360–407. The claim in the text is the modest and well-supported one: that a higher learning rate compounds, because acquired skill accelerates the acquisition of further skill. The stronger folk claim that a single test score straightforwardly measures or fixes this rate is not needed for the argument and is not asserted here; the point is only that trained discrimination builds on itself.</w:t>
      </w:r>
    </w:p>
  </w:footnote>
  <w:footnote w:id="87">
    <w:p>
      <w:pPr>
        <w:pStyle w:val="FootnoteText"/>
      </w:pPr>
      <w:r>
        <w:rPr>
          <w:rStyle w:val="FootnoteReference"/>
        </w:rPr>
        <w:footnoteRef/>
      </w:r>
      <w:r>
        <w:t xml:space="preserve"> </w:t>
      </w:r>
      <w:r>
        <w:t xml:space="preserve">Kurt Vonnegut,</w:t>
      </w:r>
      <w:r>
        <w:t xml:space="preserve"> </w:t>
      </w:r>
      <w:r>
        <w:t xml:space="preserve">“Harrison Bergeron,”</w:t>
      </w:r>
      <w:r>
        <w:t xml:space="preserve"> </w:t>
      </w:r>
      <w:r>
        <w:t xml:space="preserve">first published in</w:t>
      </w:r>
      <w:r>
        <w:t xml:space="preserve"> </w:t>
      </w:r>
      <w:r>
        <w:rPr>
          <w:i/>
          <w:iCs/>
        </w:rPr>
        <w:t xml:space="preserve">The Magazine of Fantasy and Science Fiction</w:t>
      </w:r>
      <w:r>
        <w:t xml:space="preserve"> </w:t>
      </w:r>
      <w:r>
        <w:t xml:space="preserve">(October 1961), collected in</w:t>
      </w:r>
      <w:r>
        <w:t xml:space="preserve"> </w:t>
      </w:r>
      <w:r>
        <w:rPr>
          <w:i/>
          <w:iCs/>
        </w:rPr>
        <w:t xml:space="preserve">Welcome to the Monkey House</w:t>
      </w:r>
      <w:r>
        <w:t xml:space="preserve"> </w:t>
      </w:r>
      <w:r>
        <w:t xml:space="preserve">(1968). In the story, a future United States enforces total equality by handicapping the gifted, weights on the strong and graceful, distorting noises piped into the ears of the intelligent to prevent sustained thought, so that no one may excel. It is the sharpest available image of leveling by suppression: equality achieved not by raising the floor but by lowering every ceiling to meet it. The historical instances cited alongside it, the Khmer Rouge’s targeting of the educated (1975–1979) and the</w:t>
      </w:r>
      <w:r>
        <w:t xml:space="preserve"> </w:t>
      </w:r>
      <w:r>
        <w:t xml:space="preserve">“sent-down youth”</w:t>
      </w:r>
      <w:r>
        <w:t xml:space="preserve"> </w:t>
      </w:r>
      <w:r>
        <w:t xml:space="preserve">and persecution of intellectuals during China’s Cultural Revolution (1966–1976), are documented in the standard histories; see, e.g., Ben Kiernan,</w:t>
      </w:r>
      <w:r>
        <w:t xml:space="preserve"> </w:t>
      </w:r>
      <w:r>
        <w:rPr>
          <w:i/>
          <w:iCs/>
        </w:rPr>
        <w:t xml:space="preserve">The Pol Pot Regime</w:t>
      </w:r>
      <w:r>
        <w:t xml:space="preserve"> </w:t>
      </w:r>
      <w:r>
        <w:t xml:space="preserve">(New Haven: Yale University Press, 1996), and Roderick MacFarquhar and Michael Schoenhals,</w:t>
      </w:r>
      <w:r>
        <w:t xml:space="preserve"> </w:t>
      </w:r>
      <w:r>
        <w:rPr>
          <w:i/>
          <w:iCs/>
        </w:rPr>
        <w:t xml:space="preserve">Mao’s Last Revolution</w:t>
      </w:r>
      <w:r>
        <w:t xml:space="preserve"> </w:t>
      </w:r>
      <w:r>
        <w:t xml:space="preserve">(Cambridge, MA: Harvard University Press, 2006).</w:t>
      </w:r>
      <w:r>
        <w:t xml:space="preserve"> </w:t>
      </w:r>
      <w:r>
        <w:t xml:space="preserve"># Conclusion: The Incorruptible Manuscript</w:t>
      </w:r>
    </w:p>
  </w:footnote>
  <w:footnote w:id="88">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89">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90">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91">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92">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93">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94">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95">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96">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97">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98">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99">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100">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101">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102">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 w:id="103">
    <w:p>
      <w:pPr>
        <w:pStyle w:val="FootnoteText"/>
      </w:pPr>
      <w:r>
        <w:rPr>
          <w:rStyle w:val="FootnoteReference"/>
        </w:rPr>
        <w:footnoteRef/>
      </w:r>
      <w:r>
        <w:t xml:space="preserve"> </w:t>
      </w:r>
      <w:r>
        <w:t xml:space="preserve">Hebrews 5:14. King James Version:</w:t>
      </w:r>
      <w:r>
        <w:t xml:space="preserve"> </w:t>
      </w:r>
      <w:r>
        <w:t xml:space="preserve">“But strong meat belongeth to them that are of full age, even those who by reason of use have their senses exercised to discern both good and evil.”</w:t>
      </w:r>
      <w:r>
        <w:t xml:space="preserve"> </w:t>
      </w:r>
      <w:r>
        <w:t xml:space="preserve">The Greek:</w:t>
      </w:r>
      <w:r>
        <w:t xml:space="preserve"> </w:t>
      </w:r>
      <w:r>
        <w:rPr>
          <w:i/>
          <w:iCs/>
        </w:rPr>
        <w:t xml:space="preserve">dia tēn hexin ta aisthētēria gegymnasmena echontōn pros diakrisin kalou te kai kakou</w:t>
      </w:r>
      <w:r>
        <w:t xml:space="preserve">. Key terms:</w:t>
      </w:r>
      <w:r>
        <w:t xml:space="preserve"> </w:t>
      </w:r>
      <w:r>
        <w:rPr>
          <w:i/>
          <w:iCs/>
        </w:rPr>
        <w:t xml:space="preserve">hexis</w:t>
      </w:r>
      <w:r>
        <w:t xml:space="preserve">, habit or settled practice (here</w:t>
      </w:r>
      <w:r>
        <w:t xml:space="preserve"> </w:t>
      </w:r>
      <w:r>
        <w:t xml:space="preserve">“by reason of use”</w:t>
      </w:r>
      <w:r>
        <w:t xml:space="preserve">);</w:t>
      </w:r>
      <w:r>
        <w:t xml:space="preserve"> </w:t>
      </w:r>
      <w:r>
        <w:rPr>
          <w:i/>
          <w:iCs/>
        </w:rPr>
        <w:t xml:space="preserve">aisthētēria</w:t>
      </w:r>
      <w:r>
        <w:t xml:space="preserve">, the organs of perception, the senses (the same root gives modern</w:t>
      </w:r>
      <w:r>
        <w:t xml:space="preserve"> </w:t>
      </w:r>
      <w:r>
        <w:t xml:space="preserve">“aesthetic”</w:t>
      </w:r>
      <w:r>
        <w:t xml:space="preserve">);</w:t>
      </w:r>
      <w:r>
        <w:t xml:space="preserve"> </w:t>
      </w:r>
      <w:r>
        <w:rPr>
          <w:i/>
          <w:iCs/>
        </w:rPr>
        <w:t xml:space="preserve">gegymnasmena</w:t>
      </w:r>
      <w:r>
        <w:t xml:space="preserve">, perfect passive participle of</w:t>
      </w:r>
      <w:r>
        <w:t xml:space="preserve"> </w:t>
      </w:r>
      <w:r>
        <w:rPr>
          <w:i/>
          <w:iCs/>
        </w:rPr>
        <w:t xml:space="preserve">gymnazō</w:t>
      </w:r>
      <w:r>
        <w:t xml:space="preserve">,</w:t>
      </w:r>
      <w:r>
        <w:t xml:space="preserve"> </w:t>
      </w:r>
      <w:r>
        <w:t xml:space="preserve">“to train as in athletic exercise”</w:t>
      </w:r>
      <w:r>
        <w:t xml:space="preserve"> </w:t>
      </w:r>
      <w:r>
        <w:t xml:space="preserve">(the root of</w:t>
      </w:r>
      <w:r>
        <w:t xml:space="preserve"> </w:t>
      </w:r>
      <w:r>
        <w:rPr>
          <w:i/>
          <w:iCs/>
        </w:rPr>
        <w:t xml:space="preserve">gymnasium</w:t>
      </w:r>
      <w:r>
        <w:t xml:space="preserve">), the perfect tense marking a completed training whose result persists; and</w:t>
      </w:r>
      <w:r>
        <w:t xml:space="preserve"> </w:t>
      </w:r>
      <w:r>
        <w:rPr>
          <w:i/>
          <w:iCs/>
        </w:rPr>
        <w:t xml:space="preserve">diakrisis</w:t>
      </w:r>
      <w:r>
        <w:t xml:space="preserve">, discernment or the drawing of distinctions. The word rendered</w:t>
      </w:r>
      <w:r>
        <w:t xml:space="preserve"> </w:t>
      </w:r>
      <w:r>
        <w:t xml:space="preserve">“of full age,”</w:t>
      </w:r>
      <w:r>
        <w:t xml:space="preserve"> </w:t>
      </w:r>
      <w:r>
        <w:rPr>
          <w:i/>
          <w:iCs/>
        </w:rPr>
        <w:t xml:space="preserve">teleios</w:t>
      </w:r>
      <w:r>
        <w:t xml:space="preserve">, means mature, complete, brought to its proper end, the same association of trained discernment with maturity that runs through the Kabbalistic forty-year threshold discussed above and in Chapter 3. Standard philological detail is in the commentaries; see, e.g., Paul Ellingworth,</w:t>
      </w:r>
      <w:r>
        <w:t xml:space="preserve"> </w:t>
      </w:r>
      <w:r>
        <w:rPr>
          <w:i/>
          <w:iCs/>
        </w:rPr>
        <w:t xml:space="preserve">The Epistle to the Hebrews</w:t>
      </w:r>
      <w:r>
        <w:t xml:space="preserve">, New International Greek Testament Commentary (Grand Rapids: Eerdmans, 1993), on 5:14.</w:t>
      </w:r>
    </w:p>
  </w:footnote>
  <w:footnote w:id="104">
    <w:p>
      <w:pPr>
        <w:pStyle w:val="FootnoteText"/>
      </w:pPr>
      <w:r>
        <w:rPr>
          <w:rStyle w:val="FootnoteReference"/>
        </w:rPr>
        <w:footnoteRef/>
      </w:r>
      <w:r>
        <w:t xml:space="preserve"> </w:t>
      </w:r>
      <w:r>
        <w:t xml:space="preserve">The term</w:t>
      </w:r>
      <w:r>
        <w:t xml:space="preserve"> </w:t>
      </w:r>
      <w:r>
        <w:t xml:space="preserve">“Matthew effect”</w:t>
      </w:r>
      <w:r>
        <w:t xml:space="preserve"> </w:t>
      </w:r>
      <w:r>
        <w:t xml:space="preserve">was introduced into the social sciences by Robert K. Merton,</w:t>
      </w:r>
      <w:r>
        <w:t xml:space="preserve"> </w:t>
      </w:r>
      <w:r>
        <w:t xml:space="preserve">“The Matthew Effect in Science,”</w:t>
      </w:r>
      <w:r>
        <w:t xml:space="preserve"> </w:t>
      </w:r>
      <w:r>
        <w:rPr>
          <w:i/>
          <w:iCs/>
        </w:rPr>
        <w:t xml:space="preserve">Science</w:t>
      </w:r>
      <w:r>
        <w:t xml:space="preserve"> </w:t>
      </w:r>
      <w:r>
        <w:t xml:space="preserve">159, no. 3810 (1968): 56–63, naming it from Matthew 25:29 (</w:t>
      </w:r>
      <w:r>
        <w:t xml:space="preserve">“For unto every one that hath shall be given …”</w:t>
      </w:r>
      <w:r>
        <w:t xml:space="preserve">). Its application to cognitive and educational development, early advantages in skill compounding into progressively larger gaps, was developed influentially by Keith E. Stanovich,</w:t>
      </w:r>
      <w:r>
        <w:t xml:space="preserve"> </w:t>
      </w:r>
      <w:r>
        <w:t xml:space="preserve">“Matthew Effects in Reading: Some Consequences of Individual Differences in the Acquisition of Literacy,”</w:t>
      </w:r>
      <w:r>
        <w:t xml:space="preserve"> </w:t>
      </w:r>
      <w:r>
        <w:rPr>
          <w:i/>
          <w:iCs/>
        </w:rPr>
        <w:t xml:space="preserve">Reading Research Quarterly</w:t>
      </w:r>
      <w:r>
        <w:t xml:space="preserve"> </w:t>
      </w:r>
      <w:r>
        <w:t xml:space="preserve">21, no. 4 (1986): 360–407. The claim in the text is the modest and well-supported one: that a higher learning rate compounds, because acquired skill accelerates the acquisition of further skill. The stronger folk claim that a single test score straightforwardly measures or fixes this rate is not needed for the argument and is not asserted here; the point is only that trained discrimination builds on itself.</w:t>
      </w:r>
    </w:p>
  </w:footnote>
  <w:footnote w:id="105">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106">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107">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108">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109">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110">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111">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112">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 w:id="113">
    <w:p>
      <w:pPr>
        <w:pStyle w:val="FootnoteText"/>
      </w:pPr>
      <w:r>
        <w:rPr>
          <w:rStyle w:val="FootnoteReference"/>
        </w:rPr>
        <w:footnoteRef/>
      </w:r>
      <w:r>
        <w:t xml:space="preserve"> </w:t>
      </w:r>
      <w:r>
        <w:t xml:space="preserve">Hebrews 5:14. King James Version:</w:t>
      </w:r>
      <w:r>
        <w:t xml:space="preserve"> </w:t>
      </w:r>
      <w:r>
        <w:t xml:space="preserve">“But strong meat belongeth to them that are of full age, even those who by reason of use have their senses exercised to discern both good and evil.”</w:t>
      </w:r>
      <w:r>
        <w:t xml:space="preserve"> </w:t>
      </w:r>
      <w:r>
        <w:t xml:space="preserve">The Greek:</w:t>
      </w:r>
      <w:r>
        <w:t xml:space="preserve"> </w:t>
      </w:r>
      <w:r>
        <w:rPr>
          <w:i/>
          <w:iCs/>
        </w:rPr>
        <w:t xml:space="preserve">dia tēn hexin ta aisthētēria gegymnasmena echontōn pros diakrisin kalou te kai kakou</w:t>
      </w:r>
      <w:r>
        <w:t xml:space="preserve">. Key terms:</w:t>
      </w:r>
      <w:r>
        <w:t xml:space="preserve"> </w:t>
      </w:r>
      <w:r>
        <w:rPr>
          <w:i/>
          <w:iCs/>
        </w:rPr>
        <w:t xml:space="preserve">hexis</w:t>
      </w:r>
      <w:r>
        <w:t xml:space="preserve">, habit or settled practice (here</w:t>
      </w:r>
      <w:r>
        <w:t xml:space="preserve"> </w:t>
      </w:r>
      <w:r>
        <w:t xml:space="preserve">“by reason of use”</w:t>
      </w:r>
      <w:r>
        <w:t xml:space="preserve">);</w:t>
      </w:r>
      <w:r>
        <w:t xml:space="preserve"> </w:t>
      </w:r>
      <w:r>
        <w:rPr>
          <w:i/>
          <w:iCs/>
        </w:rPr>
        <w:t xml:space="preserve">aisthētēria</w:t>
      </w:r>
      <w:r>
        <w:t xml:space="preserve">, the organs of perception, the senses (the same root gives modern</w:t>
      </w:r>
      <w:r>
        <w:t xml:space="preserve"> </w:t>
      </w:r>
      <w:r>
        <w:t xml:space="preserve">“aesthetic”</w:t>
      </w:r>
      <w:r>
        <w:t xml:space="preserve">);</w:t>
      </w:r>
      <w:r>
        <w:t xml:space="preserve"> </w:t>
      </w:r>
      <w:r>
        <w:rPr>
          <w:i/>
          <w:iCs/>
        </w:rPr>
        <w:t xml:space="preserve">gegymnasmena</w:t>
      </w:r>
      <w:r>
        <w:t xml:space="preserve">, perfect passive participle of</w:t>
      </w:r>
      <w:r>
        <w:t xml:space="preserve"> </w:t>
      </w:r>
      <w:r>
        <w:rPr>
          <w:i/>
          <w:iCs/>
        </w:rPr>
        <w:t xml:space="preserve">gymnazō</w:t>
      </w:r>
      <w:r>
        <w:t xml:space="preserve">,</w:t>
      </w:r>
      <w:r>
        <w:t xml:space="preserve"> </w:t>
      </w:r>
      <w:r>
        <w:t xml:space="preserve">“to train as in athletic exercise”</w:t>
      </w:r>
      <w:r>
        <w:t xml:space="preserve"> </w:t>
      </w:r>
      <w:r>
        <w:t xml:space="preserve">(the root of</w:t>
      </w:r>
      <w:r>
        <w:t xml:space="preserve"> </w:t>
      </w:r>
      <w:r>
        <w:rPr>
          <w:i/>
          <w:iCs/>
        </w:rPr>
        <w:t xml:space="preserve">gymnasium</w:t>
      </w:r>
      <w:r>
        <w:t xml:space="preserve">), the perfect tense marking a completed training whose result persists; and</w:t>
      </w:r>
      <w:r>
        <w:t xml:space="preserve"> </w:t>
      </w:r>
      <w:r>
        <w:rPr>
          <w:i/>
          <w:iCs/>
        </w:rPr>
        <w:t xml:space="preserve">diakrisis</w:t>
      </w:r>
      <w:r>
        <w:t xml:space="preserve">, discernment or the drawing of distinctions. The word rendered</w:t>
      </w:r>
      <w:r>
        <w:t xml:space="preserve"> </w:t>
      </w:r>
      <w:r>
        <w:t xml:space="preserve">“of full age,”</w:t>
      </w:r>
      <w:r>
        <w:t xml:space="preserve"> </w:t>
      </w:r>
      <w:r>
        <w:rPr>
          <w:i/>
          <w:iCs/>
        </w:rPr>
        <w:t xml:space="preserve">teleios</w:t>
      </w:r>
      <w:r>
        <w:t xml:space="preserve">, means mature, complete, brought to its proper end, the same association of trained discernment with maturity that runs through the Kabbalistic forty-year threshold discussed above and in Chapter 3. Standard philological detail is in the commentaries; see, e.g., Paul Ellingworth,</w:t>
      </w:r>
      <w:r>
        <w:t xml:space="preserve"> </w:t>
      </w:r>
      <w:r>
        <w:rPr>
          <w:i/>
          <w:iCs/>
        </w:rPr>
        <w:t xml:space="preserve">The Epistle to the Hebrews</w:t>
      </w:r>
      <w:r>
        <w:t xml:space="preserve">, New International Greek Testament Commentary (Grand Rapids: Eerdmans, 1993), on 5:14.</w:t>
      </w:r>
    </w:p>
  </w:footnote>
  <w:footnote w:id="114">
    <w:p>
      <w:pPr>
        <w:pStyle w:val="FootnoteText"/>
      </w:pPr>
      <w:r>
        <w:rPr>
          <w:rStyle w:val="FootnoteReference"/>
        </w:rPr>
        <w:footnoteRef/>
      </w:r>
      <w:r>
        <w:t xml:space="preserve"> </w:t>
      </w:r>
      <w:r>
        <w:t xml:space="preserve">The term</w:t>
      </w:r>
      <w:r>
        <w:t xml:space="preserve"> </w:t>
      </w:r>
      <w:r>
        <w:t xml:space="preserve">“Matthew effect”</w:t>
      </w:r>
      <w:r>
        <w:t xml:space="preserve"> </w:t>
      </w:r>
      <w:r>
        <w:t xml:space="preserve">was introduced into the social sciences by Robert K. Merton,</w:t>
      </w:r>
      <w:r>
        <w:t xml:space="preserve"> </w:t>
      </w:r>
      <w:r>
        <w:t xml:space="preserve">“The Matthew Effect in Science,”</w:t>
      </w:r>
      <w:r>
        <w:t xml:space="preserve"> </w:t>
      </w:r>
      <w:r>
        <w:rPr>
          <w:i/>
          <w:iCs/>
        </w:rPr>
        <w:t xml:space="preserve">Science</w:t>
      </w:r>
      <w:r>
        <w:t xml:space="preserve"> </w:t>
      </w:r>
      <w:r>
        <w:t xml:space="preserve">159, no. 3810 (1968): 56–63, naming it from Matthew 25:29 (</w:t>
      </w:r>
      <w:r>
        <w:t xml:space="preserve">“For unto every one that hath shall be given …”</w:t>
      </w:r>
      <w:r>
        <w:t xml:space="preserve">). Its application to cognitive and educational development, early advantages in skill compounding into progressively larger gaps, was developed influentially by Keith E. Stanovich,</w:t>
      </w:r>
      <w:r>
        <w:t xml:space="preserve"> </w:t>
      </w:r>
      <w:r>
        <w:t xml:space="preserve">“Matthew Effects in Reading: Some Consequences of Individual Differences in the Acquisition of Literacy,”</w:t>
      </w:r>
      <w:r>
        <w:t xml:space="preserve"> </w:t>
      </w:r>
      <w:r>
        <w:rPr>
          <w:i/>
          <w:iCs/>
        </w:rPr>
        <w:t xml:space="preserve">Reading Research Quarterly</w:t>
      </w:r>
      <w:r>
        <w:t xml:space="preserve"> </w:t>
      </w:r>
      <w:r>
        <w:t xml:space="preserve">21, no. 4 (1986): 360–407. The claim in the text is the modest and well-supported one: that a higher learning rate compounds, because acquired skill accelerates the acquisition of further skill. The stronger folk claim that a single test score straightforwardly measures or fixes this rate is not needed for the argument and is not asserted here; the point is only that trained discrimination builds on itself.</w:t>
      </w:r>
    </w:p>
  </w:footnote>
  <w:footnote w:id="115">
    <w:p>
      <w:pPr>
        <w:pStyle w:val="FootnoteText"/>
      </w:pPr>
      <w:r>
        <w:rPr>
          <w:rStyle w:val="FootnoteReference"/>
        </w:rPr>
        <w:footnoteRef/>
      </w:r>
      <w:r>
        <w:t xml:space="preserve"> </w:t>
      </w:r>
      <w:r>
        <w:t xml:space="preserve">Kurt Vonnegut,</w:t>
      </w:r>
      <w:r>
        <w:t xml:space="preserve"> </w:t>
      </w:r>
      <w:r>
        <w:t xml:space="preserve">“Harrison Bergeron,”</w:t>
      </w:r>
      <w:r>
        <w:t xml:space="preserve"> </w:t>
      </w:r>
      <w:r>
        <w:t xml:space="preserve">first published in</w:t>
      </w:r>
      <w:r>
        <w:t xml:space="preserve"> </w:t>
      </w:r>
      <w:r>
        <w:rPr>
          <w:i/>
          <w:iCs/>
        </w:rPr>
        <w:t xml:space="preserve">The Magazine of Fantasy and Science Fiction</w:t>
      </w:r>
      <w:r>
        <w:t xml:space="preserve"> </w:t>
      </w:r>
      <w:r>
        <w:t xml:space="preserve">(October 1961), collected in</w:t>
      </w:r>
      <w:r>
        <w:t xml:space="preserve"> </w:t>
      </w:r>
      <w:r>
        <w:rPr>
          <w:i/>
          <w:iCs/>
        </w:rPr>
        <w:t xml:space="preserve">Welcome to the Monkey House</w:t>
      </w:r>
      <w:r>
        <w:t xml:space="preserve"> </w:t>
      </w:r>
      <w:r>
        <w:t xml:space="preserve">(1968). In the story, a future United States enforces total equality by handicapping the gifted, weights on the strong and graceful, distorting noises piped into the ears of the intelligent to prevent sustained thought, so that no one may excel. It is the sharpest available image of leveling by suppression: equality achieved not by raising the floor but by lowering every ceiling to meet it. The historical instances cited alongside it, the Khmer Rouge’s targeting of the educated (1975–1979) and the</w:t>
      </w:r>
      <w:r>
        <w:t xml:space="preserve"> </w:t>
      </w:r>
      <w:r>
        <w:t xml:space="preserve">“sent-down youth”</w:t>
      </w:r>
      <w:r>
        <w:t xml:space="preserve"> </w:t>
      </w:r>
      <w:r>
        <w:t xml:space="preserve">and persecution of intellectuals during China’s Cultural Revolution (1966–1976), are documented in the standard histories; see, e.g., Ben Kiernan,</w:t>
      </w:r>
      <w:r>
        <w:t xml:space="preserve"> </w:t>
      </w:r>
      <w:r>
        <w:rPr>
          <w:i/>
          <w:iCs/>
        </w:rPr>
        <w:t xml:space="preserve">The Pol Pot Regime</w:t>
      </w:r>
      <w:r>
        <w:t xml:space="preserve"> </w:t>
      </w:r>
      <w:r>
        <w:t xml:space="preserve">(New Haven: Yale University Press, 1996), and Roderick MacFarquhar and Michael Schoenhals,</w:t>
      </w:r>
      <w:r>
        <w:t xml:space="preserve"> </w:t>
      </w:r>
      <w:r>
        <w:rPr>
          <w:i/>
          <w:iCs/>
        </w:rPr>
        <w:t xml:space="preserve">Mao’s Last Revolution</w:t>
      </w:r>
      <w:r>
        <w:t xml:space="preserve"> </w:t>
      </w:r>
      <w:r>
        <w:t xml:space="preserve">(Cambridge, MA: Harvard University Press, 2006).</w:t>
      </w:r>
      <w:r>
        <w:t xml:space="preserve"> </w:t>
      </w:r>
      <w:r>
        <w:t xml:space="preserve"># Conclusion: The Incorruptible Manuscript</w:t>
      </w:r>
    </w:p>
  </w:footnote>
  <w:footnote w:id="116">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117">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118">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119">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120">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121">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122">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123">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124">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125">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126">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127">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128">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129">
    <w:p>
      <w:pPr>
        <w:pStyle w:val="FootnoteText"/>
      </w:pPr>
      <w:r>
        <w:rPr>
          <w:rStyle w:val="FootnoteReference"/>
        </w:rPr>
        <w:footnoteRef/>
      </w:r>
      <w:r>
        <w:t xml:space="preserve"> </w:t>
      </w:r>
      <w:r>
        <w:t xml:space="preserve">Beowulf survives in a single manuscript, the Nowell Codex (British Library, Cotton MS Vitellius A. xv), copied around the year 1000 by two scribes. The poem’s language is West Saxon Old English with Anglian features; its outlook is Christian, with the narrator repeatedly framing the pagan Scandinavian action within a biblical and providential vocabulary. The standard scholarly edition is</w:t>
      </w:r>
      <w:r>
        <w:t xml:space="preserve"> </w:t>
      </w:r>
      <w:r>
        <w:rPr>
          <w:i/>
          <w:iCs/>
        </w:rPr>
        <w:t xml:space="preserve">Klaeber’s Beowulf and the Fight at Finnsburg</w:t>
      </w:r>
      <w:r>
        <w:t xml:space="preserve">, ed. R. D. Fulk, Robert E. Bjork, and John D. Niles, 4th ed. (Toronto: University of Toronto Press, 2008); on Tolkien’s own reframing of the poem’s monsters as central rather than incidental, see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On the point at issue here: the poem’s language and redaction are English and Christian, but its entire narrative world is Scandinavian, the Geats (Old English</w:t>
      </w:r>
      <w:r>
        <w:t xml:space="preserve"> </w:t>
      </w:r>
      <w:r>
        <w:rPr>
          <w:i/>
          <w:iCs/>
        </w:rPr>
        <w:t xml:space="preserve">Gēatas</w:t>
      </w:r>
      <w:r>
        <w:t xml:space="preserve">) are the Gautar of Götaland in southern Sweden, a seafaring people of the same Norse world that produced the Viking raids; the Danes are Danes; the ethos is that of the North Sea warrior aristocracy. Old English and Old Norse were closely related West and North Germanic languages, mutually intelligible to a meaningful degree, and the Scandinavian settlement of the Danelaw put Norse speakers across much of eastern England within living memory of the manuscript’s copying. The Anglo-Saxons themselves had, until the fifth and sixth centuries, been North Sea raiders from the same coastlands, the very threat the late Roman</w:t>
      </w:r>
      <w:r>
        <w:t xml:space="preserve"> </w:t>
      </w:r>
      <w:r>
        <w:rPr>
          <w:i/>
          <w:iCs/>
        </w:rPr>
        <w:t xml:space="preserve">litus Saxonicum</w:t>
      </w:r>
      <w:r>
        <w:t xml:space="preserve"> </w:t>
      </w:r>
      <w:r>
        <w:t xml:space="preserve">(</w:t>
      </w:r>
      <w:r>
        <w:t xml:space="preserve">“Saxon Shore”</w:t>
      </w:r>
      <w:r>
        <w:t xml:space="preserve">) fortifications were built against. Mainstream scholarship holds that the poem draws on Scandinavian oral heroic tradition; the stronger claim that it translates a specific lost Geatish original is speculative and is not needed here. Calling Beowulf a</w:t>
      </w:r>
      <w:r>
        <w:t xml:space="preserve"> </w:t>
      </w:r>
      <w:r>
        <w:t xml:space="preserve">“Viking poem”</w:t>
      </w:r>
      <w:r>
        <w:t xml:space="preserve"> </w:t>
      </w:r>
      <w:r>
        <w:t xml:space="preserve">is therefore a statement about the world the poem inhabits, not about the language it is written in.</w:t>
      </w:r>
    </w:p>
  </w:footnote>
  <w:footnote w:id="130">
    <w:p>
      <w:pPr>
        <w:pStyle w:val="FootnoteText"/>
      </w:pPr>
      <w:r>
        <w:rPr>
          <w:rStyle w:val="FootnoteReference"/>
        </w:rPr>
        <w:footnoteRef/>
      </w:r>
      <w:r>
        <w:t xml:space="preserve"> </w:t>
      </w:r>
      <w:r>
        <w:t xml:space="preserve">Gregory of Tours,</w:t>
      </w:r>
      <w:r>
        <w:t xml:space="preserve"> </w:t>
      </w:r>
      <w:r>
        <w:rPr>
          <w:i/>
          <w:iCs/>
        </w:rPr>
        <w:t xml:space="preserve">Decem Libri Historiarum</w:t>
      </w:r>
      <w:r>
        <w:t xml:space="preserve"> </w:t>
      </w:r>
      <w:r>
        <w:t xml:space="preserve">(History of the Franks) 3.3, written c. 594. Gregory records that a king he names Chlochilaicus led a seaborne raid that plundered Frankish territory on the lower Rhine and was defeated and killed by an army under Theudebert, son of King Theuderic I. Chlochilaicus is the Latinized reflex of the same Germanic name as Old English Hygelac (Proto-Germanic</w:t>
      </w:r>
      <w:r>
        <w:t xml:space="preserve"> </w:t>
      </w:r>
      <w:r>
        <w:rPr>
          <w:i/>
          <w:iCs/>
        </w:rPr>
        <w:t xml:space="preserve">Hugilaikaz</w:t>
      </w:r>
      <w:r>
        <w:t xml:space="preserve">; Old Norse Hugleikr). The Danish philologist N. F. S. Grundtvig identified the two figures in the early nineteenth century, and the identification is now standard; it dates Hygelac’s fall, narrated in Beowulf at lines 1202–1214 and again at 2354–2366 and 2913–2921, to approximately 516–521. See R. D. Fulk et al.,</w:t>
      </w:r>
      <w:r>
        <w:t xml:space="preserve"> </w:t>
      </w:r>
      <w:r>
        <w:rPr>
          <w:i/>
          <w:iCs/>
        </w:rPr>
        <w:t xml:space="preserve">Klaeber’s Beowulf</w:t>
      </w:r>
      <w:r>
        <w:t xml:space="preserve">, 4th ed., introduction; and the summary in</w:t>
      </w:r>
      <w:r>
        <w:t xml:space="preserve"> </w:t>
      </w:r>
      <w:r>
        <w:rPr>
          <w:i/>
          <w:iCs/>
        </w:rPr>
        <w:t xml:space="preserve">Beowulf</w:t>
      </w:r>
      <w:r>
        <w:t xml:space="preserve">, ed. Bruce Mitchell and Fred C. Robinson (Oxford: Blackwell, 1998), 10–13. This is the single most secure anchor tying the poem to datable external history. Note the layering in the naming even here: Gregory calls Chlochilaicus a Dane, while the later</w:t>
      </w:r>
      <w:r>
        <w:t xml:space="preserve"> </w:t>
      </w:r>
      <w:r>
        <w:rPr>
          <w:i/>
          <w:iCs/>
        </w:rPr>
        <w:t xml:space="preserve">Liber historiae Francorum</w:t>
      </w:r>
      <w:r>
        <w:t xml:space="preserve"> </w:t>
      </w:r>
      <w:r>
        <w:t xml:space="preserve">calls him king of the Goths (</w:t>
      </w:r>
      <w:r>
        <w:rPr>
          <w:i/>
          <w:iCs/>
        </w:rPr>
        <w:t xml:space="preserve">rege Gotorum</w:t>
      </w:r>
      <w:r>
        <w:t xml:space="preserve">) and the</w:t>
      </w:r>
      <w:r>
        <w:t xml:space="preserve"> </w:t>
      </w:r>
      <w:r>
        <w:rPr>
          <w:i/>
          <w:iCs/>
        </w:rPr>
        <w:t xml:space="preserve">Liber Monstrorum</w:t>
      </w:r>
      <w:r>
        <w:t xml:space="preserve"> </w:t>
      </w:r>
      <w:r>
        <w:t xml:space="preserve">king of the Getae (</w:t>
      </w:r>
      <w:r>
        <w:rPr>
          <w:i/>
          <w:iCs/>
        </w:rPr>
        <w:t xml:space="preserve">rex Getarum</w:t>
      </w:r>
      <w:r>
        <w:t xml:space="preserve">), the medieval sources already sliding Geat, Goth, and Getae together, on which see the next note.</w:t>
      </w:r>
    </w:p>
  </w:footnote>
  <w:footnote w:id="131">
    <w:p>
      <w:pPr>
        <w:pStyle w:val="FootnoteText"/>
      </w:pPr>
      <w:r>
        <w:rPr>
          <w:rStyle w:val="FootnoteReference"/>
        </w:rPr>
        <w:footnoteRef/>
      </w:r>
      <w:r>
        <w:t xml:space="preserve"> </w:t>
      </w:r>
      <w:r>
        <w:t xml:space="preserve">The equation Old English</w:t>
      </w:r>
      <w:r>
        <w:t xml:space="preserve"> </w:t>
      </w:r>
      <w:r>
        <w:rPr>
          <w:i/>
          <w:iCs/>
        </w:rPr>
        <w:t xml:space="preserve">Gēatas</w:t>
      </w:r>
      <w:r>
        <w:t xml:space="preserve"> </w:t>
      </w:r>
      <w:r>
        <w:t xml:space="preserve">= Old Norse</w:t>
      </w:r>
      <w:r>
        <w:t xml:space="preserve"> </w:t>
      </w:r>
      <w:r>
        <w:rPr>
          <w:i/>
          <w:iCs/>
        </w:rPr>
        <w:t xml:space="preserve">Gautar</w:t>
      </w:r>
      <w:r>
        <w:t xml:space="preserve"> </w:t>
      </w:r>
      <w:r>
        <w:t xml:space="preserve">(the people of</w:t>
      </w:r>
      <w:r>
        <w:t xml:space="preserve"> </w:t>
      </w:r>
      <w:r>
        <w:rPr>
          <w:i/>
          <w:iCs/>
        </w:rPr>
        <w:t xml:space="preserve">Gautland</w:t>
      </w:r>
      <w:r>
        <w:t xml:space="preserve"> </w:t>
      </w:r>
      <w:r>
        <w:t xml:space="preserve">/ Götaland) is philologically secure and rests on regular sound correspondence. The name belongs to an ablaut series,</w:t>
      </w:r>
      <w:r>
        <w:t xml:space="preserve"> </w:t>
      </w:r>
      <w:r>
        <w:rPr>
          <w:i/>
          <w:iCs/>
        </w:rPr>
        <w:t xml:space="preserve">gaut-</w:t>
      </w:r>
      <w:r>
        <w:t xml:space="preserve"> </w:t>
      </w:r>
      <w:r>
        <w:t xml:space="preserve">/</w:t>
      </w:r>
      <w:r>
        <w:t xml:space="preserve"> </w:t>
      </w:r>
      <w:r>
        <w:rPr>
          <w:i/>
          <w:iCs/>
        </w:rPr>
        <w:t xml:space="preserve">gut-</w:t>
      </w:r>
      <w:r>
        <w:t xml:space="preserve">, that also yields</w:t>
      </w:r>
      <w:r>
        <w:t xml:space="preserve"> </w:t>
      </w:r>
      <w:r>
        <w:rPr>
          <w:i/>
          <w:iCs/>
        </w:rPr>
        <w:t xml:space="preserve">Gotar</w:t>
      </w:r>
      <w:r>
        <w:t xml:space="preserve"> </w:t>
      </w:r>
      <w:r>
        <w:t xml:space="preserve">/</w:t>
      </w:r>
      <w:r>
        <w:t xml:space="preserve"> </w:t>
      </w:r>
      <w:r>
        <w:rPr>
          <w:i/>
          <w:iCs/>
        </w:rPr>
        <w:t xml:space="preserve">Gutar</w:t>
      </w:r>
      <w:r>
        <w:t xml:space="preserve"> </w:t>
      </w:r>
      <w:r>
        <w:t xml:space="preserve">(Gotlanders) and Gothic</w:t>
      </w:r>
      <w:r>
        <w:t xml:space="preserve"> </w:t>
      </w:r>
      <w:r>
        <w:rPr>
          <w:i/>
          <w:iCs/>
        </w:rPr>
        <w:t xml:space="preserve">Gutans</w:t>
      </w:r>
      <w:r>
        <w:t xml:space="preserve"> </w:t>
      </w:r>
      <w:r>
        <w:t xml:space="preserve">(the Goths), from a Germanic root</w:t>
      </w:r>
      <w:r>
        <w:t xml:space="preserve"> </w:t>
      </w:r>
      <w:r>
        <w:rPr>
          <w:i/>
          <w:iCs/>
        </w:rPr>
        <w:t xml:space="preserve">geut-</w:t>
      </w:r>
      <w:r>
        <w:t xml:space="preserve"> </w:t>
      </w:r>
      <w:r>
        <w:t xml:space="preserve">“to pour”</w:t>
      </w:r>
      <w:r>
        <w:t xml:space="preserve"> </w:t>
      </w:r>
      <w:r>
        <w:t xml:space="preserve">(compare the river-name Göta älv). That the name-stock is shared is not seriously disputed; whether the</w:t>
      </w:r>
      <w:r>
        <w:t xml:space="preserve"> </w:t>
      </w:r>
      <w:r>
        <w:rPr>
          <w:i/>
          <w:iCs/>
        </w:rPr>
        <w:t xml:space="preserve">peoples</w:t>
      </w:r>
      <w:r>
        <w:t xml:space="preserve"> </w:t>
      </w:r>
      <w:r>
        <w:t xml:space="preserve">form a single migrating lineage, the tradition preserved in Jordanes’ sixth-century</w:t>
      </w:r>
      <w:r>
        <w:t xml:space="preserve"> </w:t>
      </w:r>
      <w:r>
        <w:rPr>
          <w:i/>
          <w:iCs/>
        </w:rPr>
        <w:t xml:space="preserve">Getica</w:t>
      </w:r>
      <w:r>
        <w:t xml:space="preserve">, which derives the Goths from Scandinavia, is a separate and contested question, resting on legend and on the archaeology of the Wielbark culture rather than on the name-equation. The distinction matters for method: the ablaut series is a hard linguistic datum recoverable by the comparative method; the migration is tradition. On the Geat/Gaut equation and the wider name-family, see R. D. Fulk et al.,</w:t>
      </w:r>
      <w:r>
        <w:t xml:space="preserve"> </w:t>
      </w:r>
      <w:r>
        <w:rPr>
          <w:i/>
          <w:iCs/>
        </w:rPr>
        <w:t xml:space="preserve">Klaeber’s Beowulf</w:t>
      </w:r>
      <w:r>
        <w:t xml:space="preserve">, 4th ed., appendix on proper names; and, for the Getica tradition, Herwig Wolfram,</w:t>
      </w:r>
      <w:r>
        <w:t xml:space="preserve"> </w:t>
      </w:r>
      <w:r>
        <w:rPr>
          <w:i/>
          <w:iCs/>
        </w:rPr>
        <w:t xml:space="preserve">History of the Goths</w:t>
      </w:r>
      <w:r>
        <w:t xml:space="preserve">, trans. Thomas J. Dunlap (Berkeley: University of California Press, 1988), 19–35.</w:t>
      </w:r>
    </w:p>
  </w:footnote>
  <w:footnote w:id="132">
    <w:p>
      <w:pPr>
        <w:pStyle w:val="FootnoteText"/>
      </w:pPr>
      <w:r>
        <w:rPr>
          <w:rStyle w:val="FootnoteReference"/>
        </w:rPr>
        <w:footnoteRef/>
      </w:r>
      <w:r>
        <w:t xml:space="preserve"> </w:t>
      </w:r>
      <w:r>
        <w:t xml:space="preserve">On the poem’s technique of allusion and its so-called digressions, the Finnsburg episode, the Heathobard feud, the Scyld Scefing frame, the foreboding of the Geats’ fall, and their creation of narrative depth, see the classic (if disapproving) catalogue in Frederick Klaeber’s edition and the reassessment in Adrien Bonjour,</w:t>
      </w:r>
      <w:r>
        <w:t xml:space="preserve"> </w:t>
      </w:r>
      <w:r>
        <w:rPr>
          <w:i/>
          <w:iCs/>
        </w:rPr>
        <w:t xml:space="preserve">The Digressions in Beowulf</w:t>
      </w:r>
      <w:r>
        <w:t xml:space="preserve"> </w:t>
      </w:r>
      <w:r>
        <w:t xml:space="preserve">(Oxford: Blackwell, 1950). The decisive reframing is J. R. R. Tolkien,</w:t>
      </w:r>
      <w:r>
        <w:t xml:space="preserve"> </w:t>
      </w:r>
      <w:r>
        <w:t xml:space="preserve">“Beowulf: The Monsters and the Critics,”</w:t>
      </w:r>
      <w:r>
        <w:t xml:space="preserve"> </w:t>
      </w:r>
      <w:r>
        <w:rPr>
          <w:i/>
          <w:iCs/>
        </w:rPr>
        <w:t xml:space="preserve">Proceedings of the British Academy</w:t>
      </w:r>
      <w:r>
        <w:t xml:space="preserve"> </w:t>
      </w:r>
      <w:r>
        <w:t xml:space="preserve">22 (1936): 245–295, which argues that the poem is essentially elegiac, a work whose true subject is transience and the looking-back across time at a heroic world felt as already lost, so that its structure and its allusive method are not defects but the very means by which it achieves its sense of depth and antiquity. On the poet’s own historical position, a Christian English author treating the pagan Scandinavian past of his cultural ancestors, see the introduction to</w:t>
      </w:r>
      <w:r>
        <w:t xml:space="preserve"> </w:t>
      </w:r>
      <w:r>
        <w:rPr>
          <w:i/>
          <w:iCs/>
        </w:rPr>
        <w:t xml:space="preserve">Klaeber’s Beowulf</w:t>
      </w:r>
      <w:r>
        <w:t xml:space="preserve">, 4th ed., and Tom Shippey,</w:t>
      </w:r>
      <w:r>
        <w:t xml:space="preserve"> </w:t>
      </w:r>
      <w:r>
        <w:rPr>
          <w:i/>
          <w:iCs/>
        </w:rPr>
        <w:t xml:space="preserve">Beowulf and the Critics</w:t>
      </w:r>
      <w:r>
        <w:t xml:space="preserve"> </w:t>
      </w:r>
      <w:r>
        <w:t xml:space="preserve">(on Tolkien’s argument and its afterlife).</w:t>
      </w:r>
    </w:p>
  </w:footnote>
  <w:footnote w:id="133">
    <w:p>
      <w:pPr>
        <w:pStyle w:val="FootnoteText"/>
      </w:pPr>
      <w:r>
        <w:rPr>
          <w:rStyle w:val="FootnoteReference"/>
        </w:rPr>
        <w:footnoteRef/>
      </w:r>
      <w:r>
        <w:t xml:space="preserve"> </w:t>
      </w:r>
      <w:r>
        <w:t xml:space="preserve">The characterization of Homeric Greek as a</w:t>
      </w:r>
      <w:r>
        <w:t xml:space="preserve"> </w:t>
      </w:r>
      <w:r>
        <w:rPr>
          <w:i/>
          <w:iCs/>
        </w:rPr>
        <w:t xml:space="preserve">Kunstsprache</w:t>
      </w:r>
      <w:r>
        <w:t xml:space="preserve">, an artificial literary dialect never spoken as a vernacular, blending Ionic, Aeolic, and Arcado-Cypriot/Mycenaean elements from different periods, shaped by and for the dactylic hexameter, is the settled consensus of the field. The foundational analysis is Milman Parry,</w:t>
      </w:r>
      <w:r>
        <w:t xml:space="preserve"> </w:t>
      </w:r>
      <w:r>
        <w:t xml:space="preserve">“Studies in the Epic Technique of Oral Verse-Making,”</w:t>
      </w:r>
      <w:r>
        <w:t xml:space="preserve"> </w:t>
      </w:r>
      <w:r>
        <w:rPr>
          <w:i/>
          <w:iCs/>
        </w:rPr>
        <w:t xml:space="preserve">Harvard Studies in Classical Philology</w:t>
      </w:r>
      <w:r>
        <w:t xml:space="preserve"> </w:t>
      </w:r>
      <w:r>
        <w:t xml:space="preserve">41 (1930): 73–147 and 43 (1932): 1–50 (collected in</w:t>
      </w:r>
      <w:r>
        <w:t xml:space="preserve"> </w:t>
      </w:r>
      <w:r>
        <w:rPr>
          <w:i/>
          <w:iCs/>
        </w:rPr>
        <w:t xml:space="preserve">The Making of Homeric Verse: The Collected Papers of Milman Parry</w:t>
      </w:r>
      <w:r>
        <w:t xml:space="preserve">, ed. Adam Parry [Oxford: Clarendon Press, 1971]). For the dialect layering specifically, see Geoffrey Horrocks,</w:t>
      </w:r>
      <w:r>
        <w:t xml:space="preserve"> </w:t>
      </w:r>
      <w:r>
        <w:rPr>
          <w:i/>
          <w:iCs/>
        </w:rPr>
        <w:t xml:space="preserve">Greek: A History of the Language and Its Speakers</w:t>
      </w:r>
      <w:r>
        <w:t xml:space="preserve">, 2nd ed. (Oxford: Wiley-Blackwell, 2010), chapter 3; and Gregory Nagy,</w:t>
      </w:r>
      <w:r>
        <w:t xml:space="preserve"> </w:t>
      </w:r>
      <w:r>
        <w:t xml:space="preserve">“The Aeolic Component of Homeric Diction,”</w:t>
      </w:r>
      <w:r>
        <w:t xml:space="preserve"> </w:t>
      </w:r>
      <w:r>
        <w:t xml:space="preserve">in</w:t>
      </w:r>
      <w:r>
        <w:t xml:space="preserve"> </w:t>
      </w:r>
      <w:r>
        <w:rPr>
          <w:i/>
          <w:iCs/>
        </w:rPr>
        <w:t xml:space="preserve">Proceedings of the 22nd Annual UCLA Indo-European Conference</w:t>
      </w:r>
      <w:r>
        <w:t xml:space="preserve"> </w:t>
      </w:r>
      <w:r>
        <w:t xml:space="preserve">(Bremen: Hempen, 2011), 133–179. The point of principle: because a given concept was often available in more than one dialectal or chronological form, and the forms frequently differed in metrical shape, the tradition retained archaic forms because they solved metrical problems: the meter selected for and preserved archaism.</w:t>
      </w:r>
    </w:p>
  </w:footnote>
  <w:footnote w:id="134">
    <w:p>
      <w:pPr>
        <w:pStyle w:val="FootnoteText"/>
      </w:pPr>
      <w:r>
        <w:rPr>
          <w:rStyle w:val="FootnoteReference"/>
        </w:rPr>
        <w:footnoteRef/>
      </w:r>
      <w:r>
        <w:t xml:space="preserve"> </w:t>
      </w:r>
      <w:r>
        <w:t xml:space="preserve">On the digamma in Homer, see D. B. Monro,</w:t>
      </w:r>
      <w:r>
        <w:t xml:space="preserve"> </w:t>
      </w:r>
      <w:r>
        <w:rPr>
          <w:i/>
          <w:iCs/>
        </w:rPr>
        <w:t xml:space="preserve">A Grammar of the Homeric Dialect</w:t>
      </w:r>
      <w:r>
        <w:t xml:space="preserve">, 2nd ed. (Oxford: Clarendon Press, 1891), §§388–393, still the classic treatment of the metrical evidence. The digamma (ϝ), representing /w/, was inherited from the Phoenician</w:t>
      </w:r>
      <w:r>
        <w:t xml:space="preserve"> </w:t>
      </w:r>
      <w:r>
        <w:rPr>
          <w:i/>
          <w:iCs/>
        </w:rPr>
        <w:t xml:space="preserve">waw</w:t>
      </w:r>
      <w:r>
        <w:t xml:space="preserve"> </w:t>
      </w:r>
      <w:r>
        <w:t xml:space="preserve">and stood in the archaic Greek alphabet between epsilon and zeta; it is the ancestor of Latin F. It had disappeared from spoken Ionic before the Homeric poems were fixed in writing (seventh century BC) and is not written in the transmitted text, but its former presence is detectable at many points where the meter is defective unless a word-initial consonant is restored, as with</w:t>
      </w:r>
      <w:r>
        <w:t xml:space="preserve"> </w:t>
      </w:r>
      <w:r>
        <w:rPr>
          <w:i/>
          <w:iCs/>
        </w:rPr>
        <w:t xml:space="preserve">oînos</w:t>
      </w:r>
      <w:r>
        <w:t xml:space="preserve"> </w:t>
      </w:r>
      <w:r>
        <w:t xml:space="preserve">&lt;</w:t>
      </w:r>
      <w:r>
        <w:t xml:space="preserve"> </w:t>
      </w:r>
      <w:r>
        <w:rPr>
          <w:i/>
          <w:iCs/>
        </w:rPr>
        <w:t xml:space="preserve">woînos</w:t>
      </w:r>
      <w:r>
        <w:t xml:space="preserve"> </w:t>
      </w:r>
      <w:r>
        <w:t xml:space="preserve">(</w:t>
      </w:r>
      <w:r>
        <w:t xml:space="preserve">“wine,”</w:t>
      </w:r>
      <w:r>
        <w:t xml:space="preserve"> </w:t>
      </w:r>
      <w:r>
        <w:t xml:space="preserve">compare Latin</w:t>
      </w:r>
      <w:r>
        <w:t xml:space="preserve"> </w:t>
      </w:r>
      <w:r>
        <w:rPr>
          <w:i/>
          <w:iCs/>
        </w:rPr>
        <w:t xml:space="preserve">vīnum</w:t>
      </w:r>
      <w:r>
        <w:t xml:space="preserve">, English</w:t>
      </w:r>
      <w:r>
        <w:t xml:space="preserve"> </w:t>
      </w:r>
      <w:r>
        <w:rPr>
          <w:i/>
          <w:iCs/>
        </w:rPr>
        <w:t xml:space="preserve">wine</w:t>
      </w:r>
      <w:r>
        <w:t xml:space="preserve">) and</w:t>
      </w:r>
      <w:r>
        <w:t xml:space="preserve"> </w:t>
      </w:r>
      <w:r>
        <w:rPr>
          <w:i/>
          <w:iCs/>
        </w:rPr>
        <w:t xml:space="preserve">épos</w:t>
      </w:r>
      <w:r>
        <w:t xml:space="preserve"> </w:t>
      </w:r>
      <w:r>
        <w:t xml:space="preserve">&lt;</w:t>
      </w:r>
      <w:r>
        <w:t xml:space="preserve"> </w:t>
      </w:r>
      <w:r>
        <w:rPr>
          <w:i/>
          <w:iCs/>
        </w:rPr>
        <w:t xml:space="preserve">wépos</w:t>
      </w:r>
      <w:r>
        <w:t xml:space="preserve"> </w:t>
      </w:r>
      <w:r>
        <w:t xml:space="preserve">(</w:t>
      </w:r>
      <w:r>
        <w:t xml:space="preserve">“word”</w:t>
      </w:r>
      <w:r>
        <w:t xml:space="preserve">). Its former presence is confirmed independently: the /w/ is written in Mycenaean Linear B (e.g.,</w:t>
      </w:r>
      <w:r>
        <w:t xml:space="preserve"> </w:t>
      </w:r>
      <w:r>
        <w:rPr>
          <w:i/>
          <w:iCs/>
        </w:rPr>
        <w:t xml:space="preserve">wa-na-ka</w:t>
      </w:r>
      <w:r>
        <w:t xml:space="preserve"> </w:t>
      </w:r>
      <w:r>
        <w:t xml:space="preserve">for later</w:t>
      </w:r>
      <w:r>
        <w:t xml:space="preserve"> </w:t>
      </w:r>
      <w:r>
        <w:rPr>
          <w:i/>
          <w:iCs/>
        </w:rPr>
        <w:t xml:space="preserve">ánax</w:t>
      </w:r>
      <w:r>
        <w:t xml:space="preserve">,</w:t>
      </w:r>
      <w:r>
        <w:t xml:space="preserve"> </w:t>
      </w:r>
      <w:r>
        <w:t xml:space="preserve">“lord”</w:t>
      </w:r>
      <w:r>
        <w:t xml:space="preserve">) and attested in some archaic inscriptional dialects. See also</w:t>
      </w:r>
      <w:r>
        <w:t xml:space="preserve"> </w:t>
      </w:r>
      <w:r>
        <w:rPr>
          <w:i/>
          <w:iCs/>
        </w:rPr>
        <w:t xml:space="preserve">Ancient Greek Phonology</w:t>
      </w:r>
      <w:r>
        <w:t xml:space="preserve"> </w:t>
      </w:r>
      <w:r>
        <w:t xml:space="preserve">and the discussion in Horrocks,</w:t>
      </w:r>
      <w:r>
        <w:t xml:space="preserve"> </w:t>
      </w:r>
      <w:r>
        <w:rPr>
          <w:i/>
          <w:iCs/>
        </w:rPr>
        <w:t xml:space="preserve">Greek</w:t>
      </w:r>
      <w:r>
        <w:t xml:space="preserve">, chapter 3.</w:t>
      </w:r>
    </w:p>
  </w:footnote>
  <w:footnote w:id="135">
    <w:p>
      <w:pPr>
        <w:pStyle w:val="FootnoteText"/>
      </w:pPr>
      <w:r>
        <w:rPr>
          <w:rStyle w:val="FootnoteReference"/>
        </w:rPr>
        <w:footnoteRef/>
      </w:r>
      <w:r>
        <w:t xml:space="preserve"> </w:t>
      </w:r>
      <w:r>
        <w:t xml:space="preserve">The form</w:t>
      </w:r>
      <w:r>
        <w:t xml:space="preserve"> </w:t>
      </w:r>
      <w:r>
        <w:rPr>
          <w:i/>
          <w:iCs/>
        </w:rPr>
        <w:t xml:space="preserve">androtēta</w:t>
      </w:r>
      <w:r>
        <w:t xml:space="preserve"> </w:t>
      </w:r>
      <w:r>
        <w:t xml:space="preserve">(ἀνδροτῆτα) occurs at Iliad 16.857, 22.363, and (in a related context) 24.6, always within the formula describing a soul departing to Hades</w:t>
      </w:r>
      <w:r>
        <w:t xml:space="preserve"> </w:t>
      </w:r>
      <w:r>
        <w:t xml:space="preserve">“bewailing its fate, leaving manhood and youth.”</w:t>
      </w:r>
      <w:r>
        <w:t xml:space="preserve"> </w:t>
      </w:r>
      <w:r>
        <w:t xml:space="preserve">As transmitted, the word cannot be scanned in the hexameter; the sequence resolves only if the word is restored to an earlier, pre-Greek metrical shape reflecting the syllabic value of the liquid before the vowel change that produced the classical form. The case is discussed as a textbook instance of a fossilized formula preserving a Bronze Age metrical structure in Martin L. West,</w:t>
      </w:r>
      <w:r>
        <w:t xml:space="preserve"> </w:t>
      </w:r>
      <w:r>
        <w:rPr>
          <w:i/>
          <w:iCs/>
        </w:rPr>
        <w:t xml:space="preserve">Indo-European Poetry and Myth</w:t>
      </w:r>
      <w:r>
        <w:t xml:space="preserve"> </w:t>
      </w:r>
      <w:r>
        <w:t xml:space="preserve">(Oxford: Oxford University Press, 2007), and in the technical literature on the syllabic liquids in Greek; see Lucien van Beek,</w:t>
      </w:r>
      <w:r>
        <w:t xml:space="preserve"> </w:t>
      </w:r>
      <w:r>
        <w:rPr>
          <w:i/>
          <w:iCs/>
        </w:rPr>
        <w:t xml:space="preserve">The Reflexes of Syllabic Liquids in Ancient Greek</w:t>
      </w:r>
      <w:r>
        <w:t xml:space="preserve"> </w:t>
      </w:r>
      <w:r>
        <w:t xml:space="preserve">(Leiden: Brill, 2022), which treats such scansions as evidence that the relevant sound was retained within the epic language for generations after it had vanished from ordinary speech. The interpretive weight is the same regardless of the precise phonological reconstruction: the formula preserved a word in a pronunciation the poets themselves could no longer have used, because the theme was too central to the tradition to be re-cast.</w:t>
      </w:r>
    </w:p>
  </w:footnote>
  <w:footnote w:id="136">
    <w:p>
      <w:pPr>
        <w:pStyle w:val="FootnoteText"/>
      </w:pPr>
      <w:r>
        <w:rPr>
          <w:rStyle w:val="FootnoteReference"/>
        </w:rPr>
        <w:footnoteRef/>
      </w:r>
      <w:r>
        <w:t xml:space="preserve"> </w:t>
      </w:r>
      <w:r>
        <w:t xml:space="preserve">On</w:t>
      </w:r>
      <w:r>
        <w:t xml:space="preserve"> </w:t>
      </w:r>
      <w:r>
        <w:t xml:space="preserve">“Atticisms”</w:t>
      </w:r>
      <w:r>
        <w:t xml:space="preserve">, Attic dialect forms introduced into the Ionic-Aeolic text of Homer during its transmission through Athens (the Panathenaic recitations and the work of Attic-speaking scribes), and on their detection and removal, see the discussion in Martin L. West, ed.,</w:t>
      </w:r>
      <w:r>
        <w:t xml:space="preserve"> </w:t>
      </w:r>
      <w:r>
        <w:rPr>
          <w:i/>
          <w:iCs/>
        </w:rPr>
        <w:t xml:space="preserve">Homeri Ilias</w:t>
      </w:r>
      <w:r>
        <w:t xml:space="preserve"> </w:t>
      </w:r>
      <w:r>
        <w:t xml:space="preserve">(Stuttgart and Leipzig: Teubner, 1998–2000), and West’s</w:t>
      </w:r>
      <w:r>
        <w:t xml:space="preserve"> </w:t>
      </w:r>
      <w:r>
        <w:rPr>
          <w:i/>
          <w:iCs/>
        </w:rPr>
        <w:t xml:space="preserve">Studies in the Text and Transmission of the Iliad</w:t>
      </w:r>
      <w:r>
        <w:t xml:space="preserve"> </w:t>
      </w:r>
      <w:r>
        <w:t xml:space="preserve">(Munich: Saur, 2001); also Geoffrey Horrocks,</w:t>
      </w:r>
      <w:r>
        <w:t xml:space="preserve"> </w:t>
      </w:r>
      <w:r>
        <w:rPr>
          <w:i/>
          <w:iCs/>
        </w:rPr>
        <w:t xml:space="preserve">Greek: A History of the Language and Its Speakers</w:t>
      </w:r>
      <w:r>
        <w:t xml:space="preserve">, 2nd ed. (Oxford: Wiley-Blackwell, 2010), chapter 3. The principle is that where an Attic form has displaced an original Ionic or Aeolic one, the substitution frequently violates the meter (the Attic form having a different syllabic quantity), so that the metrical fault marks the intrusion and licenses restoration of the older reading: the process sometimes called</w:t>
      </w:r>
      <w:r>
        <w:t xml:space="preserve"> </w:t>
      </w:r>
      <w:r>
        <w:t xml:space="preserve">“de-Atticizing”</w:t>
      </w:r>
      <w:r>
        <w:t xml:space="preserve"> </w:t>
      </w:r>
      <w:r>
        <w:t xml:space="preserve">the text. This is a genuine methodological point (the poems demonstrably carry a thin, removable Attic overlay), distinct from and more secure than the larger and more speculative</w:t>
      </w:r>
      <w:r>
        <w:t xml:space="preserve"> </w:t>
      </w:r>
      <w:r>
        <w:t xml:space="preserve">“Aeolic phase”</w:t>
      </w:r>
      <w:r>
        <w:t xml:space="preserve"> </w:t>
      </w:r>
      <w:r>
        <w:t xml:space="preserve">hypothesis about the deep prehistory of the epic language.</w:t>
      </w:r>
    </w:p>
  </w:footnote>
  <w:footnote w:id="137">
    <w:p>
      <w:pPr>
        <w:pStyle w:val="FootnoteText"/>
      </w:pPr>
      <w:r>
        <w:rPr>
          <w:rStyle w:val="FootnoteReference"/>
        </w:rPr>
        <w:footnoteRef/>
      </w:r>
      <w:r>
        <w:t xml:space="preserve"> </w:t>
      </w:r>
      <w:r>
        <w:t xml:space="preserve">Iliad 10.260–271, describing the boar’s-tusk helmet given to Odysseus. Boar’s-tusk helmets are abundantly attested in Mycenaean archaeology, from the Shaft Graves at Mycenae (seventeenth–sixteenth centuries BC) down to finds as late as the tenth century BC, and are depicted in Mycenaean frescoes and represented as an ideogram on Linear B tablets from Knossos and Pylos; the type had effectively vanished from use centuries before the Iliad was composed. The most-cited discussion is F. H. Stubbings,</w:t>
      </w:r>
      <w:r>
        <w:t xml:space="preserve"> </w:t>
      </w:r>
      <w:r>
        <w:t xml:space="preserve">“Arms and Armour,”</w:t>
      </w:r>
      <w:r>
        <w:t xml:space="preserve"> </w:t>
      </w:r>
      <w:r>
        <w:t xml:space="preserve">in</w:t>
      </w:r>
      <w:r>
        <w:t xml:space="preserve"> </w:t>
      </w:r>
      <w:r>
        <w:rPr>
          <w:i/>
          <w:iCs/>
        </w:rPr>
        <w:t xml:space="preserve">A Companion to Homer</w:t>
      </w:r>
      <w:r>
        <w:t xml:space="preserve">, ed. Alan J. B. Wace and Frank H. Stubbings (London: Macmillan, 1962), 504–522, and the survey in</w:t>
      </w:r>
      <w:r>
        <w:t xml:space="preserve"> </w:t>
      </w:r>
      <w:r>
        <w:rPr>
          <w:i/>
          <w:iCs/>
        </w:rPr>
        <w:t xml:space="preserve">Archaeologia Homerica</w:t>
      </w:r>
      <w:r>
        <w:t xml:space="preserve">. The poem itself frames the helmet as an heirloom passed down through generations. Whether Homer’s accurate description reflects a genuine oral memory carried by the formula or an actual Mycenaean object recovered from a tomb in the poet’s own day is debated (see, e.g., the cautionary assessment collected at</w:t>
      </w:r>
      <w:r>
        <w:t xml:space="preserve"> </w:t>
      </w:r>
      <w:r>
        <w:rPr>
          <w:i/>
          <w:iCs/>
        </w:rPr>
        <w:t xml:space="preserve">badancient.com</w:t>
      </w:r>
      <w:r>
        <w:t xml:space="preserve">), but on either account the transmitted description matches Bronze Age reality across a gap of five centuries or more, and the formulaic diction in which the archaic arms and armor appear is itself probably a relic of Mycenaean poetic language.</w:t>
      </w:r>
    </w:p>
  </w:footnote>
  <w:footnote w:id="138">
    <w:p>
      <w:pPr>
        <w:pStyle w:val="FootnoteText"/>
      </w:pPr>
      <w:r>
        <w:rPr>
          <w:rStyle w:val="FootnoteReference"/>
        </w:rPr>
        <w:footnoteRef/>
      </w:r>
      <w:r>
        <w:t xml:space="preserve"> </w:t>
      </w:r>
      <w:r>
        <w:t xml:space="preserve">Yāska,</w:t>
      </w:r>
      <w:r>
        <w:t xml:space="preserve"> </w:t>
      </w:r>
      <w:r>
        <w:rPr>
          <w:i/>
          <w:iCs/>
        </w:rPr>
        <w:t xml:space="preserve">Nirukta</w:t>
      </w:r>
      <w:r>
        <w:t xml:space="preserve"> </w:t>
      </w:r>
      <w:r>
        <w:t xml:space="preserve">1.15, reporting and rebutting the view of Kautsa that</w:t>
      </w:r>
      <w:r>
        <w:t xml:space="preserve"> </w:t>
      </w:r>
      <w:r>
        <w:t xml:space="preserve">“the Vedic mantras have no meaning.”</w:t>
      </w:r>
      <w:r>
        <w:t xml:space="preserve"> </w:t>
      </w:r>
      <w:r>
        <w:t xml:space="preserve">See Chapter 4, note 14, for fuller discussion. The point recurs here because it dates the loss: already by roughly the first century BC, the meaning of the oldest hymns had grown obscure enough that a scholar had to argue against the position that they meant nothing at all, while the phonological transmission remained, and remains, essentially perfect.</w:t>
      </w:r>
    </w:p>
  </w:footnote>
  <w:footnote w:id="139">
    <w:p>
      <w:pPr>
        <w:pStyle w:val="FootnoteText"/>
      </w:pPr>
      <w:r>
        <w:rPr>
          <w:rStyle w:val="FootnoteReference"/>
        </w:rPr>
        <w:footnoteRef/>
      </w:r>
      <w:r>
        <w:t xml:space="preserve"> </w:t>
      </w:r>
      <w:r>
        <w:t xml:space="preserve">Karen Thomson,</w:t>
      </w:r>
      <w:r>
        <w:t xml:space="preserve"> </w:t>
      </w:r>
      <w:r>
        <w:rPr>
          <w:i/>
          <w:iCs/>
        </w:rPr>
        <w:t xml:space="preserve">The Decipherable Rigveda: The Earliest Indo-European Poetry</w:t>
      </w:r>
      <w:r>
        <w:t xml:space="preserve"> </w:t>
      </w:r>
      <w:r>
        <w:t xml:space="preserve">(Delhi: Motilal Banarsidass, 2025), and her earlier studies cited in Chapter 4, notes 13 and 15, particularly the demonstration that</w:t>
      </w:r>
      <w:r>
        <w:t xml:space="preserve"> </w:t>
      </w:r>
      <w:r>
        <w:rPr>
          <w:i/>
          <w:iCs/>
        </w:rPr>
        <w:t xml:space="preserve">grávan</w:t>
      </w:r>
      <w:r>
        <w:t xml:space="preserve">, traditionally glossed</w:t>
      </w:r>
      <w:r>
        <w:t xml:space="preserve"> </w:t>
      </w:r>
      <w:r>
        <w:t xml:space="preserve">“ritual pressing-stone,”</w:t>
      </w:r>
      <w:r>
        <w:t xml:space="preserve"> </w:t>
      </w:r>
      <w:r>
        <w:t xml:space="preserve">denotes a man who is singing. The recovery is enabled by, and constrained by, the bit-perfect preservation of the Vedic sound-text through the interlocking recitation modes described in Chapter 4; comparative Indo-European linguistics can reach through to the meaning only because the phonological shell it is reading is the genuine ancient article, not a later approximation.</w:t>
      </w:r>
    </w:p>
  </w:footnote>
  <w:footnote w:id="140">
    <w:p>
      <w:pPr>
        <w:pStyle w:val="FootnoteText"/>
      </w:pPr>
      <w:r>
        <w:rPr>
          <w:rStyle w:val="FootnoteReference"/>
        </w:rPr>
        <w:footnoteRef/>
      </w:r>
      <w:r>
        <w:t xml:space="preserve"> </w:t>
      </w:r>
      <w:r>
        <w:t xml:space="preserve">On the antiquity of the Song of Deborah (Judges 5) and its linguistic difficulty, see Frank Moore Cross,</w:t>
      </w:r>
      <w:r>
        <w:t xml:space="preserve"> </w:t>
      </w:r>
      <w:r>
        <w:rPr>
          <w:i/>
          <w:iCs/>
        </w:rPr>
        <w:t xml:space="preserve">Canaanite Myth and Hebrew Epic</w:t>
      </w:r>
      <w:r>
        <w:t xml:space="preserve"> </w:t>
      </w:r>
      <w:r>
        <w:t xml:space="preserve">(Cambridge, MA: Harvard University Press, 1973), and the survey in the standard commentaries. It is conventionally grouped with the Song of the Sea (Exodus 15), the Blessing of Jacob (Genesis 49), and the Song and Blessing of Moses (Deuteronomy 32–33) as the oldest stratum of Hebrew poetry, on grounds of archaic morphology and vocabulary. The Septuagint’s difficulty with the passage is visible in the sharply divergent renderings of Codex Alexandrinus and Codex Vaticanus at Judges 5, described by more than one editor as a maze of strange readings, which indicates that the Hebrew was already hard for translators working centuries before the Masoretes fixed the vocalization.</w:t>
      </w:r>
    </w:p>
  </w:footnote>
  <w:footnote w:id="141">
    <w:p>
      <w:pPr>
        <w:pStyle w:val="FootnoteText"/>
      </w:pPr>
      <w:r>
        <w:rPr>
          <w:rStyle w:val="FootnoteReference"/>
        </w:rPr>
        <w:footnoteRef/>
      </w:r>
      <w:r>
        <w:t xml:space="preserve"> </w:t>
      </w:r>
      <w:r>
        <w:t xml:space="preserve">The Ugaritic tablets were discovered at Ras Shamra on the Syrian coast beginning in 1929; Ugaritic is a Late Bronze Age Northwest Semitic language closely related to Hebrew, and its recovery transformed the study of archaic biblical poetry much as the decipherment of Linear B (Michael Ventris, 1952) transformed the study of Homer’s Mycenaean layer. Archaic features that appear in the oldest Hebrew poetry as anomalies, among them the</w:t>
      </w:r>
      <w:r>
        <w:t xml:space="preserve"> </w:t>
      </w:r>
      <w:r>
        <w:rPr>
          <w:i/>
          <w:iCs/>
        </w:rPr>
        <w:t xml:space="preserve">t</w:t>
      </w:r>
      <w:r>
        <w:t xml:space="preserve">-preformative imperfect used with duals and collectives, the</w:t>
      </w:r>
      <w:r>
        <w:t xml:space="preserve"> </w:t>
      </w:r>
      <w:r>
        <w:t xml:space="preserve">“energic”</w:t>
      </w:r>
      <w:r>
        <w:t xml:space="preserve"> </w:t>
      </w:r>
      <w:r>
        <w:rPr>
          <w:i/>
          <w:iCs/>
        </w:rPr>
        <w:t xml:space="preserve">nun</w:t>
      </w:r>
      <w:r>
        <w:t xml:space="preserve"> </w:t>
      </w:r>
      <w:r>
        <w:t xml:space="preserve">on imperfect verbs, and preserved case-endings on nouns, were shown to be ordinary living forms in Ugaritic. See Frank Moore Cross and David Noel Freedman,</w:t>
      </w:r>
      <w:r>
        <w:t xml:space="preserve"> </w:t>
      </w:r>
      <w:r>
        <w:rPr>
          <w:i/>
          <w:iCs/>
        </w:rPr>
        <w:t xml:space="preserve">Studies in Ancient Yahwistic Poetry</w:t>
      </w:r>
      <w:r>
        <w:t xml:space="preserve"> </w:t>
      </w:r>
      <w:r>
        <w:t xml:space="preserve">(1950; repr. Grand Rapids: Eerdmans, 1997); and Mitchell Dahood’s (sometimes over-reaching but methodologically emblematic)</w:t>
      </w:r>
      <w:r>
        <w:t xml:space="preserve"> </w:t>
      </w:r>
      <w:r>
        <w:rPr>
          <w:i/>
          <w:iCs/>
        </w:rPr>
        <w:t xml:space="preserve">Psalms</w:t>
      </w:r>
      <w:r>
        <w:t xml:space="preserve">, 3 vols., Anchor Bible (Garden City, NY: Doubleday, 1966–1970), which applied Ugaritic comparanda to biblical lexica systematically. The methodological caution, that Ugaritic parallels can be over-applied, is real and is part of the point: comparative recovery is itself subject to the adversarial-verification discipline of Chapter 5.</w:t>
      </w:r>
    </w:p>
  </w:footnote>
  <w:footnote w:id="142">
    <w:p>
      <w:pPr>
        <w:pStyle w:val="FootnoteText"/>
      </w:pPr>
      <w:r>
        <w:rPr>
          <w:rStyle w:val="FootnoteReference"/>
        </w:rPr>
        <w:footnoteRef/>
      </w:r>
      <w:r>
        <w:t xml:space="preserve"> </w:t>
      </w:r>
      <w:r>
        <w:t xml:space="preserve">The 1611 King James translators were explicit, in their preface</w:t>
      </w:r>
      <w:r>
        <w:t xml:space="preserve"> </w:t>
      </w:r>
      <w:r>
        <w:t xml:space="preserve">“The Translators to the Reader”</w:t>
      </w:r>
      <w:r>
        <w:t xml:space="preserve"> </w:t>
      </w:r>
      <w:r>
        <w:t xml:space="preserve">and in their marginal notes, about words and passages whose sense was uncertain; the margins of the KJV frequently record alternative renderings and admissions of doubt. This candor about the limits of recovery is itself the mark of a healthy transmission culture, the same instinct that produced the Masoretic</w:t>
      </w:r>
      <w:r>
        <w:t xml:space="preserve"> </w:t>
      </w:r>
      <w:r>
        <w:rPr>
          <w:i/>
          <w:iCs/>
        </w:rPr>
        <w:t xml:space="preserve">kere/ketiv</w:t>
      </w:r>
      <w:r>
        <w:t xml:space="preserve"> </w:t>
      </w:r>
      <w:r>
        <w:t xml:space="preserve">apparatus discussed in Chapter 5, which preserves a textual uncertainty rather than papering over it.</w:t>
      </w:r>
    </w:p>
  </w:footnote>
  <w:footnote w:id="143">
    <w:p>
      <w:pPr>
        <w:pStyle w:val="FootnoteText"/>
      </w:pPr>
      <w:r>
        <w:rPr>
          <w:rStyle w:val="FootnoteReference"/>
        </w:rPr>
        <w:footnoteRef/>
      </w:r>
      <w:r>
        <w:t xml:space="preserve"> </w:t>
      </w:r>
      <w:r>
        <w:t xml:space="preserve">For the skeptical case; that some of the linguistic peculiarities of Judges 5 reflect poetic license or even late features rather than genuine archaism, and that a few of its words are demonstrably post-exilic, see, e.g., the argument surveyed at TheTorah.com (</w:t>
      </w:r>
      <w:r>
        <w:t xml:space="preserve">“Dating Deborah”</w:t>
      </w:r>
      <w:r>
        <w:t xml:space="preserve">) and the cautions in more recent philological treatments such as the analysis in Tania Notarius,</w:t>
      </w:r>
      <w:r>
        <w:t xml:space="preserve"> </w:t>
      </w:r>
      <w:r>
        <w:rPr>
          <w:i/>
          <w:iCs/>
        </w:rPr>
        <w:t xml:space="preserve">The Verb in Archaic Biblical Poetry</w:t>
      </w:r>
      <w:r>
        <w:t xml:space="preserve"> </w:t>
      </w:r>
      <w:r>
        <w:t xml:space="preserve">(Leiden: Brill, 2013). The dating of the early Hebrew poetic corpus remains genuinely contested. The argument here does not depend on any particular resolution: whether a hard form in the Song is archaic, dialectal, or poetic, the demonstrated fact is that the poetic strata of the Bible preserved material the later tradition could no longer fully read, and that comparative Semitics has recovered a substantial portion of it; which is the mechanism this book is describing, not a claim about the exact century of composition.</w:t>
      </w:r>
    </w:p>
  </w:footnote>
  <w:footnote w:id="144">
    <w:p>
      <w:pPr>
        <w:pStyle w:val="FootnoteText"/>
      </w:pPr>
      <w:r>
        <w:rPr>
          <w:rStyle w:val="FootnoteReference"/>
        </w:rPr>
        <w:footnoteRef/>
      </w:r>
      <w:r>
        <w:t xml:space="preserve"> </w:t>
      </w:r>
      <w:r>
        <w:t xml:space="preserve">J. R. R. Tolkien,</w:t>
      </w:r>
      <w:r>
        <w:t xml:space="preserve"> </w:t>
      </w:r>
      <w:r>
        <w:t xml:space="preserve">“On Fairy-Stories,”</w:t>
      </w:r>
      <w:r>
        <w:t xml:space="preserve"> </w:t>
      </w:r>
      <w:r>
        <w:t xml:space="preserve">delivered as an Andrew Lang Lecture in 1939 and published in</w:t>
      </w:r>
      <w:r>
        <w:t xml:space="preserve"> </w:t>
      </w:r>
      <w:r>
        <w:rPr>
          <w:i/>
          <w:iCs/>
        </w:rPr>
        <w:t xml:space="preserve">Essays Presented to Charles Williams</w:t>
      </w:r>
      <w:r>
        <w:t xml:space="preserve"> </w:t>
      </w:r>
      <w:r>
        <w:t xml:space="preserve">(Oxford: Oxford University Press, 1947); most accessibly in</w:t>
      </w:r>
      <w:r>
        <w:t xml:space="preserve"> </w:t>
      </w:r>
      <w:r>
        <w:rPr>
          <w:i/>
          <w:iCs/>
        </w:rPr>
        <w:t xml:space="preserve">Tree and Leaf</w:t>
      </w:r>
      <w:r>
        <w:t xml:space="preserve"> </w:t>
      </w:r>
      <w:r>
        <w:t xml:space="preserve">(London: George Allen &amp; Unwin, 1964) and in</w:t>
      </w:r>
      <w:r>
        <w:t xml:space="preserve"> </w:t>
      </w:r>
      <w:r>
        <w:rPr>
          <w:i/>
          <w:iCs/>
        </w:rPr>
        <w:t xml:space="preserve">The Monsters and the Critics and Other Essays</w:t>
      </w:r>
      <w:r>
        <w:t xml:space="preserve">, ed. Christopher Tolkien (London: George Allen &amp; Unwin, 1983). The phrase</w:t>
      </w:r>
      <w:r>
        <w:t xml:space="preserve"> </w:t>
      </w:r>
      <w:r>
        <w:t xml:space="preserve">“distance and a great abyss of time”</w:t>
      </w:r>
      <w:r>
        <w:t xml:space="preserve"> </w:t>
      </w:r>
      <w:r>
        <w:t xml:space="preserve">is Tolkien’s own; he argues that the antiquity of old tales is itself part of their power, and that stories were kept and retold partly because they produced this effect of depth. The</w:t>
      </w:r>
      <w:r>
        <w:t xml:space="preserve"> </w:t>
      </w:r>
      <w:r>
        <w:t xml:space="preserve">“Cauldron of Story”</w:t>
      </w:r>
      <w:r>
        <w:t xml:space="preserve"> </w:t>
      </w:r>
      <w:r>
        <w:t xml:space="preserve">(the Pot of Soup, ever-boiling, to which each age adds ingredients) and the related figure of the</w:t>
      </w:r>
      <w:r>
        <w:t xml:space="preserve"> </w:t>
      </w:r>
      <w:r>
        <w:t xml:space="preserve">“soup”</w:t>
      </w:r>
      <w:r>
        <w:t xml:space="preserve"> </w:t>
      </w:r>
      <w:r>
        <w:t xml:space="preserve">versus</w:t>
      </w:r>
      <w:r>
        <w:t xml:space="preserve"> </w:t>
      </w:r>
      <w:r>
        <w:t xml:space="preserve">“the bones of the ox out of which it has been boiled”</w:t>
      </w:r>
      <w:r>
        <w:t xml:space="preserve">, the finished story versus its sources, are developed in the same essay; the bones image Tolkien adapts from George Webbe Dasent. Tolkien’s professional standing behind the essay is the relevant fact: he was Rawlinson and Bosworth Professor of Anglo-Saxon at Oxford, a philologist of exactly the Old English and Old Norse material this appendix draws on. He faked the depth in his own fiction with the tools of someone who knew precisely how real depth was made.</w:t>
      </w:r>
    </w:p>
  </w:footnote>
  <w:footnote w:id="145">
    <w:p>
      <w:pPr>
        <w:pStyle w:val="FootnoteText"/>
      </w:pPr>
      <w:r>
        <w:rPr>
          <w:rStyle w:val="FootnoteReference"/>
        </w:rPr>
        <w:footnoteRef/>
      </w:r>
      <w:r>
        <w:t xml:space="preserve"> </w:t>
      </w:r>
      <w:r>
        <w:t xml:space="preserve">On the</w:t>
      </w:r>
      <w:r>
        <w:t xml:space="preserve"> </w:t>
      </w:r>
      <w:r>
        <w:rPr>
          <w:i/>
          <w:iCs/>
        </w:rPr>
        <w:t xml:space="preserve">tell</w:t>
      </w:r>
      <w:r>
        <w:t xml:space="preserve"> </w:t>
      </w:r>
      <w:r>
        <w:t xml:space="preserve">(Arabic</w:t>
      </w:r>
      <w:r>
        <w:t xml:space="preserve"> </w:t>
      </w:r>
      <w:r>
        <w:rPr>
          <w:i/>
          <w:iCs/>
        </w:rPr>
        <w:t xml:space="preserve">tall</w:t>
      </w:r>
      <w:r>
        <w:t xml:space="preserve">) as the characteristic Mesopotamian ruin-form, a mound built up from the collapsed mud-brick of successive settlements, the term itself attested by the end of the third millennium BC, see the overview in the</w:t>
      </w:r>
      <w:r>
        <w:t xml:space="preserve"> </w:t>
      </w:r>
      <w:r>
        <w:rPr>
          <w:i/>
          <w:iCs/>
        </w:rPr>
        <w:t xml:space="preserve">Encyclopædia Britannica</w:t>
      </w:r>
      <w:r>
        <w:t xml:space="preserve">,</w:t>
      </w:r>
      <w:r>
        <w:t xml:space="preserve"> </w:t>
      </w:r>
      <w:r>
        <w:t xml:space="preserve">“History of Mesopotamia,”</w:t>
      </w:r>
      <w:r>
        <w:t xml:space="preserve"> </w:t>
      </w:r>
      <w:r>
        <w:t xml:space="preserve">on archaeological method. On ancient Mesopotamian awareness of, and antiquarian engagement with, their own deep past, see the foundation-deposit practices of the Neo-Babylonian kings: Nebuchadnezzar II (r. 605–562 BC) records in his building inscriptions digging down through the debris of a temple</w:t>
      </w:r>
      <w:r>
        <w:t xml:space="preserve"> </w:t>
      </w:r>
      <w:r>
        <w:t xml:space="preserve">“which no former king had seen since the distant days”</w:t>
      </w:r>
      <w:r>
        <w:t xml:space="preserve"> </w:t>
      </w:r>
      <w:r>
        <w:t xml:space="preserve">to recover the foundation platform of Naram-Sin of Akkad, a king already some seventeen centuries in Nebuchadnezzar’s own past, and deliberately preserving Naram-Sin’s inscription alongside his own. See Rocío Da Riva,</w:t>
      </w:r>
      <w:r>
        <w:t xml:space="preserve"> </w:t>
      </w:r>
      <w:r>
        <w:rPr>
          <w:i/>
          <w:iCs/>
        </w:rPr>
        <w:t xml:space="preserve">The Neo-Babylonian Royal Inscriptions: An Introduction</w:t>
      </w:r>
      <w:r>
        <w:t xml:space="preserve"> </w:t>
      </w:r>
      <w:r>
        <w:t xml:space="preserve">(Münster: Ugarit-Verlag, 2008), 27. The impulse to reach through rubble toward an authenticating and half-legendary antiquity is, in other words, as old as the written record itself; the oldest layers of literature already look back on older ruins whose origins their authors no longer knew.</w:t>
      </w:r>
      <w:r>
        <w:t xml:space="preserve"> </w:t>
      </w:r>
      <w:r>
        <w:t xml:space="preserve"># Appendix 2: Building the Stack in Silicon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2026-07-05T06:44:41Z</dcterms:created>
  <dcterms:modified xsi:type="dcterms:W3CDTF">2026-07-05T06:44:41Z</dcterms:modified>
</cp:coreProperties>
</file>

<file path=docProps/custom.xml><?xml version="1.0" encoding="utf-8"?>
<Properties xmlns="http://schemas.openxmlformats.org/officeDocument/2006/custom-properties" xmlns:vt="http://schemas.openxmlformats.org/officeDocument/2006/docPropsVTypes"/>
</file>