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Commodity-Steel</w:t>
      </w:r>
      <w:r>
        <w:t xml:space="preserve"> </w:t>
      </w:r>
      <w:r>
        <w:t xml:space="preserve">Transformers</w:t>
      </w:r>
      <w:r>
        <w:t xml:space="preserve"> </w:t>
      </w:r>
      <w:r>
        <w:t xml:space="preserve">at</w:t>
      </w:r>
      <w:r>
        <w:t xml:space="preserve"> </w:t>
      </w:r>
      <w:r>
        <w:t xml:space="preserve">12</w:t>
      </w:r>
      <w:r>
        <w:t xml:space="preserve"> </w:t>
      </w:r>
      <w:r>
        <w:t xml:space="preserve">Hz:</w:t>
      </w:r>
      <w:r>
        <w:t xml:space="preserve"> </w:t>
      </w:r>
      <w:r>
        <w:t xml:space="preserve">Breaking</w:t>
      </w:r>
      <w:r>
        <w:t xml:space="preserve"> </w:t>
      </w:r>
      <w:r>
        <w:t xml:space="preserve">the</w:t>
      </w:r>
      <w:r>
        <w:t xml:space="preserve"> </w:t>
      </w:r>
      <w:r>
        <w:t xml:space="preserve">GOES</w:t>
      </w:r>
      <w:r>
        <w:t xml:space="preserve"> </w:t>
      </w:r>
      <w:r>
        <w:t xml:space="preserve">Bottleneck</w:t>
      </w:r>
    </w:p>
    <w:p>
      <w:pPr>
        <w:pStyle w:val="Subtitle"/>
      </w:pPr>
      <w:r>
        <w:t xml:space="preserve">Using</w:t>
      </w:r>
      <w:r>
        <w:t xml:space="preserve"> </w:t>
      </w:r>
      <w:r>
        <w:t xml:space="preserve">Proven</w:t>
      </w:r>
      <w:r>
        <w:t xml:space="preserve"> </w:t>
      </w:r>
      <w:r>
        <w:t xml:space="preserve">Bahnstrom</w:t>
      </w:r>
      <w:r>
        <w:t xml:space="preserve"> </w:t>
      </w:r>
      <w:r>
        <w:t xml:space="preserve">Principles</w:t>
      </w:r>
    </w:p>
    <w:p>
      <w:pPr>
        <w:pStyle w:val="Author"/>
      </w:pPr>
      <w:r>
        <w:t xml:space="preserve">David</w:t>
      </w:r>
      <w:r>
        <w:t xml:space="preserve"> </w:t>
      </w:r>
      <w:r>
        <w:t xml:space="preserve">Walther</w:t>
      </w:r>
    </w:p>
    <w:p>
      <w:pPr>
        <w:pStyle w:val="Date"/>
      </w:pPr>
      <w:r>
        <w:t xml:space="preserve">2026</w:t>
      </w:r>
    </w:p>
    <w:p>
      <w:pPr>
        <w:pStyle w:val="FirstParagraph"/>
      </w:pPr>
      <w:r>
        <w:rPr>
          <w:bCs/>
          <w:b/>
        </w:rPr>
        <w:t xml:space="preserve">Commodity-Steel Transformers at 12 Hz:</w:t>
      </w:r>
    </w:p>
    <w:p>
      <w:pPr>
        <w:pStyle w:val="BodyText"/>
      </w:pPr>
      <w:r>
        <w:rPr>
          <w:bCs/>
          <w:b/>
        </w:rPr>
        <w:t xml:space="preserve">Breaking the GOES Bottleneck</w:t>
      </w:r>
    </w:p>
    <w:p>
      <w:pPr>
        <w:pStyle w:val="BodyText"/>
      </w:pPr>
      <w:r>
        <w:rPr>
          <w:bCs/>
          <w:b/>
        </w:rPr>
        <w:t xml:space="preserve">Using Proven Bahnstrom Principles</w:t>
      </w:r>
    </w:p>
    <w:p>
      <w:pPr>
        <w:pStyle w:val="BodyText"/>
      </w:pPr>
      <w:r>
        <w:rPr>
          <w:iCs/>
          <w:i/>
        </w:rPr>
        <w:t xml:space="preserve">A Technical White Paper on Low-Frequency AC Grid Architecture</w:t>
      </w:r>
    </w:p>
    <w:p>
      <w:pPr>
        <w:pStyle w:val="BodyText"/>
      </w:pPr>
      <w:r>
        <w:rPr>
          <w:iCs/>
          <w:i/>
        </w:rPr>
        <w:t xml:space="preserve">for Rapid Grid Deployment from Domestic Materials</w:t>
      </w:r>
    </w:p>
    <w:p>
      <w:pPr>
        <w:pStyle w:val="BodyText"/>
      </w:pPr>
      <w:r>
        <w:t xml:space="preserve">March 2026</w:t>
      </w:r>
    </w:p>
    <w:p>
      <w:pPr>
        <w:pStyle w:val="BodyText"/>
      </w:pPr>
      <w:r>
        <w:t xml:space="preserve">Abstract</w:t>
      </w:r>
    </w:p>
    <w:p>
      <w:pPr>
        <w:pStyle w:val="BodyText"/>
      </w:pPr>
      <w:r>
        <w:t xml:space="preserve">The global electrical grid faces a binding supply-chain constraint: the shortage of grain-oriented electrical steel (GOES). This specialty alloy, required for transformer cores operating at 50/60 Hz, is produced by fewer than a dozen mills worldwide. The resulting transformer backlog—estimated by Wood Mackenzie at a 30% shortfall for power transformers, with lead times of 2.5–2.8 years—is throttling grid expansion in every industrialized and developing nation simultaneously. New generation capacity, including data centers, renewable installations, and industrial loads, cannot be connected to existing grids because the transformers to serve them do not exist and cannot be manufactured fast enough.</w:t>
      </w:r>
    </w:p>
    <w:p>
      <w:pPr>
        <w:pStyle w:val="BodyText"/>
      </w:pPr>
      <w:r>
        <w:t xml:space="preserve">This paper proposes a solution grounded in 113 years of operational precedent: low-frequency AC grid architecture using commodity mild steel transformers. The European Bahnstrom railway electrification system has operated at 16.7 Hz since 1912 across Germany, Austria, Switzerland, Sweden, and Norway, demonstrating every component of the proposed architecture at national scale and over generational time horizons. At 12 Hz—a frequency chosen to optimize commodity-steel core performance while remaining within the validated Bahnstrom engineering envelope—transformer cores can be wound from ordinary mild steel produced at scale by hundreds of mills worldwide. A 12 Hz transformer factory can be commissioned in 6–9 months. The entire GOES bottleneck is eliminated for initial deployment, while the same transformer designs support progressive core upgrades to non-oriented (NOES) and grain-oriented (GOES) electrical steel for improved efficiency as specialty steel supply permits.</w:t>
      </w:r>
    </w:p>
    <w:p>
      <w:pPr>
        <w:pStyle w:val="BodyText"/>
      </w:pPr>
      <w:r>
        <w:t xml:space="preserve">1. The GOES Bottleneck</w:t>
      </w:r>
    </w:p>
    <w:p>
      <w:pPr>
        <w:pStyle w:val="BodyText"/>
      </w:pPr>
      <w:r>
        <w:t xml:space="preserve">Grain-oriented electrical steel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Japan (Nippon Steel, JFE), South Korea (POSCO), Germany (ThyssenKrupp), Russia (NLMK), and China (Baowu, Shougang). U.S. production is limited, primarily Cleveland-Cliffs (formerly AK Steel).</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No amount of transformer factory construction solves this problem if the GOES is not available. The steel is the constraint. Every new factory competes for the same limited global GOES supply. The question is whether transformer cores can be built from something other than GOES—and the answer has been operating across Europe for over a century.</w:t>
      </w:r>
    </w:p>
    <w:p>
      <w:pPr>
        <w:pStyle w:val="BodyText"/>
      </w:pPr>
      <w:r>
        <w:t xml:space="preserve">2.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3. 12 Hz Architecture: Technical Parameters</w:t>
      </w:r>
    </w:p>
    <w:p>
      <w:pPr>
        <w:pStyle w:val="BodyText"/>
      </w:pPr>
      <w:r>
        <w:t xml:space="preserve">3.1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 three-phase distribution to the building panel (see Section 3.6),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3.2 Transformer Design</w:t>
      </w:r>
    </w:p>
    <w:p>
      <w:pPr>
        <w:pStyle w:val="BodyText"/>
      </w:pPr>
      <w:r>
        <w:t xml:space="preserve">12 Hz transformer cores use laminated mild steel (A36 or equivalent structural grades) or commodity non-oriented electrical steel. Copper windings,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w:t>
      </w:r>
      <w:r>
        <w:t xml:space="preserve">last mile</w:t>
      </w:r>
      <w:r>
        <w:t xml:space="preserv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3.3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3.4 Generation Interface</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which are simpler than DC-to-50Hz equivalents due to reduced switching frequency and relaxed harmonic filtering requirements.</w:t>
      </w:r>
    </w:p>
    <w:p>
      <w:pPr>
        <w:pStyle w:val="BodyText"/>
      </w:pPr>
      <w:r>
        <w:t xml:space="preserve">3.5 Sodium-Ion Storage Integration</w:t>
      </w:r>
    </w:p>
    <w:p>
      <w:pPr>
        <w:pStyle w:val="BodyText"/>
      </w:pPr>
      <w:r>
        <w:t xml:space="preserve">Grid-scale sodium-ion battery storage (a technology now commercially available from multiple U.S. manufacturers)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w:t>
      </w:r>
    </w:p>
    <w:p>
      <w:pPr>
        <w:pStyle w:val="BodyText"/>
      </w:pPr>
      <w:r>
        <w:t xml:space="preserve">3.6 High-Voltage Distribution and Efficiency Gains</w:t>
      </w:r>
    </w:p>
    <w:p>
      <w:pPr>
        <w:pStyle w:val="BodyText"/>
      </w:pPr>
      <w:r>
        <w:t xml:space="preserve">A clean-sheet 12 Hz grid enables a distribution voltage architecture that eliminates an entire tier of transformation and delivers substantial efficiency gains. The target end-use voltage is 600V three-phase wye (347V line-to-neutral), delivered directly to the building panel. This is 2.5x the European 230V standard and 5x the North American 120V standard. The efficiency implications are fundamental: for a given power delivery, current scales as 1/V, and wire losses (I²R) scale as 1/V². At 600V, the same wire carries 5x the power with 1/25th the loss compared to 120V—or equivalently, the same power delivery requires dramatically less copper. Standard North American building wire (THHN/THWN, NM-B) is already rated for 600V; 600V breakers are commodity industrial items. No exotic components are required.</w:t>
      </w:r>
    </w:p>
    <w:p>
      <w:pPr>
        <w:pStyle w:val="BodyText"/>
      </w:pPr>
      <w:r>
        <w:t xml:space="preserve">During the transition period, while existing consumer appliances are designed for 50 or 60 Hz, the architecture deploys rotary frequency converters at the neighborhood distribution level—the same motor-generator technology used in the Bahnstrom system since the 1920s. The 12 Hz backbone delivers bulk power to the neighborhood converter, which outputs 600V three-phase at 50 or 60 Hz (as locally appropriate) for distribution to buildings. This arrangement is transparent to all existing consumer equipment while preserving every advantage of the 12 Hz backbone for generation, transmission, and bulk distribution. As the appliance fleet naturally turns over to inverter-driven and frequency-independent designs, the neighborhood converters can be progressively retired, ultimately delivering 12 Hz at 600V straight to the building panel with no frequency conversion anywhere in the path.</w:t>
      </w:r>
    </w:p>
    <w:p>
      <w:pPr>
        <w:pStyle w:val="BodyText"/>
      </w:pPr>
      <w:r>
        <w:t xml:space="preserve">In the final-state architecture (12 Hz / 600V to the panel), the service entrance transformer is eliminated entirely. The neighborhood converter outputs 600V and that goes straight down the street and into every panel. The entire distribution level between the converter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3.7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frequency-independent by design.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w:t>
      </w:r>
      <w:r>
        <w:t xml:space="preserve">flag day</w:t>
      </w:r>
      <w:r>
        <w:t xml:space="preserve">”</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w:t>
      </w:r>
      <w:r>
        <w:t xml:space="preserve">convert a bit at a time</w:t>
      </w:r>
      <w:r>
        <w:t xml:space="preserv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4. Applications</w:t>
      </w:r>
    </w:p>
    <w:p>
      <w:pPr>
        <w:pStyle w:val="BodyText"/>
      </w:pPr>
      <w:r>
        <w:t xml:space="preserve">4.1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4.2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4.3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4.4 Global Export</w:t>
      </w:r>
    </w:p>
    <w:p>
      <w:pPr>
        <w:pStyle w:val="BodyText"/>
      </w:pPr>
      <w:r>
        <w:t xml:space="preserve">The GOES constraint is global. Every nation building or expanding grid capacity faces the same multi-year transformer backlog. The first country to commercialize a proven 12 Hz grid architecture—with validated transformer designs, manufacturing processes, protection schemes, and operational procedures—captures a global infrastructure market. The total addressable market for power and distribution transformers exceeds $50 billion annually. A commodity-steel alternative that can be manufactured anywhere from locally available materials fundamentally disrupts this market.</w:t>
      </w:r>
    </w:p>
    <w:p>
      <w:pPr>
        <w:pStyle w:val="BodyText"/>
      </w:pPr>
      <w:r>
        <w:t xml:space="preserve">5.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Cs/>
          <w:b/>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pStyle w:val="BodyText"/>
      </w:pPr>
      <w:r>
        <w:rPr>
          <w:bCs/>
          <w:b/>
        </w:rPr>
        <w:t xml:space="preserve">National Lab Feasibility Assessment (concurrent, 60 days):</w:t>
      </w:r>
      <w:r>
        <w:t xml:space="preserve"> </w:t>
      </w:r>
      <w:r>
        <w:t xml:space="preserve">Independent technical review by DOE national laboratory staff (Sandia, PNNL, or NREL) producing a formal feasibility determination. This is the document that underwrites Congressional authorization for any larger deployment.</w:t>
      </w:r>
    </w:p>
    <w:p>
      <w:pPr>
        <w:pStyle w:val="BodyText"/>
      </w:pPr>
      <w:r>
        <w:rPr>
          <w:bCs/>
          <w:b/>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6. Conclusion</w:t>
      </w:r>
    </w:p>
    <w:p>
      <w:pPr>
        <w:pStyle w:val="BodyText"/>
      </w:pPr>
      <w:r>
        <w:t xml:space="preserve">The global transformer shortage is not a temporary supply-chain disruption. It is a structural constraint imposed by the limited global supply of grain-oriented electrical steel. Factory expansion does not solve it; new factories compete for the same constrained GOES supply. The only way to break the bottleneck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 12 Hz transformer factory can be commissioned in months, not years.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bottleneck for initial deployment while preserving it as the long-term performance optimization path.</w:t>
      </w:r>
    </w:p>
    <w:p>
      <w:pPr>
        <w:pStyle w:val="BodyText"/>
      </w:pPr>
      <w:r>
        <w:t xml:space="preserve">The technology is not speculative. It is a straightforward engineering adaptation of the oldest and most extensively proven electrical power architecture in the world. What it requires is a focused validation pilot and the decision to deploy. The transformer crisis is here. The solution has been running in Europe since 1912.</w:t>
      </w:r>
    </w:p>
    <w:p>
      <w:pPr>
        <w:pStyle w:val="BodyText"/>
      </w:pPr>
      <w:r>
        <w:t xml:space="preserve">Contact: [Author]</w:t>
      </w:r>
    </w:p>
    <w:p>
      <w:pPr>
        <w:pStyle w:val="BodyText"/>
      </w:pPr>
      <w:r>
        <w:t xml:space="preserve">Inquiries: [email]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Commodity-Steel Transformers at 12 Hz: Breaking the GOES Bottleneck</dc:title>
  <dc:creator>David Walther</dc:creator>
  <cp:keywords/>
  <dcterms:created xsi:type="dcterms:W3CDTF">2026-04-11T10:41:48Z</dcterms:created>
  <dcterms:modified xsi:type="dcterms:W3CDTF">2026-04-11T10:41:48Z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Using Proven Bahnstrom Principles</vt:lpwstr>
  </property>
</Properties>
</file>