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Annex: 12 Hz AC Backbone vs. All-DC Grid Architecture</w:t>
      </w:r>
    </w:p>
    <w:p>
      <w:pPr>
        <w:pStyle w:val="Subtitle"/>
      </w:pPr>
      <w:r>
        <w:t xml:space="preserve">National Power Grid Reconstruction &amp; Sovereign Resilience Program</w:t>
      </w:r>
    </w:p>
    <w:p>
      <w:pPr>
        <w:pStyle w:val="Author"/>
      </w:pPr>
      <w:r>
        <w:t xml:space="preserve">David Walther</w:t>
      </w:r>
    </w:p>
    <w:p>
      <w:pPr>
        <w:pStyle w:val="Date"/>
      </w:pPr>
      <w:r>
        <w:t xml:space="preserve">2026</w:t>
      </w:r>
    </w:p>
    <w:p>
      <w:pPr>
        <w:pStyle w:val="FirstParagraph"/>
      </w:pPr>
      <w:r>
        <w:rPr>
          <w:b/>
          <w:bCs/>
        </w:rPr>
        <w:t xml:space="preserve">TECHNICAL ANNEX</w:t>
      </w:r>
    </w:p>
    <w:p>
      <w:pPr>
        <w:pStyle w:val="BodyText"/>
      </w:pPr>
      <w:r>
        <w:rPr>
          <w:b/>
          <w:bCs/>
        </w:rPr>
        <w:t xml:space="preserve">12 Hz AC Backbone vs. All-DC Grid Architecture</w:t>
      </w:r>
    </w:p>
    <w:p>
      <w:pPr>
        <w:pStyle w:val="BodyText"/>
      </w:pPr>
      <w:r>
        <w:rPr>
          <w:i/>
          <w:iCs/>
        </w:rPr>
        <w:t xml:space="preserve">Comparative Analysis for Developing-Nation Deployment</w:t>
      </w:r>
    </w:p>
    <w:p>
      <w:pPr>
        <w:pStyle w:val="BodyText"/>
      </w:pPr>
      <w:r>
        <w:t xml:space="preserve">Efficiency, Sovereignty, Deployability, and Supply Chain Resilience</w:t>
      </w:r>
    </w:p>
    <w:p>
      <w:pPr>
        <w:pStyle w:val="BodyText"/>
      </w:pPr>
      <w:r>
        <w:t xml:space="preserve">Companion Document to:</w:t>
      </w:r>
    </w:p>
    <w:p>
      <w:pPr>
        <w:pStyle w:val="BodyText"/>
      </w:pPr>
      <w:r>
        <w:rPr>
          <w:b/>
          <w:bCs/>
        </w:rPr>
        <w:t xml:space="preserve">National Power Grid Reconstruction &amp; Sovereign Resilience Program</w:t>
      </w:r>
    </w:p>
    <w:p>
      <w:pPr>
        <w:pStyle w:val="BodyText"/>
      </w:pPr>
      <w:r>
        <w:t xml:space="preserve">July 2026 — Revision 3</w:t>
      </w:r>
    </w:p>
    <w:bookmarkStart w:id="9" w:name="executive-summary"/>
    <w:p>
      <w:pPr>
        <w:pStyle w:val="Heading2"/>
      </w:pPr>
      <w:r>
        <w:t xml:space="preserve">1. EXECUTIVE SUMMARY</w:t>
      </w:r>
    </w:p>
    <w:p>
      <w:pPr>
        <w:pStyle w:val="FirstParagraph"/>
      </w:pPr>
      <w:r>
        <w:t xml:space="preserve">This annex presents a comprehensive technical comparison between two competing architectures for national-scale power grid construction in the developing world: a 12 Hz AC backbone with passive transformer voltage transformation, and an all-DC grid with semiconductor-based solid-state transformer (SST) voltage conversion. The comparison is evaluated across nine dimensions: conversion efficiency, semiconductor dependency and supply chain resilience, component lifespan and maintainability, deployment logistics and construction timelines, workforce requirements and training, commodity hardware availability and cost, material sovereignty, transition from existing 50 Hz infrastructure, and real-world performance under crisis conditions.</w:t>
      </w:r>
    </w:p>
    <w:p>
      <w:pPr>
        <w:pStyle w:val="BodyText"/>
      </w:pPr>
      <w:r>
        <w:t xml:space="preserve">The 12 Hz AC architecture specifies three voltage tiers: 345–765 kV for EHV/HV transmission, 34.5–69 kV for sub-transmission and distribution, and 600V-class three-phase wye (575–580V nominal, delivering 306–335V line-to-neutral depending on distribution-line voltage drop) directly to the consumer panel with no service entrance transformer. The all-DC architecture proposes the same voltage tiers used by the conventional 50 Hz AC grid — 115–765 kV for transmission, 4–35 kV for distribution — stepping to 380V DC at the building bus, with solid-state transformers (SSTs) performing voltage conversion at each transition. The use of conventional AC voltage levels for the DC backbone means the SSTs must handle the same voltage ranges as the HVDC converter stations they are derived from.</w:t>
      </w:r>
    </w:p>
    <w:p>
      <w:pPr>
        <w:pStyle w:val="BodyText"/>
      </w:pPr>
      <w:r>
        <w:t xml:space="preserve">Both architectures deliver comparable endpoint voltages to the consumer — 380V-class DC in the all-DC case; 306–335V AC line-to-neutral, optionally rectified to approximately 275–300V DC, in the 12 Hz case — and both integrate solar generation and sodium-ion battery storage effectively. The architectures diverge fundamentally in the backbone — the transmission and distribution infrastructure connecting generation to consumption. The 12 Hz AC backbone uses passive transformers (copper, mild steel, oil) achieving 99–99.5% efficiency per voltage transition stage with zero semiconductor dependency. The all-DC backbone uses SSTs and DC-DC converters (silicon carbide, gallium nitride, ferrite) achieving 95–98% efficiency per stage with total semiconductor dependency at every voltage transition point.</w:t>
      </w:r>
    </w:p>
    <w:p>
      <w:pPr>
        <w:pStyle w:val="BodyText"/>
      </w:pPr>
      <w:r>
        <w:t xml:space="preserve">In the backbone alone, the efficiency difference of 2–4 percentage points per stage compounds across three stages to a 7–10 percentage point advantage for AC-AC transformation over DC-DC conversion. End-to-end from solar panel to consumer device, both architectures incur comparable semiconductor losses at the generation and consumption endpoints, narrowing the total system difference to approximately 3–7 percentage points in favor of the 12 Hz architecture. More critically, the 12 Hz backbone can be built, installed, and maintained using commodity materials and trade-skilled labor available in any developing country, while the DC backbone requires specialty semiconductor components from a handful of global manufacturers and university-educated power electronics engineers for installation and maintenance.</w:t>
      </w:r>
    </w:p>
    <w:p>
      <w:pPr>
        <w:pStyle w:val="BodyText"/>
      </w:pPr>
      <w:r>
        <w:t xml:space="preserve">Two real-world case studies — the Kariba Dam drought (2023–2026) affecting Zambia and Zimbabwe, and chronic transformer failures in Uganda — are analyzed under both architectures to demonstrate divergent performance under the crisis conditions that define grid reliability in the developing world.</w:t>
      </w:r>
    </w:p>
    <w:bookmarkEnd w:id="9"/>
    <w:bookmarkStart w:id="12" w:name="architecture-specifications"/>
    <w:p>
      <w:pPr>
        <w:pStyle w:val="Heading2"/>
      </w:pPr>
      <w:r>
        <w:t xml:space="preserve">2. ARCHITECTURE SPECIFICATIONS</w:t>
      </w:r>
    </w:p>
    <w:bookmarkStart w:id="10" w:name="the-12-hz-ac-architecture"/>
    <w:p>
      <w:pPr>
        <w:pStyle w:val="Heading3"/>
      </w:pPr>
      <w:r>
        <w:t xml:space="preserve">2.1 The 12 Hz AC Architecture</w:t>
      </w:r>
    </w:p>
    <w:p>
      <w:pPr>
        <w:pStyle w:val="FirstParagraph"/>
      </w:pPr>
      <w:r>
        <w:t xml:space="preserve">The 12 Hz AC architecture is defined by three voltage tiers with passive transformer voltage conversion at each transition, delivered at 12 Hz throughout the system from generator to wall outlet:</w:t>
      </w:r>
    </w:p>
    <w:p>
      <w:pPr>
        <w:pStyle w:val="BodyText"/>
      </w:pPr>
      <w:r>
        <w:rPr>
          <w:b/>
          <w:bCs/>
        </w:rPr>
        <w:t xml:space="preserve">Tier 1 — EHV/HV Transmission (345–765 kV, 12 Hz):</w:t>
      </w:r>
      <w:r>
        <w:t xml:space="preserve"> </w:t>
      </w:r>
      <w:r>
        <w:t xml:space="preserve">Backbone long-distance transmission. Transformers at this tier use mild steel cores (enabled by the 12 Hz frequency, which cuts core losses at a given flux density — hysteresis losses roughly in proportion to frequency, eddy-current losses with its square — making commodity mild steel usable in place of GOES at the cost of a larger core). These transformers are field-buildable from locally available materials — the core innovation of the architecture.</w:t>
      </w:r>
    </w:p>
    <w:p>
      <w:pPr>
        <w:pStyle w:val="BodyText"/>
      </w:pPr>
      <w:r>
        <w:rPr>
          <w:b/>
          <w:bCs/>
        </w:rPr>
        <w:t xml:space="preserve">Tier 2 — Sub-transmission/Distribution (34.5–69 kV, 12 Hz):</w:t>
      </w:r>
      <w:r>
        <w:t xml:space="preserve"> </w:t>
      </w:r>
      <w:r>
        <w:t xml:space="preserve">Regional distribution to towns and neighborhoods. Transformers at this tier are similarly field-buildable from mild steel and copper. Keeping 12 Hz through this tier extends the sovereignty advantage to the distribution layer.</w:t>
      </w:r>
    </w:p>
    <w:p>
      <w:pPr>
        <w:pStyle w:val="BodyText"/>
      </w:pPr>
      <w:r>
        <w:rPr>
          <w:b/>
          <w:bCs/>
        </w:rPr>
        <w:t xml:space="preserve">Tier 3 — Consumer Service (600V-class three-phase wye, 12 Hz):</w:t>
      </w:r>
      <w:r>
        <w:t xml:space="preserve"> </w:t>
      </w:r>
      <w:r>
        <w:t xml:space="preserve">600V is the equipment rating ceiling (wire, breakers, conduit), not the nominal operating voltage. Distribution output is set at approximately 575–580V nominal, allowing for 5–10% voltage drop along the distribution line. The near consumer sees approximately 570–580V line-to-line (329–335V line-to-neutral). The far consumer after line losses sees approximately 530–550V line-to-line (306–318V line-to-neutral). This is standard utility practice — North American “120V” actually delivers 114–126V; European “230V” delivers 207–253V. Standard building wire (THHN/THWN, NM-B) rated for 600V accommodates the entire range with margin. 600V breakers are commodity industrial items. Heavy loads (EV charging, heat pumps, induction cooktops) wire line-to-line at 530–580V. Branch circuits wire line-to-neutral at 306–335V. Modern loads — LED lighting, computers, inverter-driven appliances — rectify internally and are both frequency-agnostic and voltage-tolerant across this range. Resistive loads (heating, water heating) work at any frequency and any voltage within the range. Three-phase lighting fixtures eliminate flicker through balanced power summation.</w:t>
      </w:r>
    </w:p>
    <w:p>
      <w:pPr>
        <w:pStyle w:val="BodyText"/>
      </w:pPr>
      <w:r>
        <w:t xml:space="preserve">At the building entrance, optional rectification of the line-to-neutral supply (306–335V depending on position on the distribution line) through a bridge rectifier and iron-cored choke-input filter produces approximately 275–300V DC — inside the ETSI EN 300 132-3-1 acceptance window of 260–400V DC for 380V-rated equipment, with no voltage-regulation electronics at the building entrance. Section 11 develops this compatibility argument in full.</w:t>
      </w:r>
    </w:p>
    <w:bookmarkEnd w:id="10"/>
    <w:bookmarkStart w:id="11" w:name="the-all-dc-architecture"/>
    <w:p>
      <w:pPr>
        <w:pStyle w:val="Heading3"/>
      </w:pPr>
      <w:r>
        <w:t xml:space="preserve">2.2 The All-DC Architecture</w:t>
      </w:r>
    </w:p>
    <w:p>
      <w:pPr>
        <w:pStyle w:val="FirstParagraph"/>
      </w:pPr>
      <w:r>
        <w:t xml:space="preserve">The all-DC architecture specifies comparable voltage tiers with active semiconductor conversion at each transition:</w:t>
      </w:r>
    </w:p>
    <w:p>
      <w:pPr>
        <w:pStyle w:val="BodyText"/>
      </w:pPr>
      <w:r>
        <w:rPr>
          <w:b/>
          <w:bCs/>
        </w:rPr>
        <w:t xml:space="preserve">Tier 1 — DC Transmission (115–765 kV DC):</w:t>
      </w:r>
      <w:r>
        <w:t xml:space="preserve"> </w:t>
      </w:r>
      <w:r>
        <w:t xml:space="preserve">Long-distance bulk power transfer at the same voltage levels used by the conventional 50 Hz AC grid, capturing the conductor savings of DC (two conductors vs. three-phase AC) at transmission scale. Voltage conversion from generation to transmission voltage via high-power DC-DC converters or SSTs using SiC/GaN semiconductors. At these voltage levels, the SSTs are massive installations requiring valve halls, forced cooling, and factory-trained commissioning — comparable in complexity to HVDC converter stations.</w:t>
      </w:r>
    </w:p>
    <w:p>
      <w:pPr>
        <w:pStyle w:val="BodyText"/>
      </w:pPr>
      <w:r>
        <w:rPr>
          <w:b/>
          <w:bCs/>
        </w:rPr>
        <w:t xml:space="preserve">Tier 2 — DC Distribution (4–35 kV DC stepping to 380V DC):</w:t>
      </w:r>
      <w:r>
        <w:t xml:space="preserve"> </w:t>
      </w:r>
      <w:r>
        <w:t xml:space="preserve">Regional and local distribution. Voltage step-down from transmission to neighborhood and then to building bus via multiple SST stages. The 380V building bus level is chosen for compatibility with existing 400V-class component supply chains, battery voltage matching (350–450V range for most high-voltage battery packs), and favorable safety/insulation standards below the “safety cliff” where arcing becomes difficult to manage with affordable breakers.</w:t>
      </w:r>
    </w:p>
    <w:p>
      <w:pPr>
        <w:pStyle w:val="BodyText"/>
      </w:pPr>
      <w:r>
        <w:rPr>
          <w:b/>
          <w:bCs/>
        </w:rPr>
        <w:t xml:space="preserve">Tier 3 — Consumer endpoints (380V DC):</w:t>
      </w:r>
      <w:r>
        <w:t xml:space="preserve"> </w:t>
      </w:r>
      <w:r>
        <w:t xml:space="preserve">Building-internal DC bus directly serving DC-native loads. This eliminates AC-DC conversion at each device, saving 5–15% at the endpoint — a genuine efficiency advantage at this layer.</w:t>
      </w:r>
    </w:p>
    <w:p>
      <w:pPr>
        <w:pStyle w:val="BodyText"/>
      </w:pPr>
      <w:r>
        <w:t xml:space="preserve">Fault protection at every node requires solid-state circuit breakers (SSCBs) because DC has no zero-crossing for natural arc extinction. At 115–765 kV DC transmission voltages, the circuit breaking problem is extreme — these are the same voltage levels at which HVDC circuit breakers remain a partially unsolved engineering challenge, requiring hybrid semiconductor/mechanical designs. Mesh networking between microgrids requires coordinated semiconductor-based protection at every junction node.</w:t>
      </w:r>
    </w:p>
    <w:bookmarkEnd w:id="11"/>
    <w:bookmarkEnd w:id="12"/>
    <w:bookmarkStart w:id="17" w:name="anatomy-of-a-power-transformer"/>
    <w:p>
      <w:pPr>
        <w:pStyle w:val="Heading2"/>
      </w:pPr>
      <w:r>
        <w:t xml:space="preserve">3. ANATOMY OF A POWER TRANSFORMER</w:t>
      </w:r>
    </w:p>
    <w:p>
      <w:pPr>
        <w:pStyle w:val="FirstParagraph"/>
      </w:pPr>
      <w:r>
        <w:t xml:space="preserve">Large power transformers are the most supply-chain-constrained component in any electrical grid. As of 2025, lead times reached 2.5 years (128 weeks) for standard power transformers and up to 4 years (210 weeks) for generator step-up units. The U.S. Department of Energy identified this bottleneck as the single most critical vulnerability in national grid infrastructure. Understanding why these devices take years to procure — and how to eliminate the bottleneck — requires understanding what they are actually made of.</w:t>
      </w:r>
    </w:p>
    <w:p>
      <w:pPr>
        <w:pStyle w:val="BodyText"/>
      </w:pPr>
      <w:r>
        <w:t xml:space="preserve">A widespread misunderstanding treats the transformer as a single-material device made of copper. In fact, a power transformer has two completely distinct material systems performing two completely distinct functions: the core and the windings. The multi-year lead time is driven overwhelmingly by the core material, not the windings. This distinction is critical because the 12 Hz architecture eliminates the core material bottleneck while leaving the windings unchanged.</w:t>
      </w:r>
    </w:p>
    <w:bookmarkStart w:id="13" w:name="X0693f09db38dea6acabab7a33f89427860be944"/>
    <w:p>
      <w:pPr>
        <w:pStyle w:val="Heading3"/>
      </w:pPr>
      <w:r>
        <w:t xml:space="preserve">3.1 The Core: Grain-Oriented Electrical Steel (GOES)</w:t>
      </w:r>
    </w:p>
    <w:p>
      <w:pPr>
        <w:pStyle w:val="FirstParagraph"/>
      </w:pPr>
      <w:r>
        <w:t xml:space="preserve">The core provides the magnetic circuit — the path through which magnetic flux couples the primary and secondary windings. At conventional power frequencies (50/60 Hz), this core must be made from grain-oriented electrical steel (GOES), a specialty iron-silicon alloy processed to align the crystal grain structure in one direction for optimal magnetic properties. GOES is manufactured by approximately 13 facilities worldwide: four in China, two in Japan, and one each in Germany, India, Poland, Czech Republic, Russia, Brazil, and South Korea. Only one manufacturer exists in the United States. This extreme concentration of supply is why large transformers take years to procure: the raw material for the core comes from a handful of specialty mills, and demand consistently exceeds supply.</w:t>
      </w:r>
    </w:p>
    <w:p>
      <w:pPr>
        <w:pStyle w:val="BodyText"/>
      </w:pPr>
      <w:r>
        <w:t xml:space="preserve">Distribution-class transformers (the pole-mount and pad-mount units at road junctions) have much shorter lead times — weeks to months — because they use smaller quantities of GOES and are produced by hundreds of factories worldwide. The multi-year bottleneck applies primarily to large power transformers (100+ MVA) at the transmission level, where each unit requires tonnes of GOES and is custom-engineered for its specific grid location.</w:t>
      </w:r>
    </w:p>
    <w:bookmarkEnd w:id="13"/>
    <w:bookmarkStart w:id="14" w:name="the-windings-copper-or-aluminum"/>
    <w:p>
      <w:pPr>
        <w:pStyle w:val="Heading3"/>
      </w:pPr>
      <w:r>
        <w:t xml:space="preserve">3.2 The Windings: Copper (or Aluminum)</w:t>
      </w:r>
    </w:p>
    <w:p>
      <w:pPr>
        <w:pStyle w:val="FirstParagraph"/>
      </w:pPr>
      <w:r>
        <w:t xml:space="preserve">The windings carry electrical current and perform voltage transformation through electromagnetic induction. They are made from copper (preferred for conductivity, approximately $8–$10/kg as of 2026) or aluminum (preferred for cost and weight, approximately $2.50–$3.50/kg). Both are global commodity metals. Copper winding fabrication is skilled manual or semi-automated work, but the materials are not supply-chain-constrained. In large power transformers, windings use continuously transposed conductor (CTC) — an intricately woven cable of individually insulated copper strands, approximately $12–$18/kg including insulation and fabrication. CTC is manufactured as a raw material input and shipped on spools to winding shops. The winding process is labor-intensive but does not require exotic materials or equipment. A competent transformer winder can be trained in 3–6 months.</w:t>
      </w:r>
    </w:p>
    <w:p>
      <w:pPr>
        <w:pStyle w:val="BodyText"/>
      </w:pPr>
      <w:r>
        <w:t xml:space="preserve">Field rewinding is an established practice. GE offers onsite transformer rewind services up to 1000 MVA and 500 kV, constructing temporary pressurized facilities on site with humidity and temperature control. Pre-wound coils are manufactured at regional winding centers and shipped to the field site for assembly onto the existing core. This demonstrates that copper windings are modular, transportable, and field-assemblable — the coils and the core are independently serviceable.</w:t>
      </w:r>
    </w:p>
    <w:bookmarkEnd w:id="14"/>
    <w:bookmarkStart w:id="15" w:name="the-12-hz-advantage"/>
    <w:p>
      <w:pPr>
        <w:pStyle w:val="Heading3"/>
      </w:pPr>
      <w:r>
        <w:t xml:space="preserve">3.3 The 12 Hz Advantage</w:t>
      </w:r>
    </w:p>
    <w:p>
      <w:pPr>
        <w:pStyle w:val="FirstParagraph"/>
      </w:pPr>
      <w:r>
        <w:t xml:space="preserve">At 12 Hz, core losses at a given flux density fall sharply relative to 50 Hz: hysteresis losses roughly in proportion to frequency (about 4x lower) and eddy-current losses with the square of frequency (about 17x lower, permitting thicker laminations that are faster to cut and stack). This makes commodity mild steel — the same material used in construction rebar and structural sections — a workable core material despite its higher specific losses and lower permeability than specialty GOES. The trade-off is more core material: volts-per-turn scale with frequency, so a 12 Hz design needs roughly 4.2x the flux-turns product of a 50 Hz equivalent, which is the origin of the 3–5x weight penalty noted in Section 17.2. Any steel mill in any country can supply the raw material. Any properly trained electrical workshop can wind a replacement transformer. The 2–4 year GOES supply chain bottleneck that affects large power transformers is eliminated entirely. At the distribution level, where conventional transformers are already commodity items, the 12 Hz advantage is incremental — enabling local fabrication rather than factory procurement, further reducing lead times from weeks to days.</w:t>
      </w:r>
    </w:p>
    <w:p>
      <w:pPr>
        <w:pStyle w:val="BodyText"/>
      </w:pPr>
      <w:r>
        <w:t xml:space="preserve">Additional 12 Hz benefits: skin effect in copper conductors is negligible for all practical conductor sizes (skin depth approximately 19 mm vs. 8.5 mm at 60 Hz), eliminating the need for complex stranded conductors in many applications. Reactive power management is also simplified: series inductive reactance at 12 Hz is roughly a quarter of its 50 Hz value, reducing voltage drop along lines, and capacitive line-charging current falls in the same proportion, extending feasible AC cable runs.</w:t>
      </w:r>
    </w:p>
    <w:bookmarkEnd w:id="15"/>
    <w:bookmarkStart w:id="16" w:name="X44e4bd77edc6f60eab09e1370e1c03ce28c8e1d"/>
    <w:p>
      <w:pPr>
        <w:pStyle w:val="Heading3"/>
      </w:pPr>
      <w:r>
        <w:t xml:space="preserve">3.4 Modular Construction: Segmented Cores vs. Series-Stacked Units</w:t>
      </w:r>
    </w:p>
    <w:p>
      <w:pPr>
        <w:pStyle w:val="FirstParagraph"/>
      </w:pPr>
      <w:r>
        <w:t xml:space="preserve">Both the supply-chain bottleneck (Section 3.1) and the transport-and-replacement problem invite the same proposal: rather than manufacture large custom units, assemble any required rating from a small stockpile of standardized small transformers — units in parallel to reach the required current, in series to reach the required voltage. This architecture shares the goal of building from standardized parts. What differs is which part of the transformer is made modular, and that choice determines whether the insulation cost of high voltage is incurred or avoided.</w:t>
      </w:r>
    </w:p>
    <w:p>
      <w:pPr>
        <w:pStyle w:val="BodyText"/>
      </w:pPr>
      <w:r>
        <w:t xml:space="preserve">In every transformer the core and the steel tank are bonded to earth ground for safety. Insulation divides into two classes with very different costs. Turn-to-turn insulation separates adjacent conductors that differ by a few volts and is inexpensive. Major insulation separates the live winding from the grounded core and tank and must withstand the full winding-to-ground voltage; it is the dominant insulation cost and a principal reason high-voltage transformers are large and expensive. This cost does not scale linearly with voltage. Creepage distance, air clearance, and basic insulation level all rise faster than proportionally, so a unit rated at three times the voltage costs considerably more than three times as much to insulate.</w:t>
      </w:r>
    </w:p>
    <w:p>
      <w:pPr>
        <w:pStyle w:val="BodyText"/>
      </w:pPr>
      <w:r>
        <w:t xml:space="preserve">Series stacking relocates this cost rather than removing it. Consider three standard 10 kV units stacked to produce 30 kV. Unit A’s secondary spans 0 to 10 kV relative to ground, unit B spans 10 to 20 kV, and unit C spans 20 to 30 kV. Within each unit the winding sees only its own 10 kV, so turn insulation is unchanged, which is what makes the proposal appear economical. The difficulty is the potential of each unit relative to earth. If unit C’s tank is grounded in the normal way, its winding sits 30 kV above a tank whose major insulation was designed for 10 kV, and it flashes over. If unit C’s tank is floated up with its winding, the winding-to-tank insulation is satisfied, but the tank, a large metal enclosure, now sits 20 kV above earth and above every grounded object near it. It must be mounted on standoff insulators rated for 20 kV, with matching air clearances, and every lead entering or leaving must be insulated to the cumulative voltage. This standoff insulation is the high-voltage insulation the stockpile of low-voltage units was meant to avoid. It has moved from inside the units to the surrounding structure, and it grows with stack height. Cascade transformer sets in high-voltage test laboratories are built in exactly this manner, each stage supported on insulator columns rated for the running total; those columns are the relocated insulation cost in physical form.</w:t>
      </w:r>
    </w:p>
    <w:p>
      <w:pPr>
        <w:pStyle w:val="BodyText"/>
      </w:pPr>
      <w:r>
        <w:t xml:space="preserve">Series stacking is therefore inexpensive at low voltage and grows expensive as the stack approaches high voltage. Stacking 240 V blocks to 480 or 720 V carries a trivial standoff penalty; stacking toward transmission voltage does not. Because the supply bottleneck is concentrated in large high-voltage units (Section 3.1), unit-stacking provides the least relief where the shortage is most severe.</w:t>
      </w:r>
    </w:p>
    <w:p>
      <w:pPr>
        <w:pStyle w:val="BodyText"/>
      </w:pPr>
      <w:r>
        <w:t xml:space="preserve">Segmented-core construction avoids the cost by placing the modularity in the magnetic circuit rather than the electrical connection. A single transformer, with one winding set and one ground reference, is built around a core assembled on site from segments that ship flat and bolt together. A bolted core joint is a magnetic joint: steel carries flux, not potential. No part of the assembled unit floats at a cumulative voltage above earth, so the winding-to-ground insulation is sized once, at the rated voltage, exactly as in a conventional transformer. The unit is an ordinary transformer delivered as a flat-packed kit, and it carries an ordinary transformer’s insulation cost. The stockpile is held as commodity mild steel and copper rather than as finished units, and the field rewinding practice described in Section 3.2 restores a damaged unit from those same materials. This delivers the transport and standardization benefits the stacking proposal seeks, without the winding-to-ground insulation penalty that stacking relocates but does not remove.</w:t>
      </w:r>
    </w:p>
    <w:bookmarkEnd w:id="16"/>
    <w:bookmarkEnd w:id="17"/>
    <w:bookmarkStart w:id="21" w:name="the-conversion-device-comparison"/>
    <w:p>
      <w:pPr>
        <w:pStyle w:val="Heading2"/>
      </w:pPr>
      <w:r>
        <w:t xml:space="preserve">4. THE CONVERSION DEVICE COMPARISON</w:t>
      </w:r>
    </w:p>
    <w:bookmarkStart w:id="18" w:name="ac-ac-the-passive-transformer"/>
    <w:p>
      <w:pPr>
        <w:pStyle w:val="Heading3"/>
      </w:pPr>
      <w:r>
        <w:t xml:space="preserve">4.1 AC-AC: The Passive Transformer</w:t>
      </w:r>
    </w:p>
    <w:p>
      <w:pPr>
        <w:pStyle w:val="FirstParagraph"/>
      </w:pPr>
      <w:r>
        <w:t xml:space="preserve">A transformer is a passive device: two copper windings around a shared iron core. No moving parts. No semiconductors. No active components. No control system. Voltage conversion occurs through electromagnetic induction. The device requires no external power, no active cooling system (oil-filled units use passive convective cooling), and no maintenance beyond periodic oil sampling and visual inspection. Efficiency at utility scale: 99–99.5% for large power transformers, 98–99% for distribution-class units. Lifespan: 40–60 years with minimal maintenance. A 500 kVA distribution transformer ($5,000–$15,000 for a conventional 50 Hz unit; a 12 Hz mild steel equivalent can be field-built for $2,000–$8,000 in materials and labor) dissipates approximately 2.5 kW of waste heat (0.5% of throughput) — warm to the touch.</w:t>
      </w:r>
    </w:p>
    <w:bookmarkEnd w:id="18"/>
    <w:bookmarkStart w:id="19" w:name="dc-dc-the-solid-state-transformer-sst"/>
    <w:p>
      <w:pPr>
        <w:pStyle w:val="Heading3"/>
      </w:pPr>
      <w:r>
        <w:t xml:space="preserve">4.2 DC-DC: The Solid-State Transformer (SST)</w:t>
      </w:r>
    </w:p>
    <w:p>
      <w:pPr>
        <w:pStyle w:val="FirstParagraph"/>
      </w:pPr>
      <w:r>
        <w:t xml:space="preserve">A solid-state transformer is an active electronic device containing SiC MOSFETs or IGBTs, high-frequency ferrite magnetics, DC bus capacitors, gate driver circuits, a digital control system, and active cooling infrastructure. Efficiency at utility scale: 95–98% for best-case modern designs, with real-world field measurements consistently below manufacturer specifications. A 500 kVA SST ($50,000–$150,000 at current pricing, not including the weatherproof enclosure, cooling system, or commissioning labor) dissipates 10–25 kW of waste heat (2–5% of throughput) — requiring forced-air or liquid cooling with fans, pumps, and heat exchangers that consume power and constitute additional failure points. In equatorial climates with ambient temperatures of 35–45°C, thermal headroom is severely constrained. DC-DC converters operate at 65–80°C junction temperature, leaving only 20–35°C of margin before thermal derating.</w:t>
      </w:r>
    </w:p>
    <w:bookmarkEnd w:id="19"/>
    <w:bookmarkStart w:id="20" w:name="the-missing-comparison-ac-ac-vs.-dc-dc"/>
    <w:p>
      <w:pPr>
        <w:pStyle w:val="Heading3"/>
      </w:pPr>
      <w:r>
        <w:t xml:space="preserve">4.3 The Missing Comparison: AC-AC vs. DC-DC</w:t>
      </w:r>
    </w:p>
    <w:p>
      <w:pPr>
        <w:pStyle w:val="FirstParagraph"/>
      </w:pPr>
      <w:r>
        <w:t xml:space="preserve">The efficiency comparison most commonly cited for all-DC systems is DC-DC vs. AC-DC — comparing DC-DC converters against the rectifiers and power supplies inside consumer devices. In that comparison, DC wins: eliminating the AC-DC roundtrip at the device level saves 5–15% at the endpoint. However, the comparison that determines backbone architecture efficiency is AC-AC vs. DC-DC — the passive transformer vs. the solid-state transformer at each voltage transition point in the grid. The passive transformer at 99–99.5% beats the SST at 95–98% by 2–4 percentage points per stage, compounding across multiple stages. Both comparisons are valid; they apply to different layers of the system.</w:t>
      </w:r>
    </w:p>
    <w:bookmarkEnd w:id="20"/>
    <w:bookmarkEnd w:id="21"/>
    <w:bookmarkStart w:id="22" w:name="end-to-end-efficiency-comparison"/>
    <w:p>
      <w:pPr>
        <w:pStyle w:val="Heading2"/>
      </w:pPr>
      <w:r>
        <w:t xml:space="preserve">5. END-TO-END EFFICIENCY COMPARISON</w:t>
      </w:r>
    </w:p>
    <w:p>
      <w:pPr>
        <w:pStyle w:val="FirstParagraph"/>
      </w:pPr>
      <w:r>
        <w:t xml:space="preserve">Both architectures have DC at both endpoints — solar panels produce DC, and most modern loads consume DC internally. The efficiency comparison must account for the full path from solar panel to end-use device, including the semiconductor conversions that both architectures require at the endpoints.</w:t>
      </w:r>
    </w:p>
    <w:tbl>
      <w:tblPr>
        <w:tblStyle w:val="Table"/>
        <w:tblW w:type="pct" w:w="5000"/>
        <w:tblLayout w:type="fixed"/>
        <w:tblLook w:firstRow="1" w:lastRow="0" w:firstColumn="0" w:lastColumn="0" w:noHBand="0" w:noVBand="0" w:val="0020"/>
      </w:tblPr>
      <w:tblGrid>
        <w:gridCol w:w="2430"/>
        <w:gridCol w:w="1890"/>
        <w:gridCol w:w="1620"/>
        <w:gridCol w:w="1980"/>
      </w:tblGrid>
      <w:tr>
        <w:trPr>
          <w:tblHeader w:val="on"/>
        </w:trPr>
        <w:tc>
          <w:tcPr/>
          <w:p>
            <w:pPr>
              <w:pStyle w:val="Compact"/>
              <w:jc w:val="left"/>
            </w:pPr>
            <w:r>
              <w:t xml:space="preserve">Stage</w:t>
            </w:r>
          </w:p>
        </w:tc>
        <w:tc>
          <w:tcPr/>
          <w:p>
            <w:pPr>
              <w:pStyle w:val="Compact"/>
              <w:jc w:val="left"/>
            </w:pPr>
            <w:r>
              <w:t xml:space="preserve">12 Hz AC Grid</w:t>
            </w:r>
          </w:p>
        </w:tc>
        <w:tc>
          <w:tcPr/>
          <w:p>
            <w:pPr>
              <w:pStyle w:val="Compact"/>
              <w:jc w:val="left"/>
            </w:pPr>
            <w:r>
              <w:t xml:space="preserve">All-DC Grid</w:t>
            </w:r>
          </w:p>
        </w:tc>
        <w:tc>
          <w:tcPr/>
          <w:p>
            <w:pPr>
              <w:pStyle w:val="Compact"/>
              <w:jc w:val="left"/>
            </w:pPr>
            <w:r>
              <w:t xml:space="preserve">Conv. 50 Hz AC</w:t>
            </w:r>
          </w:p>
        </w:tc>
      </w:tr>
      <w:tr>
        <w:tc>
          <w:tcPr/>
          <w:p>
            <w:pPr>
              <w:pStyle w:val="Compact"/>
              <w:jc w:val="left"/>
            </w:pPr>
            <w:r>
              <w:t xml:space="preserve">Solar DC → Grid interface</w:t>
            </w:r>
          </w:p>
        </w:tc>
        <w:tc>
          <w:tcPr/>
          <w:p>
            <w:pPr>
              <w:pStyle w:val="Compact"/>
              <w:jc w:val="left"/>
            </w:pPr>
            <w:r>
              <w:t xml:space="preserve">96–97% (inverter)</w:t>
            </w:r>
          </w:p>
        </w:tc>
        <w:tc>
          <w:tcPr/>
          <w:p>
            <w:pPr>
              <w:pStyle w:val="Compact"/>
              <w:jc w:val="left"/>
            </w:pPr>
            <w:r>
              <w:t xml:space="preserve">97–98% (DC-DC)</w:t>
            </w:r>
          </w:p>
        </w:tc>
        <w:tc>
          <w:tcPr/>
          <w:p>
            <w:pPr>
              <w:pStyle w:val="Compact"/>
              <w:jc w:val="left"/>
            </w:pPr>
            <w:r>
              <w:t xml:space="preserve">96–97% (inverter)</w:t>
            </w:r>
          </w:p>
        </w:tc>
      </w:tr>
      <w:tr>
        <w:tc>
          <w:tcPr/>
          <w:p>
            <w:pPr>
              <w:pStyle w:val="Compact"/>
              <w:jc w:val="left"/>
            </w:pPr>
            <w:r>
              <w:t xml:space="preserve">Gen. → Transmission</w:t>
            </w:r>
          </w:p>
        </w:tc>
        <w:tc>
          <w:tcPr/>
          <w:p>
            <w:pPr>
              <w:pStyle w:val="Compact"/>
              <w:jc w:val="left"/>
            </w:pPr>
            <w:r>
              <w:t xml:space="preserve">99.5% (transformer)</w:t>
            </w:r>
          </w:p>
        </w:tc>
        <w:tc>
          <w:tcPr/>
          <w:p>
            <w:pPr>
              <w:pStyle w:val="Compact"/>
              <w:jc w:val="left"/>
            </w:pPr>
            <w:r>
              <w:t xml:space="preserve">96–97% (SST)</w:t>
            </w:r>
          </w:p>
        </w:tc>
        <w:tc>
          <w:tcPr/>
          <w:p>
            <w:pPr>
              <w:pStyle w:val="Compact"/>
              <w:jc w:val="left"/>
            </w:pPr>
            <w:r>
              <w:t xml:space="preserve">99.5% (transformer)</w:t>
            </w:r>
          </w:p>
        </w:tc>
      </w:tr>
      <w:tr>
        <w:tc>
          <w:tcPr/>
          <w:p>
            <w:pPr>
              <w:pStyle w:val="Compact"/>
              <w:jc w:val="left"/>
            </w:pPr>
            <w:r>
              <w:t xml:space="preserve">Trans. → Distribution</w:t>
            </w:r>
          </w:p>
        </w:tc>
        <w:tc>
          <w:tcPr/>
          <w:p>
            <w:pPr>
              <w:pStyle w:val="Compact"/>
              <w:jc w:val="left"/>
            </w:pPr>
            <w:r>
              <w:t xml:space="preserve">99.5% (transformer)</w:t>
            </w:r>
          </w:p>
        </w:tc>
        <w:tc>
          <w:tcPr/>
          <w:p>
            <w:pPr>
              <w:pStyle w:val="Compact"/>
              <w:jc w:val="left"/>
            </w:pPr>
            <w:r>
              <w:t xml:space="preserve">96–97% (SST)</w:t>
            </w:r>
          </w:p>
        </w:tc>
        <w:tc>
          <w:tcPr/>
          <w:p>
            <w:pPr>
              <w:pStyle w:val="Compact"/>
              <w:jc w:val="left"/>
            </w:pPr>
            <w:r>
              <w:t xml:space="preserve">99.5% (transformer)</w:t>
            </w:r>
          </w:p>
        </w:tc>
      </w:tr>
      <w:tr>
        <w:tc>
          <w:tcPr/>
          <w:p>
            <w:pPr>
              <w:pStyle w:val="Compact"/>
              <w:jc w:val="left"/>
            </w:pPr>
            <w:r>
              <w:t xml:space="preserve">Dist. → Consumer</w:t>
            </w:r>
          </w:p>
        </w:tc>
        <w:tc>
          <w:tcPr/>
          <w:p>
            <w:pPr>
              <w:pStyle w:val="Compact"/>
              <w:jc w:val="left"/>
            </w:pPr>
            <w:r>
              <w:t xml:space="preserve">99% (transformer)</w:t>
            </w:r>
          </w:p>
        </w:tc>
        <w:tc>
          <w:tcPr/>
          <w:p>
            <w:pPr>
              <w:pStyle w:val="Compact"/>
              <w:jc w:val="left"/>
            </w:pPr>
            <w:r>
              <w:t xml:space="preserve">95–96% (SST)</w:t>
            </w:r>
          </w:p>
        </w:tc>
        <w:tc>
          <w:tcPr/>
          <w:p>
            <w:pPr>
              <w:pStyle w:val="Compact"/>
              <w:jc w:val="left"/>
            </w:pPr>
            <w:r>
              <w:t xml:space="preserve">98–99% (transformer)</w:t>
            </w:r>
          </w:p>
        </w:tc>
      </w:tr>
      <w:tr>
        <w:tc>
          <w:tcPr/>
          <w:p>
            <w:pPr>
              <w:pStyle w:val="Compact"/>
              <w:jc w:val="left"/>
            </w:pPr>
            <w:r>
              <w:t xml:space="preserve">Building entry → DC bus</w:t>
            </w:r>
          </w:p>
        </w:tc>
        <w:tc>
          <w:tcPr/>
          <w:p>
            <w:pPr>
              <w:pStyle w:val="Compact"/>
              <w:jc w:val="left"/>
            </w:pPr>
            <w:r>
              <w:t xml:space="preserve">97–98% (rectifier)</w:t>
            </w:r>
          </w:p>
        </w:tc>
        <w:tc>
          <w:tcPr/>
          <w:p>
            <w:pPr>
              <w:pStyle w:val="Compact"/>
              <w:jc w:val="left"/>
            </w:pPr>
            <w:r>
              <w:t xml:space="preserve">100% (native DC)</w:t>
            </w:r>
          </w:p>
        </w:tc>
        <w:tc>
          <w:tcPr/>
          <w:p>
            <w:pPr>
              <w:pStyle w:val="Compact"/>
              <w:jc w:val="left"/>
            </w:pPr>
            <w:r>
              <w:t xml:space="preserve">85–95% (device PSU)</w:t>
            </w:r>
          </w:p>
        </w:tc>
      </w:tr>
      <w:tr>
        <w:tc>
          <w:tcPr/>
          <w:p>
            <w:pPr>
              <w:pStyle w:val="Compact"/>
              <w:jc w:val="left"/>
            </w:pPr>
            <w:r>
              <w:t xml:space="preserve">TOTAL (best case)</w:t>
            </w:r>
          </w:p>
        </w:tc>
        <w:tc>
          <w:tcPr/>
          <w:p>
            <w:pPr>
              <w:pStyle w:val="Compact"/>
              <w:jc w:val="left"/>
            </w:pPr>
            <w:r>
              <w:t xml:space="preserve">~91–94%</w:t>
            </w:r>
          </w:p>
        </w:tc>
        <w:tc>
          <w:tcPr/>
          <w:p>
            <w:pPr>
              <w:pStyle w:val="Compact"/>
              <w:jc w:val="left"/>
            </w:pPr>
            <w:r>
              <w:t xml:space="preserve">~85–89%</w:t>
            </w:r>
          </w:p>
        </w:tc>
        <w:tc>
          <w:tcPr/>
          <w:p>
            <w:pPr>
              <w:pStyle w:val="Compact"/>
              <w:jc w:val="left"/>
            </w:pPr>
            <w:r>
              <w:t xml:space="preserve">~80–90%</w:t>
            </w:r>
          </w:p>
        </w:tc>
      </w:tr>
      <w:tr>
        <w:tc>
          <w:tcPr/>
          <w:p>
            <w:pPr>
              <w:pStyle w:val="Compact"/>
              <w:jc w:val="left"/>
            </w:pPr>
            <w:r>
              <w:t xml:space="preserve">Backbone only (3 stages)</w:t>
            </w:r>
          </w:p>
        </w:tc>
        <w:tc>
          <w:tcPr/>
          <w:p>
            <w:pPr>
              <w:pStyle w:val="Compact"/>
              <w:jc w:val="left"/>
            </w:pPr>
            <w:r>
              <w:t xml:space="preserve">~98% (passive)</w:t>
            </w:r>
          </w:p>
        </w:tc>
        <w:tc>
          <w:tcPr/>
          <w:p>
            <w:pPr>
              <w:pStyle w:val="Compact"/>
              <w:jc w:val="left"/>
            </w:pPr>
            <w:r>
              <w:t xml:space="preserve">~88–91% (active)</w:t>
            </w:r>
          </w:p>
        </w:tc>
        <w:tc>
          <w:tcPr/>
          <w:p>
            <w:pPr>
              <w:pStyle w:val="Compact"/>
              <w:jc w:val="left"/>
            </w:pPr>
            <w:r>
              <w:t xml:space="preserve">~97–98% (passive)</w:t>
            </w:r>
          </w:p>
        </w:tc>
      </w:tr>
    </w:tbl>
    <w:p>
      <w:pPr>
        <w:pStyle w:val="BodyText"/>
      </w:pPr>
      <w:r>
        <w:t xml:space="preserve">The final row isolates the backbone comparison: three voltage transition stages using passive transformers vs. three stages using SSTs. The backbone efficiency gap is 7–10 percentage points in favor of AC-AC transformation. End-to-end, both architectures incur comparable semiconductor losses at the generation endpoint (solar inverter or DC-DC converter) and the 12 Hz architecture incurs a small additional loss at the building entry (bridge rectifier), narrowing the total system difference to approximately 3–7 percentage points.</w:t>
      </w:r>
    </w:p>
    <w:p>
      <w:pPr>
        <w:pStyle w:val="BodyText"/>
      </w:pPr>
      <w:r>
        <w:t xml:space="preserve">The all-DC architecture’s advantage at the building entry (no rectifier needed, 100% native DC) partially offsets its backbone disadvantage, but does not overcome it. The conventional 50 Hz AC grid performs worst because it combines efficient backbone transformers with highly inefficient endpoint AC-DC conversion in cheap device power supplies — the specific inefficiency that both the 12 Hz and all-DC architectures address.</w:t>
      </w:r>
    </w:p>
    <w:bookmarkEnd w:id="22"/>
    <w:bookmarkStart w:id="27" w:name="semiconductor-dependency-analysis"/>
    <w:p>
      <w:pPr>
        <w:pStyle w:val="Heading2"/>
      </w:pPr>
      <w:r>
        <w:t xml:space="preserve">6. SEMICONDUCTOR DEPENDENCY ANALYSIS</w:t>
      </w:r>
    </w:p>
    <w:bookmarkStart w:id="23" w:name="semiconductor-content-by-architecture"/>
    <w:p>
      <w:pPr>
        <w:pStyle w:val="Heading3"/>
      </w:pPr>
      <w:r>
        <w:t xml:space="preserve">6.1 Semiconductor Content by Architecture</w:t>
      </w:r>
    </w:p>
    <w:tbl>
      <w:tblPr>
        <w:tblStyle w:val="Table"/>
        <w:tblW w:type="pct" w:w="5000"/>
        <w:tblLayout w:type="fixed"/>
        <w:tblLook w:firstRow="1" w:lastRow="0" w:firstColumn="0" w:lastColumn="0" w:noHBand="0" w:noVBand="0" w:val="0020"/>
      </w:tblPr>
      <w:tblGrid>
        <w:gridCol w:w="1669"/>
        <w:gridCol w:w="3148"/>
        <w:gridCol w:w="3101"/>
      </w:tblGrid>
      <w:tr>
        <w:trPr>
          <w:tblHeader w:val="on"/>
        </w:trPr>
        <w:tc>
          <w:tcPr/>
          <w:p>
            <w:pPr>
              <w:pStyle w:val="Compact"/>
              <w:jc w:val="left"/>
            </w:pPr>
            <w:r>
              <w:t xml:space="preserve">Grid Function</w:t>
            </w:r>
          </w:p>
        </w:tc>
        <w:tc>
          <w:tcPr/>
          <w:p>
            <w:pPr>
              <w:pStyle w:val="Compact"/>
              <w:jc w:val="left"/>
            </w:pPr>
            <w:r>
              <w:t xml:space="preserve">12 Hz AC Architecture</w:t>
            </w:r>
          </w:p>
        </w:tc>
        <w:tc>
          <w:tcPr/>
          <w:p>
            <w:pPr>
              <w:pStyle w:val="Compact"/>
              <w:jc w:val="left"/>
            </w:pPr>
            <w:r>
              <w:t xml:space="preserve">All-DC Architecture</w:t>
            </w:r>
          </w:p>
        </w:tc>
      </w:tr>
      <w:tr>
        <w:tc>
          <w:tcPr/>
          <w:p>
            <w:pPr>
              <w:pStyle w:val="Compact"/>
              <w:jc w:val="left"/>
            </w:pPr>
            <w:r>
              <w:t xml:space="preserve">Solar generation interface</w:t>
            </w:r>
          </w:p>
        </w:tc>
        <w:tc>
          <w:tcPr/>
          <w:p>
            <w:pPr>
              <w:pStyle w:val="Compact"/>
              <w:jc w:val="left"/>
            </w:pPr>
            <w:r>
              <w:t xml:space="preserve">Semiconductor inverter (distributed, small, replaceable)</w:t>
            </w:r>
          </w:p>
        </w:tc>
        <w:tc>
          <w:tcPr/>
          <w:p>
            <w:pPr>
              <w:pStyle w:val="Compact"/>
              <w:jc w:val="left"/>
            </w:pPr>
            <w:r>
              <w:t xml:space="preserve">Semiconductor DC-DC converter (distributed, small, replaceable)</w:t>
            </w:r>
          </w:p>
        </w:tc>
      </w:tr>
      <w:tr>
        <w:tc>
          <w:tcPr/>
          <w:p>
            <w:pPr>
              <w:pStyle w:val="Compact"/>
              <w:jc w:val="left"/>
            </w:pPr>
            <w:r>
              <w:t xml:space="preserve">Voltage transformation (backbone)</w:t>
            </w:r>
          </w:p>
        </w:tc>
        <w:tc>
          <w:tcPr/>
          <w:p>
            <w:pPr>
              <w:pStyle w:val="Compact"/>
              <w:jc w:val="left"/>
            </w:pPr>
            <w:r>
              <w:t xml:space="preserve">NONE — passive transformer</w:t>
            </w:r>
          </w:p>
        </w:tc>
        <w:tc>
          <w:tcPr/>
          <w:p>
            <w:pPr>
              <w:pStyle w:val="Compact"/>
              <w:jc w:val="left"/>
            </w:pPr>
            <w:r>
              <w:t xml:space="preserve">Semiconductor SST at EVERY voltage transition</w:t>
            </w:r>
          </w:p>
        </w:tc>
      </w:tr>
      <w:tr>
        <w:tc>
          <w:tcPr/>
          <w:p>
            <w:pPr>
              <w:pStyle w:val="Compact"/>
              <w:jc w:val="left"/>
            </w:pPr>
            <w:r>
              <w:t xml:space="preserve">Fault protection (backbone)</w:t>
            </w:r>
          </w:p>
        </w:tc>
        <w:tc>
          <w:tcPr/>
          <w:p>
            <w:pPr>
              <w:pStyle w:val="Compact"/>
              <w:jc w:val="left"/>
            </w:pPr>
            <w:r>
              <w:t xml:space="preserve">Electromechanical relays + oil/SF6 breakers — NO semiconductors</w:t>
            </w:r>
          </w:p>
        </w:tc>
        <w:tc>
          <w:tcPr/>
          <w:p>
            <w:pPr>
              <w:pStyle w:val="Compact"/>
              <w:jc w:val="left"/>
            </w:pPr>
            <w:r>
              <w:t xml:space="preserve">Solid-state circuit breakers (SSCBs) at EVERY protection point</w:t>
            </w:r>
          </w:p>
        </w:tc>
      </w:tr>
      <w:tr>
        <w:tc>
          <w:tcPr/>
          <w:p>
            <w:pPr>
              <w:pStyle w:val="Compact"/>
              <w:jc w:val="left"/>
            </w:pPr>
            <w:r>
              <w:t xml:space="preserve">Battery storage interface</w:t>
            </w:r>
          </w:p>
        </w:tc>
        <w:tc>
          <w:tcPr/>
          <w:p>
            <w:pPr>
              <w:pStyle w:val="Compact"/>
              <w:jc w:val="left"/>
            </w:pPr>
            <w:r>
              <w:t xml:space="preserve">Bidirectional 12 Hz inverter (lower switching losses than 50 Hz)</w:t>
            </w:r>
          </w:p>
        </w:tc>
        <w:tc>
          <w:tcPr/>
          <w:p>
            <w:pPr>
              <w:pStyle w:val="Compact"/>
              <w:jc w:val="left"/>
            </w:pPr>
            <w:r>
              <w:t xml:space="preserve">Direct DC connection (no converter)</w:t>
            </w:r>
          </w:p>
        </w:tc>
      </w:tr>
      <w:tr>
        <w:tc>
          <w:tcPr/>
          <w:p>
            <w:pPr>
              <w:pStyle w:val="Compact"/>
              <w:jc w:val="left"/>
            </w:pPr>
            <w:r>
              <w:t xml:space="preserve">Building entry</w:t>
            </w:r>
          </w:p>
        </w:tc>
        <w:tc>
          <w:tcPr/>
          <w:p>
            <w:pPr>
              <w:pStyle w:val="Compact"/>
              <w:jc w:val="left"/>
            </w:pPr>
            <w:r>
              <w:t xml:space="preserve">Simple bridge rectifier (4 diodes) or direct AC use</w:t>
            </w:r>
          </w:p>
        </w:tc>
        <w:tc>
          <w:tcPr/>
          <w:p>
            <w:pPr>
              <w:pStyle w:val="Compact"/>
              <w:jc w:val="left"/>
            </w:pPr>
            <w:r>
              <w:t xml:space="preserve">NONE — native DC</w:t>
            </w:r>
          </w:p>
        </w:tc>
      </w:tr>
      <w:tr>
        <w:tc>
          <w:tcPr/>
          <w:p>
            <w:pPr>
              <w:pStyle w:val="Compact"/>
              <w:jc w:val="left"/>
            </w:pPr>
            <w:r>
              <w:t xml:space="preserve">Total semiconductor exposure</w:t>
            </w:r>
          </w:p>
        </w:tc>
        <w:tc>
          <w:tcPr/>
          <w:p>
            <w:pPr>
              <w:pStyle w:val="Compact"/>
              <w:jc w:val="left"/>
            </w:pPr>
            <w:r>
              <w:t xml:space="preserve">EDGES ONLY — all distributed, individually non-critical</w:t>
            </w:r>
          </w:p>
        </w:tc>
        <w:tc>
          <w:tcPr/>
          <w:p>
            <w:pPr>
              <w:pStyle w:val="Compact"/>
              <w:jc w:val="left"/>
            </w:pPr>
            <w:r>
              <w:t xml:space="preserve">EVERYWHERE — backbone + edges, systemically critical</w:t>
            </w:r>
          </w:p>
        </w:tc>
      </w:tr>
    </w:tbl>
    <w:bookmarkEnd w:id="23"/>
    <w:bookmarkStart w:id="24" w:name="supply-chain-failure-modes"/>
    <w:p>
      <w:pPr>
        <w:pStyle w:val="Heading3"/>
      </w:pPr>
      <w:r>
        <w:t xml:space="preserve">6.2 Supply Chain Failure Modes</w:t>
      </w:r>
    </w:p>
    <w:p>
      <w:pPr>
        <w:pStyle w:val="FirstParagraph"/>
      </w:pPr>
      <w:r>
        <w:t xml:space="preserve">In the 12 Hz AC architecture, a semiconductor supply chain disruption affects the edges: solar inverters and building-entry rectifiers stop being replaceable. The backbone — every transformer, every circuit breaker, every transmission line — continues operating indefinitely on copper, iron, and oil. Non-semiconductor generation sources (hydro, biomass, wind turbines with directly connected generators) feed directly into the AC backbone without any semiconductor interface. The grid degrades gracefully at the edges while the core survives.</w:t>
      </w:r>
    </w:p>
    <w:p>
      <w:pPr>
        <w:pStyle w:val="BodyText"/>
      </w:pPr>
      <w:r>
        <w:t xml:space="preserve">In the all-DC architecture, the same supply chain disruption is systemic. SSTs at voltage transition points have a 10–20 year field lifespan under best conditions, shorter in harsh environments. SSCBs at every protection point have similar lifespans. As these devices age and fail, they cannot be replaced from local materials. Each failed SST is a broken link in the backbone. Each failed SSCB is a protection gap. The grid disintegrates node by node.</w:t>
      </w:r>
    </w:p>
    <w:p>
      <w:pPr>
        <w:pStyle w:val="BodyText"/>
      </w:pPr>
      <w:r>
        <w:t xml:space="preserve">Solar panels, which are themselves semiconductors, age on a completely different timescale — industry standard warranty is 80% output at 25 years, with field data showing 40+ year operation at 70%+ output. Solar panels degrade slowly and predictably, while DC-DC converters fail from thermomechanical fatigue (solder joint cracking, bond wire lift-off) and capacitor wear-out on a 10–20 year cycle. In a supply chain disruption, the solar panels keep generating for decades while the DC backbone converters fail years earlier — leaving generation capacity stranded behind failed voltage conversion equipment.</w:t>
      </w:r>
    </w:p>
    <w:bookmarkEnd w:id="24"/>
    <w:bookmarkStart w:id="25" w:name="the-quartz-supply-chain"/>
    <w:p>
      <w:pPr>
        <w:pStyle w:val="Heading3"/>
      </w:pPr>
      <w:r>
        <w:t xml:space="preserve">6.3 The Quartz Supply Chain</w:t>
      </w:r>
    </w:p>
    <w:p>
      <w:pPr>
        <w:pStyle w:val="FirstParagraph"/>
      </w:pPr>
      <w:r>
        <w:t xml:space="preserve">All semiconductor manufacturing depends on high-purity silicon grown in crucibles made from ultra-pure quartz. Approximately 70–90% of the world’s high-purity quartz comes from two mines in Spruce Pine, North Carolina, operated by Sibelco (Belgium) and The Quartz Corp (France/Norway). A 2024 hurricane temporarily halted operations, demonstrating the fragility of this single point of failure. Alternative sources exist (Russia, Brazil, Norway) and synthetic quartz can be manufactured at 5–10x cost. For power semiconductors with larger feature sizes than logic chips, lower-purity quartz sources may suffice. Nevertheless, the dependency on a complete semiconductor manufacturing ecosystem — cleanroom facilities, crystal growth equipment, photolithography tools, diffusion furnaces, trained process engineers — remains. No country in sub-Saharan Africa currently manufactures power semiconductors.</w:t>
      </w:r>
    </w:p>
    <w:bookmarkEnd w:id="25"/>
    <w:bookmarkStart w:id="26" w:name="the-brushless-motor-paradox"/>
    <w:p>
      <w:pPr>
        <w:pStyle w:val="Heading3"/>
      </w:pPr>
      <w:r>
        <w:t xml:space="preserve">6.4 The Brushless Motor Paradox</w:t>
      </w:r>
    </w:p>
    <w:p>
      <w:pPr>
        <w:pStyle w:val="FirstParagraph"/>
      </w:pPr>
      <w:r>
        <w:t xml:space="preserve">Modern brushless DC motors are frequently cited as evidence that DC power systems are practical and mature. However, every brushless motor contains an electronic speed controller with MOSFETs or IGBTs performing commutation electronically rather than mechanically. The brushless motor IS the semiconductor dependency, made invisible by embedding it inside the device housing. The old brush-type DC motors that can run directly from solar panels without electronics — as used in the Living Energy Farm commune model — work precisely because they have mechanical commutators, which wear out and require maintenance. This is the Thury system’s failure mode, scaled to the appliance level.</w:t>
      </w:r>
    </w:p>
    <w:bookmarkEnd w:id="26"/>
    <w:bookmarkEnd w:id="27"/>
    <w:bookmarkStart w:id="30" w:name="the-dc-circuit-breaking-problem"/>
    <w:p>
      <w:pPr>
        <w:pStyle w:val="Heading2"/>
      </w:pPr>
      <w:r>
        <w:t xml:space="preserve">7. THE DC CIRCUIT BREAKING PROBLEM</w:t>
      </w:r>
    </w:p>
    <w:bookmarkStart w:id="28" w:name="ac-physics-cooperates"/>
    <w:p>
      <w:pPr>
        <w:pStyle w:val="Heading3"/>
      </w:pPr>
      <w:r>
        <w:t xml:space="preserve">7.1 AC: Physics Cooperates</w:t>
      </w:r>
    </w:p>
    <w:p>
      <w:pPr>
        <w:pStyle w:val="FirstParagraph"/>
      </w:pPr>
      <w:r>
        <w:t xml:space="preserve">In AC systems, current passes through zero twice per cycle: every 41.7 ms at 12 Hz. At each zero crossing, the energy stored in system inductance momentarily equals zero, and arcs between opening breaker contacts naturally tend to extinguish. The breaker’s job is to prevent re-strike after the zero crossing — accomplished by oil circuit breakers ($1,000–$15,000 for distribution-class, $15,000–$50,000 for sub-transmission) — oil breakers proven since the early twentieth century, SF6 since mid-century. Electromechanical protection relays ($50–$500 each for overcurrent, earth fault, and differential types) detect fault conditions and trip the breakers. No semiconductors required. At 12 Hz, zero crossings occur less frequently than at 50 Hz, requiring slightly wider contact gaps — a routine engineering adjustment, not a technology change.</w:t>
      </w:r>
    </w:p>
    <w:bookmarkEnd w:id="28"/>
    <w:bookmarkStart w:id="29" w:name="dc-physics-resists"/>
    <w:p>
      <w:pPr>
        <w:pStyle w:val="Heading3"/>
      </w:pPr>
      <w:r>
        <w:t xml:space="preserve">7.2 DC: Physics Resists</w:t>
      </w:r>
    </w:p>
    <w:p>
      <w:pPr>
        <w:pStyle w:val="FirstParagraph"/>
      </w:pPr>
      <w:r>
        <w:t xml:space="preserve">DC current has no zero crossing. Once an arc forms between opening breaker contacts, the full system voltage drives it continuously. The arc must be forced to extinguish by external means: oscillatory circuits that artificially create zero crossings, or semiconductor switches (IGBTs) that interrupt current by turning off. The state of the art in HVDC circuit breakers requires hybrid designs combining mechanical contacts with semiconductor switches. Operating speed requirements are extreme — fault current in DC systems rises essentially instantaneously, giving milliseconds to detect and clear. This millisecond response requires digital processing, which requires microprocessors, which requires semiconductors in the protection path.</w:t>
      </w:r>
    </w:p>
    <w:p>
      <w:pPr>
        <w:pStyle w:val="BodyText"/>
      </w:pPr>
      <w:r>
        <w:t xml:space="preserve">DC circuit breaking at distribution voltage is a solved but expensive problem: hybrid and solid-state DC breakers use substantially more power electronics and cooling than AC breakers of the same rating — $2,000–$10,000 each for distribution-class, vs. $200–$1,000 for an equivalent AC breaker. In the all-DC grid, the most safety-critical function — fault interruption — depends on the component with the shortest lifespan and the most constrained supply chain.</w:t>
      </w:r>
    </w:p>
    <w:bookmarkEnd w:id="29"/>
    <w:bookmarkEnd w:id="30"/>
    <w:bookmarkStart w:id="33" w:name="component-lifespan-and-field-reliability"/>
    <w:p>
      <w:pPr>
        <w:pStyle w:val="Heading2"/>
      </w:pPr>
      <w:r>
        <w:t xml:space="preserve">8. COMPONENT LIFESPAN AND FIELD RELIABILITY</w:t>
      </w:r>
    </w:p>
    <w:bookmarkStart w:id="31" w:name="passive-transformer"/>
    <w:p>
      <w:pPr>
        <w:pStyle w:val="Heading3"/>
      </w:pPr>
      <w:r>
        <w:t xml:space="preserve">8.1 Passive Transformer</w:t>
      </w:r>
    </w:p>
    <w:p>
      <w:pPr>
        <w:pStyle w:val="FirstParagraph"/>
      </w:pPr>
      <w:r>
        <w:t xml:space="preserve">A properly installed, protected, and loaded transformer operates for 40–60 years. Primary aging mechanism: thermal degradation of cellulose insulation, slow and predictable. Dissolved gas analysis provides early warning years before failure. Failure modes (insulation breakdown, oil decomposition, tank rupture) are dramatic but slow-developing, with warning signs (unusual hum, oil leaks, elevated temperature) detectable by a technician with basic training. Failed transformers can often be repaired — replacing windings and oil while the tank and core survive.</w:t>
      </w:r>
    </w:p>
    <w:p>
      <w:pPr>
        <w:pStyle w:val="BodyText"/>
      </w:pPr>
      <w:r>
        <w:t xml:space="preserve">Distribution-class transformers at road junctions are commodity items replaceable in hours to days where utilities maintain spare inventories. Failures at this level are typically caused by operational conditions — lightning, chronic overloading, zero maintenance — not by inherent technology limitations. These same conditions would destroy DC converters equally or more rapidly.</w:t>
      </w:r>
    </w:p>
    <w:bookmarkEnd w:id="31"/>
    <w:bookmarkStart w:id="32" w:name="semiconductor-devices"/>
    <w:p>
      <w:pPr>
        <w:pStyle w:val="Heading3"/>
      </w:pPr>
      <w:r>
        <w:t xml:space="preserve">8.2 Semiconductor Devices</w:t>
      </w:r>
    </w:p>
    <w:p>
      <w:pPr>
        <w:pStyle w:val="FirstParagraph"/>
      </w:pPr>
      <w:r>
        <w:t xml:space="preserve">The silicon die itself is theoretically long-lived (statistical MTBF exceeding 100 years at rated conditions). However, the packaging fails from thermomechanical fatigue: solder joint cracking, bond wire lift-off, and substrate delamination caused by differential thermal expansion during load cycling. Lifespan is measured in thermal cycles, not calendar years. Toshiba’s study of HVDC thyristors after 16 years found turn-off time and reverse recovery charge degraded by 39% and 30% respectively.</w:t>
      </w:r>
    </w:p>
    <w:p>
      <w:pPr>
        <w:pStyle w:val="BodyText"/>
      </w:pPr>
      <w:r>
        <w:t xml:space="preserve">The claim of “30–40 year” semiconductor lifespan refers to the converter station as a system, not individual modules. Stations achieve multi-decade service life through ongoing module replacement — the Ship of Theseus. Each replacement requires procurement from the semiconductor supply chain. Supporting components have shorter lifespans: electrolytic capacitors 5–15 years, cooling fans 3–7 years, control boards degrading from thermal cycling and humidity.</w:t>
      </w:r>
    </w:p>
    <w:p>
      <w:pPr>
        <w:pStyle w:val="BodyText"/>
      </w:pPr>
      <w:r>
        <w:t xml:space="preserve">At an unattended outdoor installation in equatorial Africa — the operating environment relevant to this analysis — semiconductor device lifespan is dramatically reduced. Thermal cycling between 45°C daytime ambient under full solar load and 20°C nighttime idle produces rapid fatigue accumulation. Dust ingress degrades cooling performance. Lightning transients — in the Lake Victoria region, among the highest lightning densities on Earth — destroy unprotected semiconductor devices catastrophically and instantly, while transformers can often survive indirect lightning with only surge arrester replacement.</w:t>
      </w:r>
    </w:p>
    <w:bookmarkEnd w:id="32"/>
    <w:bookmarkEnd w:id="33"/>
    <w:bookmarkStart w:id="37" w:name="Xb89f138afeb0b393bb4b7ae3cf391f7dda90771"/>
    <w:p>
      <w:pPr>
        <w:pStyle w:val="Heading2"/>
      </w:pPr>
      <w:r>
        <w:t xml:space="preserve">9. DEPLOYMENT LOGISTICS AND CONSTRUCTION TIMELINE</w:t>
      </w:r>
    </w:p>
    <w:bookmarkStart w:id="34" w:name="lead-time-comparison"/>
    <w:p>
      <w:pPr>
        <w:pStyle w:val="Heading3"/>
      </w:pPr>
      <w:r>
        <w:t xml:space="preserve">9.1 Lead Time Comparison</w:t>
      </w:r>
    </w:p>
    <w:tbl>
      <w:tblPr>
        <w:tblStyle w:val="Table"/>
        <w:tblW w:type="pct" w:w="5000"/>
        <w:tblLayout w:type="fixed"/>
        <w:tblLook w:firstRow="1" w:lastRow="0" w:firstColumn="0" w:lastColumn="0" w:noHBand="0" w:noVBand="0" w:val="0020"/>
      </w:tblPr>
      <w:tblGrid>
        <w:gridCol w:w="1037"/>
        <w:gridCol w:w="3252"/>
        <w:gridCol w:w="3630"/>
      </w:tblGrid>
      <w:tr>
        <w:trPr>
          <w:tblHeader w:val="on"/>
        </w:trPr>
        <w:tc>
          <w:tcPr/>
          <w:p>
            <w:pPr>
              <w:pStyle w:val="Compact"/>
              <w:jc w:val="left"/>
            </w:pPr>
            <w:r>
              <w:t xml:space="preserve">Metric</w:t>
            </w:r>
          </w:p>
        </w:tc>
        <w:tc>
          <w:tcPr/>
          <w:p>
            <w:pPr>
              <w:pStyle w:val="Compact"/>
              <w:jc w:val="left"/>
            </w:pPr>
            <w:r>
              <w:t xml:space="preserve">12 Hz AC Transformer</w:t>
            </w:r>
          </w:p>
        </w:tc>
        <w:tc>
          <w:tcPr/>
          <w:p>
            <w:pPr>
              <w:pStyle w:val="Compact"/>
              <w:jc w:val="left"/>
            </w:pPr>
            <w:r>
              <w:t xml:space="preserve">DC SST / Converter</w:t>
            </w:r>
          </w:p>
        </w:tc>
      </w:tr>
      <w:tr>
        <w:tc>
          <w:tcPr/>
          <w:p>
            <w:pPr>
              <w:pStyle w:val="Compact"/>
              <w:jc w:val="left"/>
            </w:pPr>
            <w:r>
              <w:t xml:space="preserve">Core material source</w:t>
            </w:r>
          </w:p>
        </w:tc>
        <w:tc>
          <w:tcPr/>
          <w:p>
            <w:pPr>
              <w:pStyle w:val="Compact"/>
              <w:jc w:val="left"/>
            </w:pPr>
            <w:r>
              <w:t xml:space="preserve">Any local steel supplier — days</w:t>
            </w:r>
          </w:p>
        </w:tc>
        <w:tc>
          <w:tcPr/>
          <w:p>
            <w:pPr>
              <w:pStyle w:val="Compact"/>
              <w:jc w:val="left"/>
            </w:pPr>
            <w:r>
              <w:t xml:space="preserve">5–8 global SiC/GaN manufacturers — 20–40 weeks</w:t>
            </w:r>
          </w:p>
        </w:tc>
      </w:tr>
      <w:tr>
        <w:tc>
          <w:tcPr/>
          <w:p>
            <w:pPr>
              <w:pStyle w:val="Compact"/>
              <w:jc w:val="left"/>
            </w:pPr>
            <w:r>
              <w:t xml:space="preserve">Supporting materials</w:t>
            </w:r>
          </w:p>
        </w:tc>
        <w:tc>
          <w:tcPr/>
          <w:p>
            <w:pPr>
              <w:pStyle w:val="Compact"/>
              <w:jc w:val="left"/>
            </w:pPr>
            <w:r>
              <w:t xml:space="preserve">Copper wire, oil — local, days</w:t>
            </w:r>
          </w:p>
        </w:tc>
        <w:tc>
          <w:tcPr/>
          <w:p>
            <w:pPr>
              <w:pStyle w:val="Compact"/>
              <w:jc w:val="left"/>
            </w:pPr>
            <w:r>
              <w:t xml:space="preserve">Ferrites, capacitors, gate drivers — international, weeks-months</w:t>
            </w:r>
          </w:p>
        </w:tc>
      </w:tr>
      <w:tr>
        <w:tc>
          <w:tcPr/>
          <w:p>
            <w:pPr>
              <w:pStyle w:val="Compact"/>
              <w:jc w:val="left"/>
            </w:pPr>
            <w:r>
              <w:t xml:space="preserve">Fabrication</w:t>
            </w:r>
          </w:p>
        </w:tc>
        <w:tc>
          <w:tcPr/>
          <w:p>
            <w:pPr>
              <w:pStyle w:val="Compact"/>
              <w:jc w:val="left"/>
            </w:pPr>
            <w:r>
              <w:t xml:space="preserve">Field-buildable, local workshop — 6–8 weeks</w:t>
            </w:r>
          </w:p>
        </w:tc>
        <w:tc>
          <w:tcPr/>
          <w:p>
            <w:pPr>
              <w:pStyle w:val="Compact"/>
              <w:jc w:val="left"/>
            </w:pPr>
            <w:r>
              <w:t xml:space="preserve">Factory-built, cleanroom assembly — not field-fabricable</w:t>
            </w:r>
          </w:p>
        </w:tc>
      </w:tr>
      <w:tr>
        <w:tc>
          <w:tcPr/>
          <w:p>
            <w:pPr>
              <w:pStyle w:val="Compact"/>
              <w:jc w:val="left"/>
            </w:pPr>
            <w:r>
              <w:t xml:space="preserve">Transport</w:t>
            </w:r>
          </w:p>
        </w:tc>
        <w:tc>
          <w:tcPr/>
          <w:p>
            <w:pPr>
              <w:pStyle w:val="Compact"/>
              <w:jc w:val="left"/>
            </w:pPr>
            <w:r>
              <w:t xml:space="preserve">Truck from nearest city; donkey-portable in pieces for remote sites</w:t>
            </w:r>
          </w:p>
        </w:tc>
        <w:tc>
          <w:tcPr/>
          <w:p>
            <w:pPr>
              <w:pStyle w:val="Compact"/>
              <w:jc w:val="left"/>
            </w:pPr>
            <w:r>
              <w:t xml:space="preserve">Container ship + customs + inland transport; fragile, dust/static-sensitive</w:t>
            </w:r>
          </w:p>
        </w:tc>
      </w:tr>
      <w:tr>
        <w:tc>
          <w:tcPr/>
          <w:p>
            <w:pPr>
              <w:pStyle w:val="Compact"/>
              <w:jc w:val="left"/>
            </w:pPr>
            <w:r>
              <w:t xml:space="preserve">Total lead time</w:t>
            </w:r>
          </w:p>
        </w:tc>
        <w:tc>
          <w:tcPr/>
          <w:p>
            <w:pPr>
              <w:pStyle w:val="Compact"/>
              <w:jc w:val="left"/>
            </w:pPr>
            <w:r>
              <w:t xml:space="preserve">2–3 months</w:t>
            </w:r>
          </w:p>
        </w:tc>
        <w:tc>
          <w:tcPr/>
          <w:p>
            <w:pPr>
              <w:pStyle w:val="Compact"/>
              <w:jc w:val="left"/>
            </w:pPr>
            <w:r>
              <w:t xml:space="preserve">6–18 months</w:t>
            </w:r>
          </w:p>
        </w:tc>
      </w:tr>
    </w:tbl>
    <w:bookmarkEnd w:id="34"/>
    <w:bookmarkStart w:id="35" w:name="construction-time"/>
    <w:p>
      <w:pPr>
        <w:pStyle w:val="Heading3"/>
      </w:pPr>
      <w:r>
        <w:t xml:space="preserve">9.2 Construction Time</w:t>
      </w:r>
    </w:p>
    <w:p>
      <w:pPr>
        <w:pStyle w:val="FirstParagraph"/>
      </w:pPr>
      <w:r>
        <w:rPr>
          <w:b/>
          <w:bCs/>
        </w:rPr>
        <w:t xml:space="preserve">12 Hz AC Transformer Substation:</w:t>
      </w:r>
      <w:r>
        <w:t xml:space="preserve"> </w:t>
      </w:r>
      <w:r>
        <w:t xml:space="preserve">Pour concrete pad. Set transformer with crane truck. Connect bushings. Fill with oil. Megger test. Energize. 1–3 days for distribution-class; 1–2 weeks for sub-transmission including civil works.</w:t>
      </w:r>
    </w:p>
    <w:p>
      <w:pPr>
        <w:pStyle w:val="BodyText"/>
      </w:pPr>
      <w:r>
        <w:rPr>
          <w:b/>
          <w:bCs/>
        </w:rPr>
        <w:t xml:space="preserve">DC SST/Converter Station:</w:t>
      </w:r>
      <w:r>
        <w:t xml:space="preserve"> </w:t>
      </w:r>
      <w:r>
        <w:t xml:space="preserve">Pour concrete pad. Build weatherproof enclosure (converter cannot sit outdoors). Install modules, bus bars, cooling system, control cabinet, protection system, communications, auxiliary power. Commission control software. Module-by-module testing, then system testing. Factory-trained commissioning engineer required. 2–6 months for distribution-class.</w:t>
      </w:r>
    </w:p>
    <w:bookmarkEnd w:id="35"/>
    <w:bookmarkStart w:id="36" w:name="national-deployment-math"/>
    <w:p>
      <w:pPr>
        <w:pStyle w:val="Heading3"/>
      </w:pPr>
      <w:r>
        <w:t xml:space="preserve">9.3 National Deployment Math</w:t>
      </w:r>
    </w:p>
    <w:p>
      <w:pPr>
        <w:pStyle w:val="FirstParagraph"/>
      </w:pPr>
      <w:r>
        <w:t xml:space="preserve">For a national grid with 10,000 voltage transition points:</w:t>
      </w:r>
    </w:p>
    <w:p>
      <w:pPr>
        <w:pStyle w:val="BodyText"/>
      </w:pPr>
      <w:r>
        <w:rPr>
          <w:b/>
          <w:bCs/>
        </w:rPr>
        <w:t xml:space="preserve">12 Hz AC:</w:t>
      </w:r>
      <w:r>
        <w:t xml:space="preserve"> </w:t>
      </w:r>
      <w:r>
        <w:t xml:space="preserve">Each point installable by a two-person trade-skilled crew in 1–3 days. 20,000 person-days total. 200 trained crews working in parallel complete the entire transformation layer in 100 working days. Training those 400 workers: one month. Total: approximately 6 months from program start to energized grid. Materials sourced domestically.</w:t>
      </w:r>
    </w:p>
    <w:p>
      <w:pPr>
        <w:pStyle w:val="BodyText"/>
      </w:pPr>
      <w:r>
        <w:rPr>
          <w:b/>
          <w:bCs/>
        </w:rPr>
        <w:t xml:space="preserve">All-DC:</w:t>
      </w:r>
      <w:r>
        <w:t xml:space="preserve"> </w:t>
      </w:r>
      <w:r>
        <w:t xml:space="preserve">Each point requires a specialized commissioning engineer for 1–2 weeks. 10,000–20,000 engineer-weeks total. With 50 qualified commissioning engineers in-country (generous for most of Africa), that is 200–400 weeks — 4–8 years — for commissioning alone, before accounting for procurement lead times of 6–18 months per station. Total: 5–10 years under optimistic assumptions.</w:t>
      </w:r>
    </w:p>
    <w:bookmarkEnd w:id="36"/>
    <w:bookmarkEnd w:id="37"/>
    <w:bookmarkStart w:id="41" w:name="workforce-requirements"/>
    <w:p>
      <w:pPr>
        <w:pStyle w:val="Heading2"/>
      </w:pPr>
      <w:r>
        <w:t xml:space="preserve">10. WORKFORCE REQUIREMENTS</w:t>
      </w:r>
    </w:p>
    <w:bookmarkStart w:id="38" w:name="skill-level-comparison"/>
    <w:p>
      <w:pPr>
        <w:pStyle w:val="Heading3"/>
      </w:pPr>
      <w:r>
        <w:t xml:space="preserve">10.1 Skill Level Comparison</w:t>
      </w:r>
    </w:p>
    <w:p>
      <w:pPr>
        <w:pStyle w:val="FirstParagraph"/>
      </w:pPr>
      <w:r>
        <w:rPr>
          <w:b/>
          <w:bCs/>
        </w:rPr>
        <w:t xml:space="preserve">Transformer installation:</w:t>
      </w:r>
      <w:r>
        <w:t xml:space="preserve"> </w:t>
      </w:r>
      <w:r>
        <w:t xml:space="preserve">Two weeks of classroom training plus supervised field work. Skills: terminal identification, torquing connections, oil filling, megger testing. Draws from the labor pool of existing electricians, diesel mechanics, welders, and construction workers. For transformer winding (building from raw materials): 3–6 months. Skills are mechanical and tactile — the trainee can see, feel, and physically inspect each layer.</w:t>
      </w:r>
    </w:p>
    <w:p>
      <w:pPr>
        <w:pStyle w:val="BodyText"/>
      </w:pPr>
      <w:r>
        <w:rPr>
          <w:b/>
          <w:bCs/>
        </w:rPr>
        <w:t xml:space="preserve">SST/Converter commissioning:</w:t>
      </w:r>
      <w:r>
        <w:t xml:space="preserve"> </w:t>
      </w:r>
      <w:r>
        <w:t xml:space="preserve">University-educated power electronics engineer with 2–4 years post-degree specialization. Skills: oscilloscope waveform interpretation, fault code diagnostics, gate driver timing verification, control loop tuning, cooling system commissioning, firmware updates. These engineers exist in Africa but are scarce, concentrated in South Africa, and actively recruited by international firms offering 3–5x local wages.</w:t>
      </w:r>
    </w:p>
    <w:bookmarkEnd w:id="38"/>
    <w:bookmarkStart w:id="39" w:name="maintenance-comparison"/>
    <w:p>
      <w:pPr>
        <w:pStyle w:val="Heading3"/>
      </w:pPr>
      <w:r>
        <w:t xml:space="preserve">10.2 Maintenance Comparison</w:t>
      </w:r>
    </w:p>
    <w:p>
      <w:pPr>
        <w:pStyle w:val="FirstParagraph"/>
      </w:pPr>
      <w:r>
        <w:rPr>
          <w:b/>
          <w:bCs/>
        </w:rPr>
        <w:t xml:space="preserve">Transformer maintenance:</w:t>
      </w:r>
      <w:r>
        <w:t xml:space="preserve"> </w:t>
      </w:r>
      <w:r>
        <w:t xml:space="preserve">Annual oil sampling (send to lab, $50–$100 per test), visual inspection for leaks and damage, gasket replacement ($20–$100 per gasket). Surge arrester replacement after lightning events: $50–$200 per arrester. Transformer oil top-up: $3–5 per litre. Training: one week. Equipment: oil sampling kit ($200–$400), megger/insulation resistance tester ($300–$800), hand tools ($200–$500). Total cost of maintenance equipment: under $1,500.</w:t>
      </w:r>
    </w:p>
    <w:p>
      <w:pPr>
        <w:pStyle w:val="BodyText"/>
      </w:pPr>
      <w:r>
        <w:rPr>
          <w:b/>
          <w:bCs/>
        </w:rPr>
        <w:t xml:space="preserve">SST/Converter maintenance:</w:t>
      </w:r>
      <w:r>
        <w:t xml:space="preserve"> </w:t>
      </w:r>
      <w:r>
        <w:t xml:space="preserve">Thermal imaging for hotspot detection, capacitor ESR testing, semiconductor module diagnostics, firmware updates, cooling system servicing (replacement fans $50–$200 each, needed every 3–7 years), electrolytic capacitor replacement ($20–$200 each, dozens per unit, needed every 5–15 years), fault log analysis. Replacement SiC/GaN semiconductor modules: $500–$5,000 per module depending on rating. Requires trained power electronics technician with specialized equipment: thermal camera ($2,000–$10,000), oscilloscope ($3,000–$15,000), power analyzer ($5,000–$20,000), manufacturer’s diagnostic software (often licensed, $500–$2,000/year). Total cost of maintenance equipment: $15,000–$50,000.</w:t>
      </w:r>
    </w:p>
    <w:bookmarkEnd w:id="39"/>
    <w:bookmarkStart w:id="40" w:name="the-labor-availability-reality"/>
    <w:p>
      <w:pPr>
        <w:pStyle w:val="Heading3"/>
      </w:pPr>
      <w:r>
        <w:t xml:space="preserve">10.3 The Labor Availability Reality</w:t>
      </w:r>
    </w:p>
    <w:p>
      <w:pPr>
        <w:pStyle w:val="FirstParagraph"/>
      </w:pPr>
      <w:r>
        <w:t xml:space="preserve">The pool of people in sub-Saharan Africa who can be trained to wind transformers, install them, and perform oil-and-visual maintenance is large — millions with the mechanical aptitude and practical experience needed for skilled trade work. These are the same people who already maintain diesel generators, build houses, weld steel, and repair vehicles. The skills transfer is lateral between mechanical/electrical trades.</w:t>
      </w:r>
    </w:p>
    <w:p>
      <w:pPr>
        <w:pStyle w:val="BodyText"/>
      </w:pPr>
      <w:r>
        <w:t xml:space="preserve">The pool of people who can be trained to commission and maintain SST installations draws from the university-educated engineering population, which in most sub-Saharan African countries numbers a few thousand total, with significant emigration to better-paying positions abroad. A grid architecture that requires an engineer at every road junction’s converter station is not deployable where the ratio of available electricians to available power electronics engineers may be 500:1.</w:t>
      </w:r>
    </w:p>
    <w:bookmarkEnd w:id="40"/>
    <w:bookmarkEnd w:id="41"/>
    <w:bookmarkStart w:id="47" w:name="commodity-hardware-comparison"/>
    <w:p>
      <w:pPr>
        <w:pStyle w:val="Heading2"/>
      </w:pPr>
      <w:r>
        <w:t xml:space="preserve">11. COMMODITY HARDWARE COMPARISON</w:t>
      </w:r>
    </w:p>
    <w:p>
      <w:pPr>
        <w:pStyle w:val="FirstParagraph"/>
      </w:pPr>
      <w:r>
        <w:t xml:space="preserve">The all-DC architecture makes a strong argument for the 380V DC building bus based on commodity component availability. This argument is substantially correct at the building level and deserves detailed analysis, because the 12 Hz AC architecture can and should adopt the same commodity hardware strategy where it produces cost and availability advantages.</w:t>
      </w:r>
    </w:p>
    <w:bookmarkStart w:id="42" w:name="the-380v-component-ecosystem"/>
    <w:p>
      <w:pPr>
        <w:pStyle w:val="Heading3"/>
      </w:pPr>
      <w:r>
        <w:t xml:space="preserve">11.1 The 380V Component Ecosystem</w:t>
      </w:r>
    </w:p>
    <w:p>
      <w:pPr>
        <w:pStyle w:val="FirstParagraph"/>
      </w:pPr>
      <w:r>
        <w:t xml:space="preserve">The 380V DC standard emerged from the data center industry, backed by EPRI, the EMerge Alliance, and standards including ETSI EN 300 132-3-1 and ITU-T L.1200. Its key insight: most global power electronics components (capacitors, MOSFETs, insulation systems) are mass-produced for 400–450V ratings because they are designed to handle the peak voltage of a 230V AC sine wave (230V × √2 ≈ 325V, with margin). A 380V DC bus sits perfectly within this existing high-volume supply chain. Components rated for 400–450V are the cheapest, most widely available power components manufactured, with dozens of suppliers across multiple countries.</w:t>
      </w:r>
    </w:p>
    <w:p>
      <w:pPr>
        <w:pStyle w:val="BodyText"/>
      </w:pPr>
      <w:r>
        <w:t xml:space="preserve">Below 400V, DC breakers and contactors are manageable with affordable, mass-produced devices. Above 600V, arcing becomes significantly harder to manage, pushing components into industrial high-voltage brackets where $2 MOSFETs become $15 SiC modules. Battery systems (Tesla Powerwall, BYD Premium, CATL residential packs) operate in the 350–450V range, allowing direct bus connection with minimal voltage boosting. The step-down from 380V to USB-C 20V for consumer devices is a standard 19:1 ratio served by commodity buck converters.</w:t>
      </w:r>
    </w:p>
    <w:bookmarkEnd w:id="42"/>
    <w:bookmarkStart w:id="43" w:name="Xfa179e43ae043582964c7a8dd0a30b2a7592d33"/>
    <w:p>
      <w:pPr>
        <w:pStyle w:val="Heading3"/>
      </w:pPr>
      <w:r>
        <w:t xml:space="preserve">11.2 The 12 Hz Line-to-Neutral Voltage: Electrical Compatibility with 380V DC Equipment</w:t>
      </w:r>
    </w:p>
    <w:p>
      <w:pPr>
        <w:pStyle w:val="FirstParagraph"/>
      </w:pPr>
      <w:r>
        <w:t xml:space="preserve">The 12 Hz AC architecture delivers 306–335V line-to-neutral from a 600V-class three-phase wye system (575–580V nominal, with normal distribution-line voltage drop producing 530–580V at the consumer). This entire line-to-neutral range sits within the 400V-class component window that makes the 380V DC bus economical. The same 400–450V rated MOSFETs, capacitors, breakers, and insulation systems serve both the AC branch circuits and DC building buses.</w:t>
      </w:r>
    </w:p>
    <w:p>
      <w:pPr>
        <w:pStyle w:val="BodyText"/>
      </w:pPr>
      <w:r>
        <w:t xml:space="preserve">Critically, the two systems are directly electrically compatible across the full regulation range. ETSI EN 300 132-3-1, the standard defining the 380V DC data center bus, specifies an input acceptance range of 260–400V DC — a deliberately wide band, chosen because data center engineers knew the equipment would be fed from varying AC sources worldwide. Rectifying the 12 Hz line-to-neutral supply through a bridge rectifier ($5–20) and an iron-cored choke-input filter yields a DC output near the rectified average of 0.9 × RMS: approximately 300V for the near consumer (335V line-to-neutral) and 275V for the far consumer (306V). The choke-input stage matters: a capacitor-input rectifier at light load charges toward the AC peak (433–474V at these line voltages), overshooting the standard’s 400V ceiling, whereas the choke holds the output at the rectified average across the load range. Both filter components are passive iron-and-copper commodity items, consistent with the architecture’s material philosophy. The choke is a real component — several kilograms of laminations and copper at residential service scale — but three factors keep its cost near the bottom of its range (roughly $30–60 in materials at local fabrication, $100–150 as a commercial product): it is wound from the same mild-steel laminations, by the same workshops, as the 12 Hz transformers themselves; a swinging-choke design (a gapped core whose inductance rises as load current falls — standard 1940s rectifier practice) meets the critical-inductance requirement at light load with a fraction of the iron a linear choke needs; and a small guaranteed minimum load (an always-on LED fixture serving as bleeder) further relaxes the light-load requirement. Critically, the entrance stage exists only for the optional DC building bus. A consumer taking direct 12 Hz AC service — the default for household loads, whose appliances rectify internally with input stages rated for the service — needs no choke at all, and in village or compound deployment one entrance stage serves a shared DC bus rather than each dwelling individually, amortizing the cost across the households it serves. Every point on the distribution line therefore lands inside the acceptance window — no boost converter, no adapters, no voltage-regulation electronics at the building entrance. The AC grid’s natural regulation band is absorbed by the DC equipment’s designed input tolerance.</w:t>
      </w:r>
    </w:p>
    <w:p>
      <w:pPr>
        <w:pStyle w:val="BodyText"/>
      </w:pPr>
      <w:r>
        <w:t xml:space="preserve">The choke can be avoided where the neighborhood transformer provides a dedicated low-voltage three-phase secondary. A six-pulse bridge (six diodes) fed from three-phase power bounds its output by topology rather than by filtering: the instantaneous output never falls below 1.225 × V_LL nor rises above 1.414 × V_LL, and the ripple sits at six times line frequency (72 Hz at 12 Hz) at only a few percent amplitude — small filter components, if any at all. A secondary winding of approximately 280V line-to-line yields roughly 310–395V DC across the full load range and line position, landing nearer the 380V nominal than the single-phase path does. The trade-off is architectural: the dedicated winding reintroduces a transformer stage for DC-bus service, which the transformerless 600V-class consumer tier deliberately avoids. The single-phase rectifier-and-choke entrance suits the transformerless baseline; the dual-secondary six-pulse option suits locations with concentrated DC demand — data centers, battery depots, EV charging clusters.</w:t>
      </w:r>
    </w:p>
    <w:p>
      <w:pPr>
        <w:pStyle w:val="BodyText"/>
      </w:pPr>
      <w:r>
        <w:t xml:space="preserve">Where DC demand justifies the dedicated secondary at all, the recommended configuration is the twelve-pulse extension of the same idea. Winding the neighborhood transformer with two low-voltage secondaries — one wye, one delta — places their outputs 30 electrical degrees apart, and connecting a six-pulse bridge to each with the two DC outputs in series interleaves the ripple: output ripple drops to roughly 1% at twelve times line frequency (144 Hz at 12 Hz), the output band tightens to approximately 1.35–1.41 × the summed winding voltage, and the fifth and seventh harmonic currents cancel on the AC side, so the DC load presents a nearly clean profile to the distribution feeder. The series connection matters: paralleling the two bridges would require an interphase reactor — iron creeping back into the design — while the series form (the standard configuration in HVDC terminals and smelter rectifiers worldwide) needs no interphase reactor, no choke, and no mandatory filter capacitor. With each secondary at approximately 140V line-to-line, the stack delivers roughly 350–395V DC across the load range and line position. The cost accounting is favorable because the marginal iron is winding on a core already in the design: the dual secondary adds roughly 10–20% to a locally wound neighborhood transformer ($300–1,000 on a $2,000–8,000 unit), and the twelve diodes are commodity stud or press-fit rectifiers ($30–120, frequency-indifferent, socketed for spares-in-a-drawer replacement) plus heatsink, fusing, and enclosure ($100–200). For a twenty-household compound, the entrance stage amortizes to $20–70 per household — below the per-building cost of the single-phase choke path, with better power quality. The resulting ~380V bus is a compound-local bus (tens to low hundreds of meters); distribution distance remains on the 530–580V AC tier.</w:t>
      </w:r>
    </w:p>
    <w:p>
      <w:pPr>
        <w:pStyle w:val="BodyText"/>
      </w:pPr>
      <w:r>
        <w:t xml:space="preserve">Where DC demand justifies it, the six-pulse option extends to twelve-pulse: give the transformer two low-voltage secondaries, one wye and one delta. The 30° phase shift between them interleaves the two bridges, cutting ripple to roughly 1% at twelve times line frequency (144 Hz at 12 Hz) and tightening the output to approximately 1.35 × ΣV_LL with only ±1.5% ripple band before line regulation — and the 5th and 7th harmonic currents cancel on the AC side by winding geometry, so the DC load presents a nearly clean current to the distribution feeder with no filtering equipment. This is the standard configuration of every HVDC terminal and smelter rectifier in service; here it is twelve diodes and one additional winding set on a transformer the local workshop is winding anyway. Costs, itemized for a 10–50 kW compound bus where the distribution transformer exists regardless: the second secondary adds $300–1,500 to a field-built unit (two half-voltage secondaries with series-stacked bridges avoid the interphase reactor that parallel operation requires); twelve diodes with heatsinks and bus bars run $100–250, socketed and spare-in-a-drawer; DC fusing, disconnect, surge protection, and enclosure add $150–400 — a total increment of roughly $550–2,250, or $30–115 per household across a twenty-household compound. A dedicated dual-secondary unit for an isolated site raises the total to $2,200–7,500. The bridges’ quasi-square current draw normally forces a 5–10% transformer derating, but at 12 Hz the harmonic eddy heating that drives this derating at 50/60 Hz is largely negligible; and a bolted DC fault reflects through the transformer’s leakage reactance to the AC side, where zero-crossing protection clears it conventionally. The single-phase choke entrance remains correct for an individual building; twelve-pulse is the recommended configuration for concentrated DC loads — clinics, data rooms, battery depots, compound-scale buses.</w:t>
      </w:r>
    </w:p>
    <w:p>
      <w:pPr>
        <w:pStyle w:val="BodyText"/>
      </w:pPr>
      <w:r>
        <w:t xml:space="preserve">The implication is decisive: there is no need to modify the 12 Hz AC system to deliver 380V line-to-neutral. Doing so would require 380V × √3 = 658V line-to-line, pushing past the 600V wire rating into 1000V-class wiring, industrial-grade switchgear, and higher insulation classes — the same “safety cliff” identified in DC distribution literature as the reason not to exceed 600V. The 600V-class system stays below this cliff while feeding equipment designed for 380V DC through a commodity bridge rectifier. The three-phase wye geometry delivers the target voltage through trigonometry rather than through a conversion device.</w:t>
      </w:r>
    </w:p>
    <w:p>
      <w:pPr>
        <w:pStyle w:val="BodyText"/>
      </w:pPr>
      <w:r>
        <w:t xml:space="preserve">Building-level hardware for both architectures draws from the same commodity supply chain. Wire rated for 600V is standard (THHN/THWN, NM-B in North America; equivalent ratings in IEC standards). 600V breakers are commodity industrial items. Outlets, junction boxes, and conduit are voltage-agnostic at these levels.</w:t>
      </w:r>
    </w:p>
    <w:bookmarkEnd w:id="43"/>
    <w:bookmarkStart w:id="44" w:name="adoptable-ideas-from-the-dc-architecture"/>
    <w:p>
      <w:pPr>
        <w:pStyle w:val="Heading3"/>
      </w:pPr>
      <w:r>
        <w:t xml:space="preserve">11.3 Adoptable Ideas from the DC Architecture</w:t>
      </w:r>
    </w:p>
    <w:p>
      <w:pPr>
        <w:pStyle w:val="FirstParagraph"/>
      </w:pPr>
      <w:r>
        <w:t xml:space="preserve">Several design choices from the all-DC proposal should be adopted into the 12 Hz architecture to leverage commodity hardware and reduce costs:</w:t>
      </w:r>
    </w:p>
    <w:p>
      <w:pPr>
        <w:pStyle w:val="BodyText"/>
      </w:pPr>
      <w:r>
        <w:rPr>
          <w:b/>
          <w:bCs/>
        </w:rPr>
        <w:t xml:space="preserve">380V DC building bus option:</w:t>
      </w:r>
      <w:r>
        <w:t xml:space="preserve"> </w:t>
      </w:r>
      <w:r>
        <w:t xml:space="preserve">For new construction, the rectifier-and-choke entrance stage described in Section 11.2 delivers approximately 275–300V DC and opens the entire 380V DC component ecosystem — data center PDUs, DC breakers, DC-rated outlets, direct battery connection. This is an optional consumer-side upgrade, not a grid requirement. If the entrance stage fails, the building reverts to direct AC operation, and every modern appliance with a switch-mode power supply continues functioning through its own internal rectifier.</w:t>
      </w:r>
    </w:p>
    <w:p>
      <w:pPr>
        <w:pStyle w:val="BodyText"/>
      </w:pPr>
      <w:r>
        <w:rPr>
          <w:b/>
          <w:bCs/>
        </w:rPr>
        <w:t xml:space="preserve">Direct battery integration:</w:t>
      </w:r>
      <w:r>
        <w:t xml:space="preserve"> </w:t>
      </w:r>
      <w:r>
        <w:t xml:space="preserve">The 380V DC bus enables direct connection of 350–450V battery packs without a dedicated inverter stage. For buildings with rooftop solar, this creates a local DC microgrid behind the meter that operates independently of the AC backbone during outages — the commune model, implemented at the building level.</w:t>
      </w:r>
    </w:p>
    <w:p>
      <w:pPr>
        <w:pStyle w:val="BodyText"/>
      </w:pPr>
      <w:r>
        <w:rPr>
          <w:b/>
          <w:bCs/>
        </w:rPr>
        <w:t xml:space="preserve">DC-native appliance compatibility:</w:t>
      </w:r>
      <w:r>
        <w:t xml:space="preserve"> </w:t>
      </w:r>
      <w:r>
        <w:t xml:space="preserve">As the market for DC appliances grows (driven by data center, EV, and solar industries), the 380V DC building bus provides ready access. The 12 Hz architecture doesn’t require DC appliances but accommodates them through the optional rectifier.</w:t>
      </w:r>
    </w:p>
    <w:bookmarkEnd w:id="44"/>
    <w:bookmarkStart w:id="45" w:name="component-cost-and-lead-time-comparison"/>
    <w:p>
      <w:pPr>
        <w:pStyle w:val="Heading3"/>
      </w:pPr>
      <w:r>
        <w:t xml:space="preserve">11.4 Component Cost and Lead Time Comparison</w:t>
      </w:r>
    </w:p>
    <w:tbl>
      <w:tblPr>
        <w:tblStyle w:val="Table"/>
        <w:tblW w:type="pct" w:w="5000"/>
        <w:tblLayout w:type="fixed"/>
        <w:tblLook w:firstRow="1" w:lastRow="0" w:firstColumn="0" w:lastColumn="0" w:noHBand="0" w:noVBand="0" w:val="0020"/>
      </w:tblPr>
      <w:tblGrid>
        <w:gridCol w:w="1382"/>
        <w:gridCol w:w="2304"/>
        <w:gridCol w:w="2598"/>
        <w:gridCol w:w="1634"/>
      </w:tblGrid>
      <w:tr>
        <w:trPr>
          <w:tblHeader w:val="on"/>
        </w:trPr>
        <w:tc>
          <w:tcPr/>
          <w:p>
            <w:pPr>
              <w:pStyle w:val="Compact"/>
              <w:jc w:val="left"/>
            </w:pPr>
            <w:r>
              <w:t xml:space="preserve">Component</w:t>
            </w:r>
          </w:p>
        </w:tc>
        <w:tc>
          <w:tcPr/>
          <w:p>
            <w:pPr>
              <w:pStyle w:val="Compact"/>
              <w:jc w:val="left"/>
            </w:pPr>
            <w:r>
              <w:t xml:space="preserve">12 Hz AC (306–335V / 600V-class)</w:t>
            </w:r>
          </w:p>
        </w:tc>
        <w:tc>
          <w:tcPr/>
          <w:p>
            <w:pPr>
              <w:pStyle w:val="Compact"/>
              <w:jc w:val="left"/>
            </w:pPr>
            <w:r>
              <w:t xml:space="preserve">All-DC (380V building)</w:t>
            </w:r>
          </w:p>
        </w:tc>
        <w:tc>
          <w:tcPr/>
          <w:p>
            <w:pPr>
              <w:pStyle w:val="Compact"/>
              <w:jc w:val="left"/>
            </w:pPr>
            <w:r>
              <w:t xml:space="preserve">Advantage</w:t>
            </w:r>
          </w:p>
        </w:tc>
      </w:tr>
      <w:tr>
        <w:tc>
          <w:tcPr/>
          <w:p>
            <w:pPr>
              <w:pStyle w:val="Compact"/>
              <w:jc w:val="left"/>
            </w:pPr>
            <w:r>
              <w:t xml:space="preserve">Building wire</w:t>
            </w:r>
          </w:p>
        </w:tc>
        <w:tc>
          <w:tcPr/>
          <w:p>
            <w:pPr>
              <w:pStyle w:val="Compact"/>
              <w:jc w:val="left"/>
            </w:pPr>
            <w:r>
              <w:t xml:space="preserve">Standard 600V rated — $0.30–$0.80/m</w:t>
            </w:r>
          </w:p>
        </w:tc>
        <w:tc>
          <w:tcPr/>
          <w:p>
            <w:pPr>
              <w:pStyle w:val="Compact"/>
              <w:jc w:val="left"/>
            </w:pPr>
            <w:r>
              <w:t xml:space="preserve">Standard 600V rated — $0.30–$0.80/m</w:t>
            </w:r>
          </w:p>
        </w:tc>
        <w:tc>
          <w:tcPr/>
          <w:p>
            <w:pPr>
              <w:pStyle w:val="Compact"/>
              <w:jc w:val="left"/>
            </w:pPr>
            <w:r>
              <w:t xml:space="preserve">Equal</w:t>
            </w:r>
          </w:p>
        </w:tc>
      </w:tr>
      <w:tr>
        <w:tc>
          <w:tcPr/>
          <w:p>
            <w:pPr>
              <w:pStyle w:val="Compact"/>
              <w:jc w:val="left"/>
            </w:pPr>
            <w:r>
              <w:t xml:space="preserve">Panel breakers (building)</w:t>
            </w:r>
          </w:p>
        </w:tc>
        <w:tc>
          <w:tcPr/>
          <w:p>
            <w:pPr>
              <w:pStyle w:val="Compact"/>
              <w:jc w:val="left"/>
            </w:pPr>
            <w:r>
              <w:t xml:space="preserve">Commodity 600V AC — $10–$30 each</w:t>
            </w:r>
          </w:p>
        </w:tc>
        <w:tc>
          <w:tcPr/>
          <w:p>
            <w:pPr>
              <w:pStyle w:val="Compact"/>
              <w:jc w:val="left"/>
            </w:pPr>
            <w:r>
              <w:t xml:space="preserve">Specialty DC rated — $25–$80 each</w:t>
            </w:r>
          </w:p>
        </w:tc>
        <w:tc>
          <w:tcPr/>
          <w:p>
            <w:pPr>
              <w:pStyle w:val="Compact"/>
              <w:jc w:val="left"/>
            </w:pPr>
            <w:r>
              <w:t xml:space="preserve">AC — 2–3x cheaper</w:t>
            </w:r>
          </w:p>
        </w:tc>
      </w:tr>
      <w:tr>
        <w:tc>
          <w:tcPr/>
          <w:p>
            <w:pPr>
              <w:pStyle w:val="Compact"/>
              <w:jc w:val="left"/>
            </w:pPr>
            <w:r>
              <w:t xml:space="preserve">Outlets/connectors</w:t>
            </w:r>
          </w:p>
        </w:tc>
        <w:tc>
          <w:tcPr/>
          <w:p>
            <w:pPr>
              <w:pStyle w:val="Compact"/>
              <w:jc w:val="left"/>
            </w:pPr>
            <w:r>
              <w:t xml:space="preserve">Standard NEMA or IEC — $2–$10</w:t>
            </w:r>
          </w:p>
        </w:tc>
        <w:tc>
          <w:tcPr/>
          <w:p>
            <w:pPr>
              <w:pStyle w:val="Compact"/>
              <w:jc w:val="left"/>
            </w:pPr>
            <w:r>
              <w:t xml:space="preserve">DC-specific, limited suppliers — $10–$40</w:t>
            </w:r>
          </w:p>
        </w:tc>
        <w:tc>
          <w:tcPr/>
          <w:p>
            <w:pPr>
              <w:pStyle w:val="Compact"/>
              <w:jc w:val="left"/>
            </w:pPr>
            <w:r>
              <w:t xml:space="preserve">AC — 2–4x cheaper, ubiquitous</w:t>
            </w:r>
          </w:p>
        </w:tc>
      </w:tr>
      <w:tr>
        <w:tc>
          <w:tcPr/>
          <w:p>
            <w:pPr>
              <w:pStyle w:val="Compact"/>
              <w:jc w:val="left"/>
            </w:pPr>
            <w:r>
              <w:t xml:space="preserve">Surge protection (building)</w:t>
            </w:r>
          </w:p>
        </w:tc>
        <w:tc>
          <w:tcPr/>
          <w:p>
            <w:pPr>
              <w:pStyle w:val="Compact"/>
              <w:jc w:val="left"/>
            </w:pPr>
            <w:r>
              <w:t xml:space="preserve">Commodity AC SPD — $15–$50</w:t>
            </w:r>
          </w:p>
        </w:tc>
        <w:tc>
          <w:tcPr/>
          <w:p>
            <w:pPr>
              <w:pStyle w:val="Compact"/>
              <w:jc w:val="left"/>
            </w:pPr>
            <w:r>
              <w:t xml:space="preserve">DC-rated SPD — $30–$100</w:t>
            </w:r>
          </w:p>
        </w:tc>
        <w:tc>
          <w:tcPr/>
          <w:p>
            <w:pPr>
              <w:pStyle w:val="Compact"/>
              <w:jc w:val="left"/>
            </w:pPr>
            <w:r>
              <w:t xml:space="preserve">AC — cheaper, more available</w:t>
            </w:r>
          </w:p>
        </w:tc>
      </w:tr>
      <w:tr>
        <w:tc>
          <w:tcPr/>
          <w:p>
            <w:pPr>
              <w:pStyle w:val="Compact"/>
              <w:jc w:val="left"/>
            </w:pPr>
            <w:r>
              <w:t xml:space="preserve">Battery integration</w:t>
            </w:r>
          </w:p>
        </w:tc>
        <w:tc>
          <w:tcPr/>
          <w:p>
            <w:pPr>
              <w:pStyle w:val="Compact"/>
              <w:jc w:val="left"/>
            </w:pPr>
            <w:r>
              <w:t xml:space="preserve">Bidirectional inverter required — $500–$2,000</w:t>
            </w:r>
          </w:p>
        </w:tc>
        <w:tc>
          <w:tcPr/>
          <w:p>
            <w:pPr>
              <w:pStyle w:val="Compact"/>
              <w:jc w:val="left"/>
            </w:pPr>
            <w:r>
              <w:t xml:space="preserve">Direct connection — minimal cost</w:t>
            </w:r>
          </w:p>
        </w:tc>
        <w:tc>
          <w:tcPr/>
          <w:p>
            <w:pPr>
              <w:pStyle w:val="Compact"/>
              <w:jc w:val="left"/>
            </w:pPr>
            <w:r>
              <w:t xml:space="preserve">DC — significant savings</w:t>
            </w:r>
          </w:p>
        </w:tc>
      </w:tr>
      <w:tr>
        <w:tc>
          <w:tcPr/>
          <w:p>
            <w:pPr>
              <w:pStyle w:val="Compact"/>
              <w:jc w:val="left"/>
            </w:pPr>
            <w:r>
              <w:t xml:space="preserve">DC bus entrance stage (optional)</w:t>
            </w:r>
          </w:p>
        </w:tc>
        <w:tc>
          <w:tcPr/>
          <w:p>
            <w:pPr>
              <w:pStyle w:val="Compact"/>
              <w:jc w:val="left"/>
            </w:pPr>
            <w:r>
              <w:t xml:space="preserve">Per building: bridge + iron choke, $35–$170; per compound: twelve-pulse dual-secondary stage, ~$450–$1,300 ($20–70/household) — locally fabricable, needed only where a DC bus is wanted</w:t>
            </w:r>
          </w:p>
        </w:tc>
        <w:tc>
          <w:tcPr/>
          <w:p>
            <w:pPr>
              <w:pStyle w:val="Compact"/>
              <w:jc w:val="left"/>
            </w:pPr>
            <w:r>
              <w:t xml:space="preserve">None — native DC</w:t>
            </w:r>
          </w:p>
        </w:tc>
        <w:tc>
          <w:tcPr/>
          <w:p>
            <w:pPr>
              <w:pStyle w:val="Compact"/>
              <w:jc w:val="left"/>
            </w:pPr>
            <w:r>
              <w:t xml:space="preserve">DC — but stage is optional and per-compound sharable</w:t>
            </w:r>
          </w:p>
        </w:tc>
      </w:tr>
      <w:tr>
        <w:tc>
          <w:tcPr/>
          <w:p>
            <w:pPr>
              <w:pStyle w:val="Compact"/>
              <w:jc w:val="left"/>
            </w:pPr>
            <w:r>
              <w:t xml:space="preserve">Solar integration</w:t>
            </w:r>
          </w:p>
        </w:tc>
        <w:tc>
          <w:tcPr/>
          <w:p>
            <w:pPr>
              <w:pStyle w:val="Compact"/>
              <w:jc w:val="left"/>
            </w:pPr>
            <w:r>
              <w:t xml:space="preserve">Inverter to 12 Hz — $500–$2,000</w:t>
            </w:r>
          </w:p>
        </w:tc>
        <w:tc>
          <w:tcPr/>
          <w:p>
            <w:pPr>
              <w:pStyle w:val="Compact"/>
              <w:jc w:val="left"/>
            </w:pPr>
            <w:r>
              <w:t xml:space="preserve">Direct to bus or DC-DC — $300–$1,500</w:t>
            </w:r>
          </w:p>
        </w:tc>
        <w:tc>
          <w:tcPr/>
          <w:p>
            <w:pPr>
              <w:pStyle w:val="Compact"/>
              <w:jc w:val="left"/>
            </w:pPr>
            <w:r>
              <w:t xml:space="preserve">DC — slight savings</w:t>
            </w:r>
          </w:p>
        </w:tc>
      </w:tr>
      <w:tr>
        <w:tc>
          <w:tcPr/>
          <w:p>
            <w:pPr>
              <w:pStyle w:val="Compact"/>
              <w:jc w:val="left"/>
            </w:pPr>
            <w:r>
              <w:t xml:space="preserve">Backbone voltage conversion</w:t>
            </w:r>
          </w:p>
        </w:tc>
        <w:tc>
          <w:tcPr/>
          <w:p>
            <w:pPr>
              <w:pStyle w:val="Compact"/>
              <w:jc w:val="left"/>
            </w:pPr>
            <w:r>
              <w:t xml:space="preserve">Passive transformer — $5K–$500K depending on rating</w:t>
            </w:r>
          </w:p>
        </w:tc>
        <w:tc>
          <w:tcPr/>
          <w:p>
            <w:pPr>
              <w:pStyle w:val="Compact"/>
              <w:jc w:val="left"/>
            </w:pPr>
            <w:r>
              <w:t xml:space="preserve">SST — $50K–$5M+, 6–18 month lead time</w:t>
            </w:r>
          </w:p>
        </w:tc>
        <w:tc>
          <w:tcPr/>
          <w:p>
            <w:pPr>
              <w:pStyle w:val="Compact"/>
              <w:jc w:val="left"/>
            </w:pPr>
            <w:r>
              <w:t xml:space="preserve">AC — 5–10x cheaper, locally buildable</w:t>
            </w:r>
          </w:p>
        </w:tc>
      </w:tr>
      <w:tr>
        <w:tc>
          <w:tcPr/>
          <w:p>
            <w:pPr>
              <w:pStyle w:val="Compact"/>
              <w:jc w:val="left"/>
            </w:pPr>
            <w:r>
              <w:t xml:space="preserve">Backbone fault protection</w:t>
            </w:r>
          </w:p>
        </w:tc>
        <w:tc>
          <w:tcPr/>
          <w:p>
            <w:pPr>
              <w:pStyle w:val="Compact"/>
              <w:jc w:val="left"/>
            </w:pPr>
            <w:r>
              <w:t xml:space="preserve">Oil/SF6 circuit breaker — $1K–$50K</w:t>
            </w:r>
          </w:p>
        </w:tc>
        <w:tc>
          <w:tcPr/>
          <w:p>
            <w:pPr>
              <w:pStyle w:val="Compact"/>
              <w:jc w:val="left"/>
            </w:pPr>
            <w:r>
              <w:t xml:space="preserve">SSCB — $10K–$500K, 2+ year payback</w:t>
            </w:r>
          </w:p>
        </w:tc>
        <w:tc>
          <w:tcPr/>
          <w:p>
            <w:pPr>
              <w:pStyle w:val="Compact"/>
              <w:jc w:val="left"/>
            </w:pPr>
            <w:r>
              <w:t xml:space="preserve">AC — 5–10x cheaper, no semiconductors</w:t>
            </w:r>
          </w:p>
        </w:tc>
      </w:tr>
      <w:tr>
        <w:tc>
          <w:tcPr/>
          <w:p>
            <w:pPr>
              <w:pStyle w:val="Compact"/>
              <w:jc w:val="left"/>
            </w:pPr>
            <w:r>
              <w:t xml:space="preserve">Lead time (building components)</w:t>
            </w:r>
          </w:p>
        </w:tc>
        <w:tc>
          <w:tcPr/>
          <w:p>
            <w:pPr>
              <w:pStyle w:val="Compact"/>
              <w:jc w:val="left"/>
            </w:pPr>
            <w:r>
              <w:t xml:space="preserve">Days — available at any electrical supplier</w:t>
            </w:r>
          </w:p>
        </w:tc>
        <w:tc>
          <w:tcPr/>
          <w:p>
            <w:pPr>
              <w:pStyle w:val="Compact"/>
              <w:jc w:val="left"/>
            </w:pPr>
            <w:r>
              <w:t xml:space="preserve">Weeks to months — specialty DC components, limited suppliers</w:t>
            </w:r>
          </w:p>
        </w:tc>
        <w:tc>
          <w:tcPr/>
          <w:p>
            <w:pPr>
              <w:pStyle w:val="Compact"/>
              <w:jc w:val="left"/>
            </w:pPr>
            <w:r>
              <w:t xml:space="preserve">AC — faster, more suppliers</w:t>
            </w:r>
          </w:p>
        </w:tc>
      </w:tr>
      <w:tr>
        <w:tc>
          <w:tcPr/>
          <w:p>
            <w:pPr>
              <w:pStyle w:val="Compact"/>
              <w:jc w:val="left"/>
            </w:pPr>
            <w:r>
              <w:t xml:space="preserve">Lead time (backbone components)</w:t>
            </w:r>
          </w:p>
        </w:tc>
        <w:tc>
          <w:tcPr/>
          <w:p>
            <w:pPr>
              <w:pStyle w:val="Compact"/>
              <w:jc w:val="left"/>
            </w:pPr>
            <w:r>
              <w:t xml:space="preserve">2–3 months — locally fabricable</w:t>
            </w:r>
          </w:p>
        </w:tc>
        <w:tc>
          <w:tcPr/>
          <w:p>
            <w:pPr>
              <w:pStyle w:val="Compact"/>
              <w:jc w:val="left"/>
            </w:pPr>
            <w:r>
              <w:t xml:space="preserve">6–18 months — international procurement</w:t>
            </w:r>
          </w:p>
        </w:tc>
        <w:tc>
          <w:tcPr/>
          <w:p>
            <w:pPr>
              <w:pStyle w:val="Compact"/>
              <w:jc w:val="left"/>
            </w:pPr>
            <w:r>
              <w:t xml:space="preserve">AC — 3–6x faster</w:t>
            </w:r>
          </w:p>
        </w:tc>
      </w:tr>
    </w:tbl>
    <w:p>
      <w:pPr>
        <w:pStyle w:val="BodyText"/>
      </w:pPr>
      <w:r>
        <w:t xml:space="preserve">The component comparison reveals a split: at the building level, AC components are generally cheaper and more available due to the massive installed base of AC infrastructure worldwide, while DC wins on battery and solar integration by eliminating converter stages. At the backbone level, AC components are cheaper by an order of magnitude and locally producible, while DC backbone components are expensive, internationally sourced, and have long lead times. The optimal strategy is to use AC’s commodity advantage in the backbone and adopt DC’s commodity advantage at the building level through the optional 380V DC bus — the complementary architecture.</w:t>
      </w:r>
    </w:p>
    <w:bookmarkEnd w:id="45"/>
    <w:bookmarkStart w:id="46" w:name="adopting-the-380v-dc-commodity-insight"/>
    <w:p>
      <w:pPr>
        <w:pStyle w:val="Heading3"/>
      </w:pPr>
      <w:r>
        <w:t xml:space="preserve">11.5 Adopting the 380V DC Commodity Insight</w:t>
      </w:r>
    </w:p>
    <w:p>
      <w:pPr>
        <w:pStyle w:val="FirstParagraph"/>
      </w:pPr>
      <w:r>
        <w:t xml:space="preserve">The most valuable contribution of the all-DC analysis is the identification of 380V DC as a commodity voltage standard with a growing global ecosystem. The 12 Hz architecture formally adopts this insight: 380V-class DC is the recommended building-internal bus wherever DC distribution is wanted, delivered through the passive entrance stage of Section 11.2 rather than through a DC backbone. This captures the endpoint efficiency advantage of DC distribution and the 380V commodity component ecosystem while keeping the backbone semiconductor-free. The entrance stage is replaceable by any electrician, and its failure mode is benign: the building reverts to direct AC operation with no loss of function for modern loads that rectify internally.</w:t>
      </w:r>
    </w:p>
    <w:bookmarkEnd w:id="46"/>
    <w:bookmarkEnd w:id="47"/>
    <w:bookmarkStart w:id="50" w:name="X07de2525d09cfa5797a74acda8dbafc0cd82e0c"/>
    <w:p>
      <w:pPr>
        <w:pStyle w:val="Heading2"/>
      </w:pPr>
      <w:r>
        <w:t xml:space="preserve">12. MATERIAL SOVEREIGNTY AND CIRCULAR ECONOMY</w:t>
      </w:r>
    </w:p>
    <w:bookmarkStart w:id="48" w:name="material-recovery"/>
    <w:p>
      <w:pPr>
        <w:pStyle w:val="Heading3"/>
      </w:pPr>
      <w:r>
        <w:t xml:space="preserve">12.1 Material Recovery</w:t>
      </w:r>
    </w:p>
    <w:p>
      <w:pPr>
        <w:pStyle w:val="FirstParagraph"/>
      </w:pPr>
      <w:r>
        <w:t xml:space="preserve">The 12 Hz AC grid has a fully circular material economy. Copper from decommissioned transformers, legacy grid infrastructure, and scrapped ICE vehicles is recovered, remelted, and wound into new transformers. Steel from the same sources becomes new transformer core laminations. Copper recycling rates exceed 90% globally. A single scrapped ICE vehicle yields 20–25 kg of copper (wiring harness, alternator, starter) plus aluminum (engine block, radiators) plus mild steel (chassis, body) — all directly usable as 12 Hz transformer materials.</w:t>
      </w:r>
    </w:p>
    <w:p>
      <w:pPr>
        <w:pStyle w:val="BodyText"/>
      </w:pPr>
      <w:r>
        <w:t xml:space="preserve">The all-DC grid creates a linear waste stream. Failed semiconductor modules become e-waste — SiC/GaN dies locked in epoxy, solder, ceramic, and plastic matrices that cost more to separate than recovered materials are worth. Global e-waste recycling rates are under 20%. Recovered copper and steel from scrapped ICE vehicles can serve as supporting materials in DC converter stations but cannot become the critical functional components (semiconductor devices), which must always come new from a fab.</w:t>
      </w:r>
    </w:p>
    <w:bookmarkEnd w:id="48"/>
    <w:bookmarkStart w:id="49" w:name="the-dependency-structure"/>
    <w:p>
      <w:pPr>
        <w:pStyle w:val="Heading3"/>
      </w:pPr>
      <w:r>
        <w:t xml:space="preserve">12.2 The Dependency Structure</w:t>
      </w:r>
    </w:p>
    <w:p>
      <w:pPr>
        <w:pStyle w:val="FirstParagraph"/>
      </w:pPr>
      <w:r>
        <w:t xml:space="preserve">An all-DC grid at national scale makes every voltage transition point dependent on semiconductor imports that cannot be manufactured locally. The AC transformer at a road junction can, in principle, be wound by a local workshop from copper and steel available in the nearest city. The SST replacing it can only come from a semiconductor fab in Shenzhen, Nuremberg, or Durham, North Carolina. When the supplying nation decides to impose conditions — political, economic, or military — the grid is hostage. This is the same extractive model the developing world experienced with fossil fuels: the raw materials flow out, the finished technology products flow back, and the dependency is permanent.</w:t>
      </w:r>
    </w:p>
    <w:p>
      <w:pPr>
        <w:pStyle w:val="BodyText"/>
      </w:pPr>
      <w:r>
        <w:t xml:space="preserve">The 12 Hz architecture transfers capability, not product. Train local technicians to wind transformers from local materials. Build local workshops. The “benefit” of faster electrification through imported semiconductor-dependent infrastructure is real but temporary if it creates permanent dependency. Fast electrification that entrenches structural dependency is not development.</w:t>
      </w:r>
    </w:p>
    <w:bookmarkEnd w:id="49"/>
    <w:bookmarkEnd w:id="50"/>
    <w:bookmarkStart w:id="53" w:name="sodium-ion-battery-integration"/>
    <w:p>
      <w:pPr>
        <w:pStyle w:val="Heading2"/>
      </w:pPr>
      <w:r>
        <w:t xml:space="preserve">13. SODIUM-ION BATTERY INTEGRATION</w:t>
      </w:r>
    </w:p>
    <w:p>
      <w:pPr>
        <w:pStyle w:val="FirstParagraph"/>
      </w:pPr>
      <w:r>
        <w:t xml:space="preserve">Both architectures integrate sodium-ion battery storage using CATL’s Naxtra product line or equivalent (sodium, iron, manganese chemistry; sanctions-proof raw materials; -40°C to 70°C operating range; 175 Wh/kg; 10,000+ cycle life). Current grid-scale sodium-ion battery pricing is approximately $80–$120/kWh at the cell level, trending downward as CATL and competitors scale production. A 100 kWh village-level battery installation costs approximately $8,000–$12,000 for cells, plus $2,000–$5,000 for battery management system, enclosure, and wiring. Battery integration is not a differentiator between architectures.</w:t>
      </w:r>
    </w:p>
    <w:bookmarkStart w:id="51" w:name="Xe0c59283f74ad9c54c1eb95694aee955bf8f551"/>
    <w:p>
      <w:pPr>
        <w:pStyle w:val="Heading3"/>
      </w:pPr>
      <w:r>
        <w:t xml:space="preserve">13.1 Design Philosophy: Batteries as Buffer, Not Baseload</w:t>
      </w:r>
    </w:p>
    <w:p>
      <w:pPr>
        <w:pStyle w:val="FirstParagraph"/>
      </w:pPr>
      <w:r>
        <w:t xml:space="preserve">Sodium batteries serve their highest-value function not as generation substitutes but as graceful degradation buffers. In a well-designed system, loads are time-shifted to run when generation is available — grain milling, water pumping, ice making, water heating all run during solar hours. Batteries cover the irreducible overnight minimum: hospital ICUs, water treatment chemical dosing, telecommunications, security lighting. This reduces battery sizing by 5–10x compared to designing storage to replace generation.</w:t>
      </w:r>
    </w:p>
    <w:p>
      <w:pPr>
        <w:pStyle w:val="BodyText"/>
      </w:pPr>
      <w:r>
        <w:t xml:space="preserve">The backbone’s primary value during generation shortfalls is geographic load redistribution: moving power from where the sun is shining (or water is flowing) to where loads are running. East-side morning sun serves west-side morning demand, and vice versa in the afternoon. Transmission substitutes for storage. The 12 Hz backbone enables this with passive transformers. The all-DC backbone enables it with semiconductor converters — same function, different dependency profile.</w:t>
      </w:r>
    </w:p>
    <w:bookmarkEnd w:id="51"/>
    <w:bookmarkStart w:id="52" w:name="battery-interface-differences"/>
    <w:p>
      <w:pPr>
        <w:pStyle w:val="Heading3"/>
      </w:pPr>
      <w:r>
        <w:t xml:space="preserve">13.2 Battery Interface Differences</w:t>
      </w:r>
    </w:p>
    <w:p>
      <w:pPr>
        <w:pStyle w:val="FirstParagraph"/>
      </w:pPr>
      <w:r>
        <w:t xml:space="preserve">In the all-DC architecture, batteries connect directly to the DC bus — a genuine advantage requiring no conversion. In the 12 Hz architecture, batteries require a bidirectional inverter. However, a 12 Hz inverter switches far fewer times per second than a 50 Hz equivalent, producing lower switching losses, simpler gate drives, and longer semiconductor lifespan at the battery interface. The battery management system (BMS) — required in both architectures — uses commodity microcontrollers manufactured by hundreds of fabs, a fundamentally different class of semiconductor dependency than megawatt-scale SSTs.</w:t>
      </w:r>
    </w:p>
    <w:bookmarkEnd w:id="52"/>
    <w:bookmarkEnd w:id="53"/>
    <w:bookmarkStart w:id="58" w:name="Xece5f892af1bae32b72f3fd9e5b1543473c705e"/>
    <w:p>
      <w:pPr>
        <w:pStyle w:val="Heading2"/>
      </w:pPr>
      <w:r>
        <w:t xml:space="preserve">14. CASE STUDIES: REAL-WORLD CRISIS PERFORMANCE</w:t>
      </w:r>
    </w:p>
    <w:bookmarkStart w:id="54" w:name="case-study-kariba-dam-drought-20232026"/>
    <w:p>
      <w:pPr>
        <w:pStyle w:val="Heading3"/>
      </w:pPr>
      <w:r>
        <w:t xml:space="preserve">14.1 Case Study: Kariba Dam Drought (2023–2026)</w:t>
      </w:r>
    </w:p>
    <w:p>
      <w:pPr>
        <w:pStyle w:val="FirstParagraph"/>
      </w:pPr>
      <w:r>
        <w:t xml:space="preserve">Lake Kariba, straddling the Zambia-Zimbabwe border, is one of the world’s largest artificial reservoirs and the primary source of baseload power for both nations. Zambia depends on hydropower for approximately 85% of its installed generation capacity. Beginning in 2023, severe drought reduced the reservoir to near minimum operating level (475.50m), forcing sharp cuts in hydropower allocation and extended load-shedding that devastated industrial productivity in mining and manufacturing. As of March 2026, the lake has recovered to 478.50m (approximately 21% usable storage), doubling year-on-year but still far below comfortable operating margins and only 2–3 metres above the level at which generation must legally cease to protect the turbines.</w:t>
      </w:r>
    </w:p>
    <w:p>
      <w:pPr>
        <w:pStyle w:val="BodyText"/>
      </w:pPr>
      <w:r>
        <w:rPr>
          <w:b/>
          <w:bCs/>
        </w:rPr>
        <w:t xml:space="preserve">Under the 12 Hz AC architecture:</w:t>
      </w:r>
      <w:r>
        <w:t xml:space="preserve"> </w:t>
      </w:r>
      <w:r>
        <w:t xml:space="preserve">The drought eliminates Kariba’s generation contribution for months to years. The 12 Hz backbone remains fully operational — every transformer, every circuit breaker, every transmission line continues functioning regardless of generation source. Solar installations across the country continue generating, and the backbone redistributes this power geographically to regions previously dependent on Kariba. New solar capacity can be added rapidly (panels in days, transformer substations in weeks). Non-semiconductor generation sources — biomass, small hydro from unaffected rivers, wind with directly connected generators — connect directly to the AC backbone without any semiconductor interface, providing immediate additional capacity from whatever sources are available. Sodium batteries provide 24–48 hour graceful degradation for critical loads during the transition period, buying time for load redistribution rather than attempting to replace baseload generation. The backbone’s passive components require no ongoing semiconductor procurement to keep functioning while the crisis persists.</w:t>
      </w:r>
    </w:p>
    <w:p>
      <w:pPr>
        <w:pStyle w:val="BodyText"/>
      </w:pPr>
      <w:r>
        <w:rPr>
          <w:b/>
          <w:bCs/>
        </w:rPr>
        <w:t xml:space="preserve">Under the all-DC architecture:</w:t>
      </w:r>
      <w:r>
        <w:t xml:space="preserve"> </w:t>
      </w:r>
      <w:r>
        <w:t xml:space="preserve">The same drought eliminates Kariba’s generation, but the crisis compounds differently. The DC backbone is functioning but aging: SSTs and SSCBs throughout the grid are accumulating thermal cycles. If the drought triggers an economic crisis (as it did in reality), the government’s ability to procure replacement semiconductor modules is compromised simultaneously with the generation shortfall. Solar installations continue generating, and the DC mesh can redistribute power — but only through the SSTs at each node, each of which is an active device consuming auxiliary power, requiring cooling, and aging toward failure. Adding new generation capacity requires not only solar panels but also DC-DC converter stations at each interconnection point, with 6–18 month procurement lead times from international suppliers during a period when the country’s hard currency reserves are depleted by the economic effects of the power crisis. Alternative generation sources (biomass, small hydro) produce AC and require semiconductor rectifiers to interface with the DC backbone — additional components that must be procured internationally. The backbone’s semiconductor components continue to degrade during the multi-year drought, creating a secondary infrastructure crisis on top of the primary generation crisis.</w:t>
      </w:r>
    </w:p>
    <w:p>
      <w:pPr>
        <w:pStyle w:val="BodyText"/>
      </w:pPr>
      <w:r>
        <w:t xml:space="preserve">The Kariba case demonstrates the fundamental asymmetry: in the 12 Hz architecture, a generation crisis remains a generation crisis. In the all-DC architecture, a generation crisis can cascade into an infrastructure crisis when the economic consequences of the generation shortfall impair the ability to maintain the semiconductor-dependent backbone.</w:t>
      </w:r>
    </w:p>
    <w:bookmarkEnd w:id="54"/>
    <w:bookmarkStart w:id="55" w:name="case-study-uganda-ground-conditions"/>
    <w:p>
      <w:pPr>
        <w:pStyle w:val="Heading3"/>
      </w:pPr>
      <w:r>
        <w:t xml:space="preserve">14.2 Case Study: Uganda — Ground Conditions</w:t>
      </w:r>
    </w:p>
    <w:p>
      <w:pPr>
        <w:pStyle w:val="FirstParagraph"/>
      </w:pPr>
      <w:r>
        <w:t xml:space="preserve">Uganda illustrates the deployment environment that any grid architecture must survive. According to field reports from energy sector participants based in Uganda: approximately half the population has a grid connection, but only about 15% actually use electricity. Reliability is extremely poor — frequent blackouts and voltage surges that age electronic equipment including inverters. Approximately 70% of the country burns charcoal for cooking and boiling water, and kerosene for lighting. Electricity tariffs have triggered violent riots (as in South Africa and Pakistan). Illegal informal connections to the grid are widespread, with the government at one point threatening capital punishment for “power thieves.” The former distribution concessionaire UMEME was widely criticized over service quality and tariffs during its 20-year concession, which ended in March 2025 when distribution reverted to the state-owned UEDCL.</w:t>
      </w:r>
    </w:p>
    <w:p>
      <w:pPr>
        <w:pStyle w:val="BodyText"/>
      </w:pPr>
      <w:r>
        <w:t xml:space="preserve">This operating environment defines the requirements: equipment must survive voltage surges, chronic overloading, lightning (the Lake Victoria region has among the highest lightning strike densities on Earth), zero maintenance budgets, dust, equatorial heat, and institutional neglect. The architecture that serves the 85% who currently lack electricity must be cheap enough that the tariff is affordable to subsistence farmers, fast enough to deploy before the next election cycle, and simple enough to be maintained by locally available labor.</w:t>
      </w:r>
    </w:p>
    <w:bookmarkEnd w:id="55"/>
    <w:bookmarkStart w:id="56" w:name="X409b0982a7b87125af1c6542182192a78803843"/>
    <w:p>
      <w:pPr>
        <w:pStyle w:val="Heading3"/>
      </w:pPr>
      <w:r>
        <w:t xml:space="preserve">14.3 Uganda: The Exploding Transformer Under Both Architectures</w:t>
      </w:r>
    </w:p>
    <w:p>
      <w:pPr>
        <w:pStyle w:val="FirstParagraph"/>
      </w:pPr>
      <w:r>
        <w:t xml:space="preserve">A distribution transformer at a road junction in Uganda fails catastrophically approximately every three months from a combination of extreme lightning, chronic overloading from unofficial connections, absent maintenance, and low-quality equipment purchased on lowest-bid tenders.</w:t>
      </w:r>
    </w:p>
    <w:p>
      <w:pPr>
        <w:pStyle w:val="BodyText"/>
      </w:pPr>
      <w:r>
        <w:rPr>
          <w:b/>
          <w:bCs/>
        </w:rPr>
        <w:t xml:space="preserve">Under the 12 Hz AC architecture:</w:t>
      </w:r>
      <w:r>
        <w:t xml:space="preserve"> </w:t>
      </w:r>
      <w:r>
        <w:t xml:space="preserve">The transformer fails from the same causes it fails today — lightning, overloading, neglect. The 12 Hz architecture does not prevent failures caused by operational abuse. What changes is the restoration timeline. A conventional 50 Hz replacement requires procurement of a factory-manufactured unit with GOES core, typically imported, with lead times of weeks to months depending on stock availability. A 12 Hz replacement can be fabricated at a workshop in Kampala from mild steel and copper available at any local supplier. Lead time: days to weeks. A village with a trained transformer winder and access to commodity materials can build its own replacement. The architecture converts a supply-chain-dependent restoration into a locally-resourced restoration. The transformer gives warning signs (elevated temperature, unusual hum, oil discoloration) detectable by a technician with one week of training, and the failure when it comes is a local event affecting one road junction while the backbone continues operating.</w:t>
      </w:r>
    </w:p>
    <w:p>
      <w:pPr>
        <w:pStyle w:val="BodyText"/>
      </w:pPr>
      <w:r>
        <w:rPr>
          <w:b/>
          <w:bCs/>
        </w:rPr>
        <w:t xml:space="preserve">Under the all-DC architecture:</w:t>
      </w:r>
      <w:r>
        <w:t xml:space="preserve"> </w:t>
      </w:r>
      <w:r>
        <w:t xml:space="preserve">The same road junction is served by a DC-DC converter or SST. The same environmental conditions apply: extreme lightning, chronic overloading, equatorial heat, voltage surges, and zero maintenance budget. Lightning destroys semiconductor devices catastrophically and instantly — there are no warning signs and no partial survival. A transformer hit by indirect lightning may survive with only the surge arrester needing replacement ($50–$200); an SST hit by the same event suffers MOSFET/IGBT junction breakdown requiring complete module replacement ($5,000–$50,000 depending on rating). The frequent voltage surges that field operators in Uganda report aging their inverters would age every SST in the DC backbone identically. Chronic overloading pushes semiconductor junctions past thermal limits, causing immediate catastrophic failure rather than the gradual insulation degradation that gives months of warning in a transformer. When the SST fails, the replacement must be procured internationally — 6–18 month lead time, customs clearance, specialized transport, and commissioning by a power electronics engineer. The road junction is dark for months to over a year, while a transformer-based junction could be restored in days.</w:t>
      </w:r>
    </w:p>
    <w:p>
      <w:pPr>
        <w:pStyle w:val="BodyText"/>
      </w:pPr>
      <w:r>
        <w:t xml:space="preserve">The failure rate under the all-DC architecture at this road junction would likely be higher than three months, not lower, because every environmental factor that kills the transformer (lightning, heat, overload, dust, surges) kills semiconductor devices more quickly and more completely. The dependency shifts from a local maintenance problem (solvable with training and institutional development) to an international supply chain problem (solvable only with hard currency and cooperative foreign suppliers).</w:t>
      </w:r>
    </w:p>
    <w:bookmarkEnd w:id="56"/>
    <w:bookmarkStart w:id="57" w:name="X7c4d5557f3ecbcaa3fa0b407678964b8f97d9cc"/>
    <w:p>
      <w:pPr>
        <w:pStyle w:val="Heading3"/>
      </w:pPr>
      <w:r>
        <w:t xml:space="preserve">14.4 Case Study: Pakistan — The People-Led Solar Revolution</w:t>
      </w:r>
    </w:p>
    <w:p>
      <w:pPr>
        <w:pStyle w:val="FirstParagraph"/>
      </w:pPr>
      <w:r>
        <w:t xml:space="preserve">Pakistan provides a real-world precedent for what happens when centralized grid infrastructure fails and people build their own alternative. After electricity tariffs increased 155% in three years and LNG shortages caused widespread blackouts, millions of Pakistani households and businesses installed rooftop solar. By 2026, distributed solar reached an estimated 20% of Pakistan’s electricity supply. The country imported over 48 GW of solar panels by mid-2025 and is projected to save $6.3 billion in fossil fuel imports in 2026 alone. Pakistan’s power minister described it as a “people-led solar revolution.”</w:t>
      </w:r>
    </w:p>
    <w:p>
      <w:pPr>
        <w:pStyle w:val="BodyText"/>
      </w:pPr>
      <w:r>
        <w:t xml:space="preserve">The deployment model is significant: Pakistani solar technicians are largely self-taught, learning installation and maintenance through YouTube tutorials and WhatsApp groups. Hyperlocal supply chains extend into rural areas through informal merchandise networks. Chinese panels are imported through Pakistani trading houses and distributed through existing commercial infrastructure. No factory-trained commissioning engineers. No foreign specialists flying in. No Kabira Country Club — the Kampala expatriate compound where, as field contacts in Uganda describe it, Ericsson’s foreign engineers were billeted while maintaining national telecom infrastructure that no local was trained to touch. Skills are circulated within communities and created through doing, not through university engineering programs.</w:t>
      </w:r>
    </w:p>
    <w:p>
      <w:pPr>
        <w:pStyle w:val="BodyText"/>
      </w:pPr>
      <w:r>
        <w:t xml:space="preserve">This is the deployment model that the 12 Hz backbone architecture enables for grid infrastructure: local people, commodity materials, practical training, skills transferable through demonstration rather than formal education. The Pakistani solar technician who learned panel installation from YouTube is the same profile as the Ugandan electrician who can learn transformer winding in a workshop. Both draw from the same pool of motivated, mechanically capable people who exist in large numbers in every developing country. The DC backbone’s requirement for university-educated power electronics engineers is the antithesis of this model — it replicates the Ericsson-at-the-country-club dependency pattern — national infrastructure that runs only as long as the foreign specialists remain in residence — that Pakistan’s solar revolution bypassed.</w:t>
      </w:r>
    </w:p>
    <w:p>
      <w:pPr>
        <w:pStyle w:val="BodyText"/>
      </w:pPr>
      <w:r>
        <w:t xml:space="preserve">Pakistan’s solar revolution also demonstrates that the demand for electricity is not constrained by willingness to pay — it is constrained by the cost and reliability of the supply. When solar panels made self-generation affordable, adoption was explosive. The grid architecture that reaches Uganda’s 85% unelectrified population fastest and cheapest will see the same explosive adoption. A $2,000–$8,000 12 Hz transformer serving a village amortizes to $10–$40 per household. A $50,000–$150,000 SST serving the same village amortizes to $250–$750 per household — potentially a year’s discretionary income for a subsistence farmer. The cost per connection determines whether electrification reaches the poor or remains a privilege of the connected 15%.</w:t>
      </w:r>
    </w:p>
    <w:bookmarkEnd w:id="57"/>
    <w:bookmarkEnd w:id="58"/>
    <w:bookmarkStart w:id="60" w:name="the-complementary-architecture"/>
    <w:p>
      <w:pPr>
        <w:pStyle w:val="Heading2"/>
      </w:pPr>
      <w:r>
        <w:t xml:space="preserve">15. THE COMPLEMENTARY ARCHITECTURE</w:t>
      </w:r>
    </w:p>
    <w:p>
      <w:pPr>
        <w:pStyle w:val="FirstParagraph"/>
      </w:pPr>
      <w:r>
        <w:t xml:space="preserve">The analysis reveals that the two approaches are not competitors across the full system — they are optimal in different layers. The architecture that captures the best of each combines DC at the endpoints with AC in the backbone:</w:t>
      </w:r>
    </w:p>
    <w:p>
      <w:pPr>
        <w:pStyle w:val="BodyText"/>
      </w:pPr>
      <w:r>
        <w:rPr>
          <w:b/>
          <w:bCs/>
        </w:rPr>
        <w:t xml:space="preserve">Layer 1 — Generation (DC):</w:t>
      </w:r>
      <w:r>
        <w:t xml:space="preserve"> </w:t>
      </w:r>
      <w:r>
        <w:t xml:space="preserve">Solar panels ($0.15–$0.30 per watt for utility-scale modules, producing electricity at $20–$40/MWh unsubsidized) produce DC. Sodium-ion batteries ($80–$120/kWh at cell level) store DC. Semiconductor inverters at each solar farm ($0.03–$0.08 per watt for utility-scale string inverters) convert DC to 12 Hz AC for backbone injection — the only semiconductor in the power path, distributed across many sites, individually small and replaceable. A 1 MW solar installation’s inverter costs approximately $30,000–$80,000 and is replaceable in a day by a trained technician.</w:t>
      </w:r>
    </w:p>
    <w:p>
      <w:pPr>
        <w:pStyle w:val="BodyText"/>
      </w:pPr>
      <w:r>
        <w:rPr>
          <w:b/>
          <w:bCs/>
        </w:rPr>
        <w:t xml:space="preserve">Layer 2 — Backbone (12 Hz AC):</w:t>
      </w:r>
      <w:r>
        <w:t xml:space="preserve"> </w:t>
      </w:r>
      <w:r>
        <w:t xml:space="preserve">Transmission and distribution using passive mild-steel transformers at every voltage transition. Electromechanical protection using zero-crossing arc extinction. No semiconductors. Accepts power from any AC-native source (hydro, wind, biomass) without semiconductor interface. This layer is the sovereignty guarantee.</w:t>
      </w:r>
    </w:p>
    <w:p>
      <w:pPr>
        <w:pStyle w:val="BodyText"/>
      </w:pPr>
      <w:r>
        <w:rPr>
          <w:b/>
          <w:bCs/>
        </w:rPr>
        <w:t xml:space="preserve">Layer 3 — Building Distribution (approximately 275–300V DC from rectified AC, or direct 306–335V AC):</w:t>
      </w:r>
      <w:r>
        <w:t xml:space="preserve"> </w:t>
      </w:r>
      <w:r>
        <w:t xml:space="preserve">At the building entrance, an optional bridge rectifier and choke-input filter — passive commodity components (Section 11.2) — convert the line-to-neutral 12 Hz supply to approximately 275–300V DC, inside the ETSI 260–400V acceptance range for 380V DC-rated equipment. The entire 380V DC component ecosystem (data center PDUs, DC breakers, battery packs, DC appliances) operates on this bus natively. If the entrance stage fails, the building runs directly on AC; every modern switch-mode appliance handles either input through its internal rectifier.</w:t>
      </w:r>
    </w:p>
    <w:p>
      <w:pPr>
        <w:pStyle w:val="BodyText"/>
      </w:pPr>
      <w:r>
        <w:rPr>
          <w:b/>
          <w:bCs/>
        </w:rPr>
        <w:t xml:space="preserve">Layer 4 — End Use (DC):</w:t>
      </w:r>
      <w:r>
        <w:t xml:space="preserve"> </w:t>
      </w:r>
      <w:r>
        <w:t xml:space="preserve">LED lighting, computers, EV chargers, modern appliances — all natively DC. Resistive loads (heating, water heating) are frequency-agnostic. Legacy induction motors use per-appliance VFDs or are replaced on natural lifecycle.</w:t>
      </w:r>
    </w:p>
    <w:p>
      <w:pPr>
        <w:pStyle w:val="BodyText"/>
      </w:pPr>
      <w:r>
        <w:t xml:space="preserve">This layered architecture delivers the 380V DC building bus through the 12 Hz AC backbone. DC endpoint efficiency with AC backbone sovereignty. Solar generation economics with transformer resilience. Semiconductor technology at the edges where it can be upgraded as technology improves; copper and iron in the middle where it doesn’t need to be.</w:t>
      </w:r>
    </w:p>
    <w:bookmarkStart w:id="59" w:name="X1f4b196b6f2308df157d1058bc36835dc25dc01"/>
    <w:p>
      <w:pPr>
        <w:pStyle w:val="Heading3"/>
      </w:pPr>
      <w:r>
        <w:t xml:space="preserve">15.1 Integration with Existing PAYG Solar Deployments</w:t>
      </w:r>
    </w:p>
    <w:p>
      <w:pPr>
        <w:pStyle w:val="FirstParagraph"/>
      </w:pPr>
      <w:r>
        <w:t xml:space="preserve">Across sub-Saharan Africa, Pay-As-You-Go (PAYG) solar home systems are already deployed at scale by companies such as M-KOPA, d.light, BBOXX, and Greenlight Planet. The model is straightforward: a solar panel, a battery with a built-in microcontroller kill switch, DC appliances (LED lights, phone chargers, DC televisions, DC fans), and mobile-money payment integration. The customer pays daily or weekly via mobile phone; the battery activates when payment is confirmed. Default rates are below 5%. The financing companies earn returns through consumer credit, using Know Your Customer reputation checks and family bond guarantees — a model comparable to GE Capital applied to $100–$500 household energy systems.</w:t>
      </w:r>
    </w:p>
    <w:p>
      <w:pPr>
        <w:pStyle w:val="BodyText"/>
      </w:pPr>
      <w:r>
        <w:t xml:space="preserve">The PAYG model is already DC at both endpoints: the solar panel produces DC, the appliances consume DC. The battery, the kill switch, the mobile payment interface are all endpoint semiconductors — small, cheap, individually non-critical, manufacturable by dozens of fabs. This is the semiconductor-at-the-edges paradigm operating at household scale, already proven, already financed, already reaching the poor.</w:t>
      </w:r>
    </w:p>
    <w:p>
      <w:pPr>
        <w:pStyle w:val="BodyText"/>
      </w:pPr>
      <w:r>
        <w:t xml:space="preserve">What the PAYG model cannot do is move power geographically. Each PAYG system is an electrical island. When the battery is empty, the light goes off — even if a household 50 km away has surplus solar capacity. A hospital that needs 24-hour power cannot draw from the collective solar generation of its district. A grain mill that needs daytime power cannot access evening surplus stored in a thousand household batteries across the region. The PAYG systems are Layers 1 and 4 of the complementary architecture — generation and end use — already deployed and working. What is missing is Layer 2: the backbone that connects these islands into a network.</w:t>
      </w:r>
    </w:p>
    <w:p>
      <w:pPr>
        <w:pStyle w:val="BodyText"/>
      </w:pPr>
      <w:r>
        <w:t xml:space="preserve">The 12 Hz AC backbone provides the missing layer. It connects PAYG solar islands through passive transformers and commodity conductors, enabling geographic load redistribution: excess generation in sunny regions flows to cloudy regions; daytime surplus in the west serves evening demand in the east; the hospital draws from the collective capacity of the district rather than depending on its own battery. Each PAYG household keeps its solar panel, its battery, its DC appliances, its mobile payment system. The backbone adds the ability to share power across distances — the function that turns thousands of isolated systems into a grid.</w:t>
      </w:r>
    </w:p>
    <w:p>
      <w:pPr>
        <w:pStyle w:val="BodyText"/>
      </w:pPr>
      <w:r>
        <w:t xml:space="preserve">The all-DC architecture also provides a backbone connecting these islands — using SSTs and DC-DC converters at each voltage transition instead of passive transformers. Both backbones perform the same function: geographic load redistribution, voltage conversion, and fault protection across distances. The differences are in what the backbone is made of, what it costs, and who can maintain it. The 12 Hz backbone is copper, mild steel, and oil — locally sourceable, locally repairable, 99–99.5% efficient per stage. The DC backbone is silicon carbide, gallium nitride, and ferrite — internationally sourced, requiring factory-trained engineers, 95–98% efficient per stage. Both connect the PAYG islands. One preserves the sovereignty of the endpoints. The other extends the dependency into the connections between them.</w:t>
      </w:r>
    </w:p>
    <w:bookmarkEnd w:id="59"/>
    <w:bookmarkEnd w:id="60"/>
    <w:bookmarkStart w:id="64" w:name="transition-cost-and-complexity"/>
    <w:p>
      <w:pPr>
        <w:pStyle w:val="Heading2"/>
      </w:pPr>
      <w:r>
        <w:t xml:space="preserve">16. TRANSITION COST AND COMPLEXITY</w:t>
      </w:r>
    </w:p>
    <w:p>
      <w:pPr>
        <w:pStyle w:val="FirstParagraph"/>
      </w:pPr>
      <w:r>
        <w:t xml:space="preserve">Most developing nations targeted for grid expansion have some existing 50 Hz infrastructure, even if limited. The transition path from existing 50 Hz systems to each new architecture differs substantially in cost, complexity, and disruption.</w:t>
      </w:r>
    </w:p>
    <w:bookmarkStart w:id="61" w:name="transition-to-12-hz-ac"/>
    <w:p>
      <w:pPr>
        <w:pStyle w:val="Heading3"/>
      </w:pPr>
      <w:r>
        <w:t xml:space="preserve">16.1 Transition to 12 Hz AC</w:t>
      </w:r>
    </w:p>
    <w:p>
      <w:pPr>
        <w:pStyle w:val="FirstParagraph"/>
      </w:pPr>
      <w:r>
        <w:t xml:space="preserve">A 12 Hz grid cannot directly interconnect with existing 50 Hz infrastructure — the frequencies are incompatible. Transition options:</w:t>
      </w:r>
    </w:p>
    <w:p>
      <w:pPr>
        <w:pStyle w:val="BodyText"/>
      </w:pPr>
      <w:r>
        <w:rPr>
          <w:b/>
          <w:bCs/>
        </w:rPr>
        <w:t xml:space="preserve">New-build deployment (preferred):</w:t>
      </w:r>
      <w:r>
        <w:t xml:space="preserve"> </w:t>
      </w:r>
      <w:r>
        <w:t xml:space="preserve">For unelectrified regions, the 12 Hz grid is built as a parallel system with no legacy compatibility requirement. All equipment is specified for 12 Hz from the start. No transition cost. This is the primary deployment scenario for sub-Saharan Africa, where rural electrification rates are often below 20%.</w:t>
      </w:r>
    </w:p>
    <w:p>
      <w:pPr>
        <w:pStyle w:val="BodyText"/>
      </w:pPr>
      <w:r>
        <w:rPr>
          <w:b/>
          <w:bCs/>
        </w:rPr>
        <w:t xml:space="preserve">Island operation alongside existing 50 Hz:</w:t>
      </w:r>
      <w:r>
        <w:t xml:space="preserve"> </w:t>
      </w:r>
      <w:r>
        <w:t xml:space="preserve">In countries with partial 50 Hz electrification, the 12 Hz grid operates as an independent system serving new areas. The two grids do not interconnect directly. Power can be transferred between them through back-to-back frequency converters ($50,000–$500,000 depending on capacity) at a small number of interconnection points — the same technology used today at the borders between 50 Hz and 60 Hz countries. This adds cost at the interconnection points but does not affect either grid’s internal operation.</w:t>
      </w:r>
    </w:p>
    <w:p>
      <w:pPr>
        <w:pStyle w:val="BodyText"/>
      </w:pPr>
      <w:r>
        <w:rPr>
          <w:b/>
          <w:bCs/>
        </w:rPr>
        <w:t xml:space="preserve">Full replacement of existing 50 Hz grid:</w:t>
      </w:r>
      <w:r>
        <w:t xml:space="preserve"> </w:t>
      </w:r>
      <w:r>
        <w:t xml:space="preserve">Showstopper. Every transformer, every generator, every motor in the existing system would need replacement. Only justified if the existing 50 Hz infrastructure is already destroyed (war, disaster) or so deteriorated as to be functionally useless. The Iran reconstruction scenario falls into this category.</w:t>
      </w:r>
    </w:p>
    <w:bookmarkEnd w:id="61"/>
    <w:bookmarkStart w:id="62" w:name="transition-to-all-dc"/>
    <w:p>
      <w:pPr>
        <w:pStyle w:val="Heading3"/>
      </w:pPr>
      <w:r>
        <w:t xml:space="preserve">16.2 Transition to All-DC</w:t>
      </w:r>
    </w:p>
    <w:p>
      <w:pPr>
        <w:pStyle w:val="FirstParagraph"/>
      </w:pPr>
      <w:r>
        <w:t xml:space="preserve">A DC grid also cannot directly interconnect with existing 50 Hz infrastructure without semiconductor conversion at every interface point.</w:t>
      </w:r>
    </w:p>
    <w:p>
      <w:pPr>
        <w:pStyle w:val="BodyText"/>
      </w:pPr>
      <w:r>
        <w:rPr>
          <w:b/>
          <w:bCs/>
        </w:rPr>
        <w:t xml:space="preserve">New-build deployment:</w:t>
      </w:r>
      <w:r>
        <w:t xml:space="preserve"> </w:t>
      </w:r>
      <w:r>
        <w:t xml:space="preserve">For unelectrified regions, the DC grid is built from scratch. All equipment is specified for DC. Same scenario as 12 Hz — no legacy compatibility issue. However, the procurement and commissioning timeline (5–10 years vs. 6 months for 12 Hz) means the transition takes far longer to complete.</w:t>
      </w:r>
    </w:p>
    <w:p>
      <w:pPr>
        <w:pStyle w:val="BodyText"/>
      </w:pPr>
      <w:r>
        <w:rPr>
          <w:b/>
          <w:bCs/>
        </w:rPr>
        <w:t xml:space="preserve">Integration with existing 50 Hz:</w:t>
      </w:r>
      <w:r>
        <w:t xml:space="preserve"> </w:t>
      </w:r>
      <w:r>
        <w:t xml:space="preserve">Every interface between the DC grid and existing 50 Hz infrastructure requires a rectifier/inverter station ($100,000–$5,000,000+ depending on capacity). These are the same HVDC converter stations that exist today and are well-proven technology. However, each interface point adds semiconductor dependency, active cooling requirements, and maintenance complexity. A national grid with dozens of 50 Hz/DC interface points creates dozens of semiconductor-dependent chokepoints.</w:t>
      </w:r>
    </w:p>
    <w:p>
      <w:pPr>
        <w:pStyle w:val="BodyText"/>
      </w:pPr>
      <w:r>
        <w:rPr>
          <w:b/>
          <w:bCs/>
        </w:rPr>
        <w:t xml:space="preserve">Full replacement of existing 50 Hz grid:</w:t>
      </w:r>
      <w:r>
        <w:t xml:space="preserve"> </w:t>
      </w:r>
      <w:r>
        <w:t xml:space="preserve">Same showstopper as 12 Hz — total replacement of all existing infrastructure. Additionally, all existing AC loads (motors, appliances, lighting) must be replaced or fitted with rectifiers.</w:t>
      </w:r>
    </w:p>
    <w:bookmarkEnd w:id="62"/>
    <w:bookmarkStart w:id="63" w:name="transition-cost-comparison"/>
    <w:p>
      <w:pPr>
        <w:pStyle w:val="Heading3"/>
      </w:pPr>
      <w:r>
        <w:t xml:space="preserve">16.3 Transition Cost Comparison</w:t>
      </w:r>
    </w:p>
    <w:tbl>
      <w:tblPr>
        <w:tblStyle w:val="Table"/>
        <w:tblW w:type="pct" w:w="5000"/>
        <w:tblLayout w:type="fixed"/>
        <w:tblLook w:firstRow="1" w:lastRow="0" w:firstColumn="0" w:lastColumn="0" w:noHBand="0" w:noVBand="0" w:val="0020"/>
      </w:tblPr>
      <w:tblGrid>
        <w:gridCol w:w="1020"/>
        <w:gridCol w:w="3600"/>
        <w:gridCol w:w="3300"/>
      </w:tblGrid>
      <w:tr>
        <w:trPr>
          <w:tblHeader w:val="on"/>
        </w:trPr>
        <w:tc>
          <w:tcPr/>
          <w:p>
            <w:pPr>
              <w:pStyle w:val="Compact"/>
              <w:jc w:val="left"/>
            </w:pPr>
            <w:r>
              <w:t xml:space="preserve">Scenario</w:t>
            </w:r>
          </w:p>
        </w:tc>
        <w:tc>
          <w:tcPr/>
          <w:p>
            <w:pPr>
              <w:pStyle w:val="Compact"/>
              <w:jc w:val="left"/>
            </w:pPr>
            <w:r>
              <w:t xml:space="preserve">12 Hz AC</w:t>
            </w:r>
          </w:p>
        </w:tc>
        <w:tc>
          <w:tcPr/>
          <w:p>
            <w:pPr>
              <w:pStyle w:val="Compact"/>
              <w:jc w:val="left"/>
            </w:pPr>
            <w:r>
              <w:t xml:space="preserve">All-DC</w:t>
            </w:r>
          </w:p>
        </w:tc>
      </w:tr>
      <w:tr>
        <w:tc>
          <w:tcPr/>
          <w:p>
            <w:pPr>
              <w:pStyle w:val="Compact"/>
              <w:jc w:val="left"/>
            </w:pPr>
            <w:r>
              <w:t xml:space="preserve">New-build (unelectrified region)</w:t>
            </w:r>
          </w:p>
        </w:tc>
        <w:tc>
          <w:tcPr/>
          <w:p>
            <w:pPr>
              <w:pStyle w:val="Compact"/>
              <w:jc w:val="left"/>
            </w:pPr>
            <w:r>
              <w:t xml:space="preserve">No transition cost. Equipment specified for 12 Hz. Deployment: ~6 months for 10,000 points.</w:t>
            </w:r>
          </w:p>
        </w:tc>
        <w:tc>
          <w:tcPr/>
          <w:p>
            <w:pPr>
              <w:pStyle w:val="Compact"/>
              <w:jc w:val="left"/>
            </w:pPr>
            <w:r>
              <w:t xml:space="preserve">No transition cost. Equipment specified for DC. Deployment: 5–10 years for 10,000 points.</w:t>
            </w:r>
          </w:p>
        </w:tc>
      </w:tr>
      <w:tr>
        <w:tc>
          <w:tcPr/>
          <w:p>
            <w:pPr>
              <w:pStyle w:val="Compact"/>
              <w:jc w:val="left"/>
            </w:pPr>
            <w:r>
              <w:t xml:space="preserve">Parallel with existing 50 Hz</w:t>
            </w:r>
          </w:p>
        </w:tc>
        <w:tc>
          <w:tcPr/>
          <w:p>
            <w:pPr>
              <w:pStyle w:val="Compact"/>
              <w:jc w:val="left"/>
            </w:pPr>
            <w:r>
              <w:t xml:space="preserve">Back-to-back frequency converters at interconnection points. $50K–$500K per point. Small number of points needed.</w:t>
            </w:r>
          </w:p>
        </w:tc>
        <w:tc>
          <w:tcPr/>
          <w:p>
            <w:pPr>
              <w:pStyle w:val="Compact"/>
              <w:jc w:val="left"/>
            </w:pPr>
            <w:r>
              <w:t xml:space="preserve">Rectifier/inverter stations at every interface. $100K–$5M+ per point. Semiconductor-dependent chokepoints.</w:t>
            </w:r>
          </w:p>
        </w:tc>
      </w:tr>
      <w:tr>
        <w:tc>
          <w:tcPr/>
          <w:p>
            <w:pPr>
              <w:pStyle w:val="Compact"/>
              <w:jc w:val="left"/>
            </w:pPr>
            <w:r>
              <w:t xml:space="preserve">Full replacement of 50 Hz</w:t>
            </w:r>
          </w:p>
        </w:tc>
        <w:tc>
          <w:tcPr/>
          <w:p>
            <w:pPr>
              <w:pStyle w:val="Compact"/>
              <w:jc w:val="left"/>
            </w:pPr>
            <w:r>
              <w:t xml:space="preserve">Showstopper unless existing grid is destroyed or non-functional. Total replacement of all transformers and generators.</w:t>
            </w:r>
          </w:p>
        </w:tc>
        <w:tc>
          <w:tcPr/>
          <w:p>
            <w:pPr>
              <w:pStyle w:val="Compact"/>
              <w:jc w:val="left"/>
            </w:pPr>
            <w:r>
              <w:t xml:space="preserve">Same showstopper. Total replacement plus all AC loads need rectifiers or replacement.</w:t>
            </w:r>
          </w:p>
        </w:tc>
      </w:tr>
      <w:tr>
        <w:tc>
          <w:tcPr/>
          <w:p>
            <w:pPr>
              <w:pStyle w:val="Compact"/>
              <w:jc w:val="left"/>
            </w:pPr>
            <w:r>
              <w:t xml:space="preserve">Post-conflict reconstruction</w:t>
            </w:r>
          </w:p>
        </w:tc>
        <w:tc>
          <w:tcPr/>
          <w:p>
            <w:pPr>
              <w:pStyle w:val="Compact"/>
              <w:jc w:val="left"/>
            </w:pPr>
            <w:r>
              <w:t xml:space="preserve">Ideal scenario: destroyed grid removed, 12 Hz built from scratch on commodity materials. Iran scenario.</w:t>
            </w:r>
          </w:p>
        </w:tc>
        <w:tc>
          <w:tcPr/>
          <w:p>
            <w:pPr>
              <w:pStyle w:val="Compact"/>
              <w:jc w:val="left"/>
            </w:pPr>
            <w:r>
              <w:t xml:space="preserve">Possible but slow: destroyed grid removed, DC built from imported semiconductor components over 5–10 years.</w:t>
            </w:r>
          </w:p>
        </w:tc>
      </w:tr>
    </w:tbl>
    <w:bookmarkEnd w:id="63"/>
    <w:bookmarkEnd w:id="64"/>
    <w:bookmarkStart w:id="68" w:name="showstopper-analysis"/>
    <w:p>
      <w:pPr>
        <w:pStyle w:val="Heading2"/>
      </w:pPr>
      <w:r>
        <w:t xml:space="preserve">17. SHOWSTOPPER ANALYSIS</w:t>
      </w:r>
    </w:p>
    <w:p>
      <w:pPr>
        <w:pStyle w:val="FirstParagraph"/>
      </w:pPr>
      <w:r>
        <w:t xml:space="preserve">A showstopper is a condition that prevents deployment or operation regardless of budget, schedule, or engineering effort. The distinction matters: engineering challenges are solvable with time and money; physics constraints impose permanent operating limits; structural dependencies persist throughout operational life.</w:t>
      </w:r>
    </w:p>
    <w:bookmarkStart w:id="65" w:name="the-16.7-hz-precedent"/>
    <w:p>
      <w:pPr>
        <w:pStyle w:val="Heading3"/>
      </w:pPr>
      <w:r>
        <w:t xml:space="preserve">17.1 The 16.7 Hz Precedent</w:t>
      </w:r>
    </w:p>
    <w:p>
      <w:pPr>
        <w:pStyle w:val="FirstParagraph"/>
      </w:pPr>
      <w:r>
        <w:t xml:space="preserve">The European 16.7 Hz (originally 16⅔ Hz) single-phase rail traction network has been operating continuously since 1912 across Germany, Austria, Switzerland, Sweden, and Norway. This network operates dedicated 16.7 Hz power stations, 16.7 Hz transmission lines at 110–132 kV, 16.7 Hz transformers at every substation, and 16.7 Hz protection systems — over 110 years of operational history at a frequency closely related to 12 Hz. The frequency ratio is 1.39, requiring approximately 39% more core material per transformer for the same power rating. This is a sizing change, not a technology change. The physics, the materials, the manufacturing processes, the protection principles, and the operational practices proven at 16.7 Hz apply directly at 12 Hz. Siemens, ABB, and other major suppliers manufacture 16.7 Hz components, providing a starting point for 12 Hz equipment design and potentially direct adaptation.</w:t>
      </w:r>
    </w:p>
    <w:bookmarkEnd w:id="65"/>
    <w:bookmarkStart w:id="66" w:name="showstopper-comparison"/>
    <w:p>
      <w:pPr>
        <w:pStyle w:val="Heading3"/>
      </w:pPr>
      <w:r>
        <w:t xml:space="preserve">17.2 Showstopper Comparison</w:t>
      </w:r>
    </w:p>
    <w:tbl>
      <w:tblPr>
        <w:tblStyle w:val="Table"/>
        <w:tblW w:type="pct" w:w="5000"/>
        <w:tblLayout w:type="fixed"/>
        <w:tblLook w:firstRow="1" w:lastRow="0" w:firstColumn="0" w:lastColumn="0" w:noHBand="0" w:noVBand="0" w:val="0020"/>
      </w:tblPr>
      <w:tblGrid>
        <w:gridCol w:w="286"/>
        <w:gridCol w:w="2565"/>
        <w:gridCol w:w="5067"/>
      </w:tblGrid>
      <w:tr>
        <w:trPr>
          <w:tblHeader w:val="on"/>
        </w:trPr>
        <w:tc>
          <w:tcPr/>
          <w:p>
            <w:pPr>
              <w:pStyle w:val="Compact"/>
            </w:pPr>
            <w:r>
              <w:rPr>
                <w:b/>
                <w:bCs/>
              </w:rPr>
              <w:t xml:space="preserve">Category</w:t>
            </w:r>
          </w:p>
        </w:tc>
        <w:tc>
          <w:tcPr/>
          <w:p>
            <w:pPr>
              <w:pStyle w:val="Compact"/>
            </w:pPr>
            <w:r>
              <w:rPr>
                <w:b/>
                <w:bCs/>
              </w:rPr>
              <w:t xml:space="preserve">12 Hz AC</w:t>
            </w:r>
          </w:p>
        </w:tc>
        <w:tc>
          <w:tcPr/>
          <w:p>
            <w:pPr>
              <w:pStyle w:val="Compact"/>
            </w:pPr>
            <w:r>
              <w:rPr>
                <w:b/>
                <w:bCs/>
              </w:rPr>
              <w:t xml:space="preserve">All-DC</w:t>
            </w:r>
          </w:p>
        </w:tc>
      </w:tr>
      <w:tr>
        <w:tc>
          <w:tcPr/>
          <w:p>
            <w:pPr>
              <w:pStyle w:val="Compact"/>
            </w:pPr>
            <w:r>
              <w:t xml:space="preserve">Technology Maturity</w:t>
            </w:r>
          </w:p>
        </w:tc>
        <w:tc>
          <w:tcPr/>
          <w:p>
            <w:pPr>
              <w:pStyle w:val="Compact"/>
            </w:pPr>
            <w:r>
              <w:t xml:space="preserve">Manageable: No 12 Hz grid exists, but the closely related 16.7 Hz European rail network has operated since 1912. Over 110 years of operational history at a frequency within 39% of the target. The step from 16.7 Hz to 12 Hz is a core sizing change, not a new technology. A pilot installation would confirm system-level integration, but no fundamental unknowns exist.</w:t>
            </w:r>
          </w:p>
        </w:tc>
        <w:tc>
          <w:tcPr/>
          <w:p>
            <w:pPr>
              <w:pStyle w:val="Compact"/>
            </w:pPr>
            <w:r>
              <w:t xml:space="preserve">Partially proven: HVDC point-to-point links are mature. Multi-terminal DC grids and meshed DC networks remain largely experimental. No multi-terminal DC grid at national scale has been built.</w:t>
            </w:r>
          </w:p>
        </w:tc>
      </w:tr>
      <w:tr>
        <w:tc>
          <w:tcPr/>
          <w:p>
            <w:pPr>
              <w:pStyle w:val="Compact"/>
            </w:pPr>
            <w:r>
              <w:t xml:space="preserve">Equipment Availability</w:t>
            </w:r>
          </w:p>
        </w:tc>
        <w:tc>
          <w:tcPr/>
          <w:p>
            <w:pPr>
              <w:pStyle w:val="Compact"/>
            </w:pPr>
            <w:r>
              <w:t xml:space="preserve">Manageable: 16.7 Hz transformers, generators, and switchgear are manufactured by Siemens, ABB, and others for the European rail network. Custom specification is required for 12 Hz but within established practice — no new materials, processes, or physics. First-article lead time: 6–12 months.</w:t>
            </w:r>
          </w:p>
        </w:tc>
        <w:tc>
          <w:tcPr/>
          <w:p>
            <w:pPr>
              <w:pStyle w:val="Compact"/>
            </w:pPr>
            <w:r>
              <w:t xml:space="preserve">Limited: SSTs at grid scale (100+ MW) are not commercially available. SSCBs at transmission voltage (115–765 kV) are prototype-stage. 380V DC building components exist but are niche.</w:t>
            </w:r>
          </w:p>
        </w:tc>
      </w:tr>
      <w:tr>
        <w:tc>
          <w:tcPr/>
          <w:p>
            <w:pPr>
              <w:pStyle w:val="Compact"/>
            </w:pPr>
            <w:r>
              <w:t xml:space="preserve">DC Fault Protection</w:t>
            </w:r>
          </w:p>
        </w:tc>
        <w:tc>
          <w:tcPr/>
          <w:p>
            <w:pPr>
              <w:pStyle w:val="Compact"/>
            </w:pPr>
            <w:r>
              <w:t xml:space="preserve">Not applicable: AC zero-crossing provides natural arc extinction every 41.7 ms at 12 Hz. Proven electromechanical breaker technology.</w:t>
            </w:r>
          </w:p>
        </w:tc>
        <w:tc>
          <w:tcPr/>
          <w:p>
            <w:pPr>
              <w:pStyle w:val="Compact"/>
            </w:pPr>
            <w:r>
              <w:t xml:space="preserve">Significant cost and complexity disadvantage, not a showstopper. DC breakers exist and function. However, they require semiconductor switches (IGBTs) or artificial oscillatory circuits to force arc extinction because DC has no zero crossing. At transmission voltage (115–765 kV), hybrid breakers cost 5–10x more than AC equivalents and place semiconductors in the fault protection path — adding supply chain dependency to the most safety-critical function. DC breakers are proven in HVDC point-to-point applications but remain expensive and semiconductor-dependent.</w:t>
            </w:r>
          </w:p>
        </w:tc>
      </w:tr>
      <w:tr>
        <w:tc>
          <w:tcPr/>
          <w:p>
            <w:pPr>
              <w:pStyle w:val="Compact"/>
            </w:pPr>
            <w:r>
              <w:t xml:space="preserve">Thermomechanical Fatigue (PHYSICS)</w:t>
            </w:r>
          </w:p>
        </w:tc>
        <w:tc>
          <w:tcPr/>
          <w:p>
            <w:pPr>
              <w:pStyle w:val="Compact"/>
            </w:pPr>
            <w:r>
              <w:t xml:space="preserve">Not applicable: Transformers have no semiconductor packaging. Primary aging mechanism (cellulose insulation degradation) is slow and monitorable over 40–60 year lifespans.</w:t>
            </w:r>
          </w:p>
        </w:tc>
        <w:tc>
          <w:tcPr/>
          <w:p>
            <w:pPr>
              <w:pStyle w:val="Compact"/>
            </w:pPr>
            <w:r>
              <w:t xml:space="preserve">PHYSICS CONSTRAINT: Power semiconductor failure is dominated by thermomechanical fatigue — solder joint cracking, bond wire lift-off, substrate delamination — caused by differential thermal expansion. Silicon, copper, solder, and ceramic have different coefficients of thermal expansion. Every thermal cycle accumulates irreversible fatigue damage. In equatorial deployment with daily thermal cycling between 45°C daytime load and 20°C nighttime idle, fatigue life is a fraction of laboratory specifications. This can be managed (better packaging, overrating, controlled environments) but not eliminated. It imposes a permanent maintenance cycle of semiconductor module replacement every 10–20 years at every backbone node.</w:t>
            </w:r>
          </w:p>
        </w:tc>
      </w:tr>
      <w:tr>
        <w:tc>
          <w:tcPr/>
          <w:p>
            <w:pPr>
              <w:pStyle w:val="Compact"/>
            </w:pPr>
            <w:r>
              <w:t xml:space="preserve">Thermal Management (PHYSICS)</w:t>
            </w:r>
          </w:p>
        </w:tc>
        <w:tc>
          <w:tcPr/>
          <w:p>
            <w:pPr>
              <w:pStyle w:val="Compact"/>
            </w:pPr>
            <w:r>
              <w:t xml:space="preserve">Not a concern: Oil-cooled transformers reject waste heat passively. No active cooling components.</w:t>
            </w:r>
          </w:p>
        </w:tc>
        <w:tc>
          <w:tcPr/>
          <w:p>
            <w:pPr>
              <w:pStyle w:val="Compact"/>
            </w:pPr>
            <w:r>
              <w:t xml:space="preserve">PHYSICS CONSTRAINT: SSTs dissipate 2–5% of throughput as waste heat. In equatorial climates (35–45°C ambient), semiconductor junctions at 65–80°C have 20–35°C of headroom. Active cooling is mandatory, consuming parasitic power and introducing mechanical failure modes (fans $50–$200 each, 3–7 year lifespan). Dust accumulation reduces cooling effectiveness. The Second Law requires energy expenditure for every watt removed. These constraints are permanent — they define the operating envelope.</w:t>
            </w:r>
          </w:p>
        </w:tc>
      </w:tr>
      <w:tr>
        <w:tc>
          <w:tcPr/>
          <w:p>
            <w:pPr>
              <w:pStyle w:val="Compact"/>
            </w:pPr>
            <w:r>
              <w:t xml:space="preserve">Semiconductor Supply Chain (STRUCTURAL)</w:t>
            </w:r>
          </w:p>
        </w:tc>
        <w:tc>
          <w:tcPr/>
          <w:p>
            <w:pPr>
              <w:pStyle w:val="Compact"/>
            </w:pPr>
            <w:r>
              <w:t xml:space="preserve">Not a showstopper: Semiconductors at the edges only. Supply chain disruption degrades endpoints; backbone continues.</w:t>
            </w:r>
          </w:p>
        </w:tc>
        <w:tc>
          <w:tcPr/>
          <w:p>
            <w:pPr>
              <w:pStyle w:val="Compact"/>
            </w:pPr>
            <w:r>
              <w:t xml:space="preserve">STRUCTURAL SHOWSTOPPER: Total semiconductor dependency at every backbone node. Manufactured by 5–8 companies worldwide. No country in sub-Saharan Africa manufactures power semiconductors. No realistic path to local manufacturing (requires billions in capital, cleanroom fabs, specialty gases, trained process engineers). Failed SSTs and SSCBs cannot be fabricated from locally available materials. This dependency is permanent and irreducible.</w:t>
            </w:r>
          </w:p>
        </w:tc>
      </w:tr>
      <w:tr>
        <w:tc>
          <w:tcPr/>
          <w:p>
            <w:pPr>
              <w:pStyle w:val="Compact"/>
            </w:pPr>
            <w:r>
              <w:t xml:space="preserve">Workforce (STRUCTURAL)</w:t>
            </w:r>
          </w:p>
        </w:tc>
        <w:tc>
          <w:tcPr/>
          <w:p>
            <w:pPr>
              <w:pStyle w:val="Compact"/>
            </w:pPr>
            <w:r>
              <w:t xml:space="preserve">Manageable: Trade-skilled labor pool. Transformer winding: 3–6 months training. Installation: 2 weeks. Electrician-to-engineer ratio: ~500:1.</w:t>
            </w:r>
          </w:p>
        </w:tc>
        <w:tc>
          <w:tcPr/>
          <w:p>
            <w:pPr>
              <w:pStyle w:val="Compact"/>
            </w:pPr>
            <w:r>
              <w:t xml:space="preserve">STRUCTURAL SHOWSTOPPER: Requires university-educated power electronics engineers (6+ years). Extremely scarce in sub-Saharan Africa. High emigration rates. Cannot be solved on any timeline shorter than a decade.</w:t>
            </w:r>
          </w:p>
        </w:tc>
      </w:tr>
      <w:tr>
        <w:tc>
          <w:tcPr/>
          <w:p>
            <w:pPr>
              <w:pStyle w:val="Compact"/>
            </w:pPr>
            <w:r>
              <w:t xml:space="preserve">Deployment Speed (STRUCTURAL)</w:t>
            </w:r>
          </w:p>
        </w:tc>
        <w:tc>
          <w:tcPr/>
          <w:p>
            <w:pPr>
              <w:pStyle w:val="Compact"/>
            </w:pPr>
            <w:r>
              <w:t xml:space="preserve">Moderate risk: First-article design adds 6–12 months. Then 200 crews install 10,000 points in 6 months. Scales linearly with crews.</w:t>
            </w:r>
          </w:p>
        </w:tc>
        <w:tc>
          <w:tcPr/>
          <w:p>
            <w:pPr>
              <w:pStyle w:val="Compact"/>
            </w:pPr>
            <w:r>
              <w:t xml:space="preserve">STRUCTURAL SHOWSTOPPER: 5–10 years national deployment. Bottleneck is engineer availability, not budget. 50 engineers × 10,000 stations × 1–2 weeks = 4–8 years for commissioning alone. Cannot be compressed by spending more money.</w:t>
            </w:r>
          </w:p>
        </w:tc>
      </w:tr>
      <w:tr>
        <w:tc>
          <w:tcPr/>
          <w:p>
            <w:pPr>
              <w:pStyle w:val="Compact"/>
            </w:pPr>
            <w:r>
              <w:t xml:space="preserve">Transformer Weight</w:t>
            </w:r>
          </w:p>
        </w:tc>
        <w:tc>
          <w:tcPr/>
          <w:p>
            <w:pPr>
              <w:pStyle w:val="Compact"/>
            </w:pPr>
            <w:r>
              <w:t xml:space="preserve">Significant disadvantage: 12 Hz mild steel transformers are 3–5x the weight of 50 Hz GOES equivalents. Manageable at distribution class (donkey-portable in pieces). Challenging at transmission class (50–200+ tonnes). Increases transport and civil works cost but does not prevent deployment.</w:t>
            </w:r>
          </w:p>
        </w:tc>
        <w:tc>
          <w:tcPr/>
          <w:p>
            <w:pPr>
              <w:pStyle w:val="Compact"/>
            </w:pPr>
            <w:r>
              <w:t xml:space="preserve">SSTs are compact at low power. At grid scale, comparable footprint to transformer substations plus climate-controlled enclosures.</w:t>
            </w:r>
          </w:p>
        </w:tc>
      </w:tr>
      <w:tr>
        <w:tc>
          <w:tcPr/>
          <w:p>
            <w:pPr>
              <w:pStyle w:val="Compact"/>
            </w:pPr>
            <w:r>
              <w:t xml:space="preserve">Legacy Motor Compatibility</w:t>
            </w:r>
          </w:p>
        </w:tc>
        <w:tc>
          <w:tcPr/>
          <w:p>
            <w:pPr>
              <w:pStyle w:val="Compact"/>
            </w:pPr>
            <w:r>
              <w:t xml:space="preserve">Showstopper for retrofit only: 50/60 Hz induction motors are unusable at 12 Hz without VFDs. Irrelevant for new-build in unelectrified regions.</w:t>
            </w:r>
          </w:p>
        </w:tc>
        <w:tc>
          <w:tcPr/>
          <w:p>
            <w:pPr>
              <w:pStyle w:val="Compact"/>
            </w:pPr>
            <w:r>
              <w:t xml:space="preserve">Moderate: Existing AC appliances require rectifiers or replacement. Typically proposed for new-build only.</w:t>
            </w:r>
          </w:p>
        </w:tc>
      </w:tr>
    </w:tbl>
    <w:bookmarkEnd w:id="66"/>
    <w:bookmarkStart w:id="67" w:name="assessment-summary"/>
    <w:p>
      <w:pPr>
        <w:pStyle w:val="Heading3"/>
      </w:pPr>
      <w:r>
        <w:t xml:space="preserve">17.3 Assessment Summary</w:t>
      </w:r>
    </w:p>
    <w:p>
      <w:pPr>
        <w:pStyle w:val="FirstParagraph"/>
      </w:pPr>
      <w:r>
        <w:t xml:space="preserve">The 12 Hz AC architecture has no physics showstoppers and no structural showstoppers. Its constraints are engineering challenges (first-article design, adaptation from the 16.7 Hz precedent) and a physical trade-off (transformer weight). The 16.7 Hz European rail network provides over a century of operational proof that sub-50 Hz AC power systems work at industrial scale. Legacy motor incompatibility is a showstopper for retrofit but irrelevant for new-build deployment.</w:t>
      </w:r>
    </w:p>
    <w:p>
      <w:pPr>
        <w:pStyle w:val="BodyText"/>
      </w:pPr>
      <w:r>
        <w:t xml:space="preserve">The all-DC architecture has two physics constraints and three structural showstoppers. The physics constraints — thermomechanical fatigue in semiconductor packaging and thermal management in equatorial climates — are properties of the materials that impose permanent maintenance cycles and operating limits. They are manageable with engineering effort and budget, but they never go away. DC fault protection is a cost and complexity disadvantage rather than a showstopper — DC breakers exist and work, but they cost 5–10x more than AC equivalents and add semiconductor dependency to the protection system. The structural showstoppers — semiconductor supply chain dependency, workforce scarcity, and decade-scale deployment timelines — are consequences of the semiconductor-dependent architecture: because the backbone requires semiconductors, it requires the supply chain that makes them and the engineers who install them.</w:t>
      </w:r>
    </w:p>
    <w:p>
      <w:pPr>
        <w:pStyle w:val="BodyText"/>
      </w:pPr>
      <w:r>
        <w:t xml:space="preserve">The physics constraints deserve attention because they impose permanent costs. Thermomechanical fatigue requires semiconductor module replacement every 10–20 years at every backbone node — a perpetual maintenance cycle that never ends and always requires international procurement. Thermal management requires active cooling that consumes power and adds failure modes. These are not problems waiting for solutions. They are operating costs built into the technology choice.</w:t>
      </w:r>
    </w:p>
    <w:bookmarkEnd w:id="67"/>
    <w:bookmarkEnd w:id="68"/>
    <w:bookmarkStart w:id="69" w:name="the-sovereignty-question"/>
    <w:p>
      <w:pPr>
        <w:pStyle w:val="Heading2"/>
      </w:pPr>
      <w:r>
        <w:t xml:space="preserve">18. THE SOVEREIGNTY QUESTION</w:t>
      </w:r>
    </w:p>
    <w:p>
      <w:pPr>
        <w:pStyle w:val="FirstParagraph"/>
      </w:pPr>
      <w:r>
        <w:t xml:space="preserve">The choice between backbone architectures is not fundamentally a technical question about efficiency. The efficiency differences, while real, are secondary to the strategic question: who controls the grid?</w:t>
      </w:r>
    </w:p>
    <w:p>
      <w:pPr>
        <w:pStyle w:val="BodyText"/>
      </w:pPr>
      <w:r>
        <w:t xml:space="preserve">An all-DC grid places semiconductor devices at every voltage transition and fault protection point in the country. Every device can only be manufactured in a semiconductor fab — a capital-intensive installation requiring cleanroom infrastructure, specialty gases, and trained process engineers that very few countries possess. The dependency operates through multiple channels: initial procurement, maintenance and replacement modules, technology standards lock-in, and conditional access. These are the same channels through which fossil fuel suppliers exercised leverage for a century.</w:t>
      </w:r>
    </w:p>
    <w:p>
      <w:pPr>
        <w:pStyle w:val="BodyText"/>
      </w:pPr>
      <w:r>
        <w:t xml:space="preserve">The 12 Hz AC backbone eliminates this dependency for the most critical grid layer. Every backbone component can be manufactured from commodity materials available in every country on Earth, using industrial processes transferable to any nation with basic manufacturing capacity. Semiconductors are used at the endpoints — distributed, individually inexpensive, individually non-critical, and replaceable without systemic risk.</w:t>
      </w:r>
    </w:p>
    <w:p>
      <w:pPr>
        <w:pStyle w:val="BodyText"/>
      </w:pPr>
      <w:r>
        <w:t xml:space="preserve">The question for any developing nation is: do you want a grid whose backbone you can build, maintain, repair, and expand using materials and skills available within your own borders? Or do you want a grid whose backbone can only function with ongoing imports of specialty devices from nations whose continued willingness to supply them is beyond your control?</w:t>
      </w:r>
    </w:p>
    <w:p>
      <w:pPr>
        <w:pStyle w:val="BodyText"/>
      </w:pPr>
      <w:r>
        <w:t xml:space="preserve">The argument that “the semiconductor supply chain will never go offline” is the argument of someone who lives in a country that manufactures semiconductors, or that has guaranteed access through alliance structures. That argument looks different from Lusaka when Kariba is dry and the SST replacement module is on backorder because a data center in Virginia got priority allocation. It looks different from Kampala when the SST at the road junction has failed and the replacement is 12 months out from Shenzhen. It looks different from Tehran when the entity list expands and Infineon stops shipping.</w:t>
      </w:r>
    </w:p>
    <w:p>
      <w:pPr>
        <w:pStyle w:val="BodyText"/>
      </w:pPr>
      <w:r>
        <w:t xml:space="preserve">The 12 Hz AC backbone is the energy sovereignty equivalent of a nation growing its own food — less optimized than buying from the global market when the market is functioning, dramatically more survivable when the market fails. The all-DC backbone is a technology subscription service disguised as infrastructure. The dependency is the product. The grid is the delivery mechanism.</w:t>
      </w:r>
    </w:p>
    <w:p>
      <w:pPr>
        <w:pStyle w:val="BodyText"/>
      </w:pPr>
      <w:r>
        <w:rPr>
          <w:b/>
          <w:bCs/>
        </w:rPr>
        <w:t xml:space="preserve">END OF TECHNICAL ANNEX</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Annex: 12 Hz AC Backbone vs. All-DC Grid Architecture</dc:title>
  <dc:creator>David Walther</dc:creator>
  <cp:keywords/>
  <dcterms:created xsi:type="dcterms:W3CDTF">2026-07-03T08:55:36Z</dcterms:created>
  <dcterms:modified xsi:type="dcterms:W3CDTF">2026-07-03T08:55:36Z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National Power Grid Reconstruction &amp; Sovereign Resilience Program</vt:lpwstr>
  </property>
</Properties>
</file>