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12 Hz Power Grid for National Energy Sovereignty</w:t>
      </w:r>
    </w:p>
    <w:p>
      <w:pPr>
        <w:pStyle w:val="Subtitle"/>
      </w:pPr>
      <w:r>
        <w:t xml:space="preserve">Solving the Large Power Transformer Problem</w:t>
      </w:r>
    </w:p>
    <w:p>
      <w:pPr>
        <w:pStyle w:val="Author"/>
      </w:pPr>
      <w:r>
        <w:t xml:space="preserve">David Walther</w:t>
      </w:r>
    </w:p>
    <w:p>
      <w:pPr>
        <w:pStyle w:val="Date"/>
      </w:pPr>
      <w:r>
        <w:t xml:space="preserve">2026-07-01</w:t>
      </w:r>
    </w:p>
    <w:p>
      <w:pPr>
        <w:pStyle w:val="AbstractTitle"/>
      </w:pPr>
      <w:r>
        <w:t xml:space="preserve">Abstract</w:t>
      </w:r>
    </w:p>
    <w:p>
      <w:pPr>
        <w:pStyle w:val="Abstract"/>
      </w:pPr>
      <w:r>
        <w:t xml:space="preserve">There is no strategic reserve for the large power transformer. When one fails, the region it</w:t>
      </w:r>
      <w:r>
        <w:t xml:space="preserve"> </w:t>
      </w:r>
      <w:r>
        <w:t xml:space="preserve">serves goes dark for years, not days, because every replacement requires grain-oriented</w:t>
      </w:r>
      <w:r>
        <w:t xml:space="preserve"> </w:t>
      </w:r>
      <w:r>
        <w:t xml:space="preserve">electrical steel, a specialty alloy produced at thirteen facilities worldwide, concentrated in</w:t>
      </w:r>
      <w:r>
        <w:t xml:space="preserve"> </w:t>
      </w:r>
      <w:r>
        <w:t xml:space="preserve">China, Japan, South Korea, and Russia. Lead times run 2.5 to 2.8 years. The United States</w:t>
      </w:r>
      <w:r>
        <w:t xml:space="preserve"> </w:t>
      </w:r>
      <w:r>
        <w:t xml:space="preserve">imports 80 percent of its power transformers. Data centers for AI, factories returning from</w:t>
      </w:r>
      <w:r>
        <w:t xml:space="preserve"> </w:t>
      </w:r>
      <w:r>
        <w:t xml:space="preserve">Asia, new generation of every kind: all waiting in a procurement queue no country can jump.</w:t>
      </w:r>
      <w:r>
        <w:t xml:space="preserve"> </w:t>
      </w:r>
      <w:r>
        <w:t xml:space="preserve">The Department of Energy named this the single most critical vulnerability in national grid</w:t>
      </w:r>
      <w:r>
        <w:t xml:space="preserve"> </w:t>
      </w:r>
      <w:r>
        <w:t xml:space="preserve">infrastructure. The shortage is structural, not cyclical.</w:t>
      </w:r>
    </w:p>
    <w:p>
      <w:pPr>
        <w:pStyle w:val="Abstract"/>
      </w:pPr>
      <w:r>
        <w:t xml:space="preserve">The solution has been running for over a century. Germany’s Bahnstrom railway power grid,</w:t>
      </w:r>
      <w:r>
        <w:t xml:space="preserve"> </w:t>
      </w:r>
      <w:r>
        <w:t xml:space="preserve">built in 1912 at 16.7 Hz, uses transformers wound from ordinary mild steel, with no specialty</w:t>
      </w:r>
      <w:r>
        <w:t xml:space="preserve"> </w:t>
      </w:r>
      <w:r>
        <w:t xml:space="preserve">alloy required. That grid still runs today, unchanged in principle, across five countries. At</w:t>
      </w:r>
      <w:r>
        <w:t xml:space="preserve"> </w:t>
      </w:r>
      <w:r>
        <w:t xml:space="preserve">12 Hz, adapted for North American grids, commodity steel works with greater margin. Any steel</w:t>
      </w:r>
      <w:r>
        <w:t xml:space="preserve"> </w:t>
      </w:r>
      <w:r>
        <w:t xml:space="preserve">mill can supply the cores. A transformer factory commissions in six to nine months. Units</w:t>
      </w:r>
      <w:r>
        <w:t xml:space="preserve"> </w:t>
      </w:r>
      <w:r>
        <w:t xml:space="preserve">arrive by standard truck, assemble on-site, and are repairable from materials available in</w:t>
      </w:r>
      <w:r>
        <w:t xml:space="preserve"> </w:t>
      </w:r>
      <w:r>
        <w:t xml:space="preserve">any country.</w:t>
      </w:r>
    </w:p>
    <w:p>
      <w:pPr>
        <w:pStyle w:val="Abstract"/>
      </w:pPr>
      <w:r>
        <w:t xml:space="preserve">The engineering has a century of operational proof. Deployment means grid expansion on a</w:t>
      </w:r>
      <w:r>
        <w:t xml:space="preserve"> </w:t>
      </w:r>
      <w:r>
        <w:t xml:space="preserve">locally controlled timeline, with transformers built and repaired from local materials by</w:t>
      </w:r>
      <w:r>
        <w:t xml:space="preserve"> </w:t>
      </w:r>
      <w:r>
        <w:t xml:space="preserve">local workers. The 12 Hz frequency also enables 600V-class distribution directly to the</w:t>
      </w:r>
      <w:r>
        <w:t xml:space="preserve"> </w:t>
      </w:r>
      <w:r>
        <w:t xml:space="preserve">building panel, eliminating a transformer tier and delivering voltages compatible with the</w:t>
      </w:r>
      <w:r>
        <w:t xml:space="preserve"> </w:t>
      </w:r>
      <w:r>
        <w:t xml:space="preserve">global 380V DC equipment ecosystem through simple rectification. The architecture applies</w:t>
      </w:r>
      <w:r>
        <w:t xml:space="preserve"> </w:t>
      </w:r>
      <w:r>
        <w:t xml:space="preserve">equally to post-conflict reconstruction, domestic grid expansion, and rural electrification</w:t>
      </w:r>
      <w:r>
        <w:t xml:space="preserve"> </w:t>
      </w:r>
      <w:r>
        <w:t xml:space="preserve">in regions where conventional procurement timelines make grid access effectively impossible.</w:t>
      </w:r>
    </w:p>
    <w:bookmarkStart w:id="9" w:name="introduction"/>
    <w:p>
      <w:pPr>
        <w:pStyle w:val="Heading1"/>
      </w:pPr>
      <w:r>
        <w:t xml:space="preserve">Introduction</w:t>
      </w:r>
    </w:p>
    <w:p>
      <w:pPr>
        <w:pStyle w:val="FirstParagraph"/>
      </w:pPr>
      <w:r>
        <w:rPr>
          <w:i/>
          <w:iCs/>
        </w:rPr>
        <w:t xml:space="preserve">Replace this file with your actual paper.</w:t>
      </w:r>
    </w:p>
    <w:p>
      <w:pPr>
        <w:pStyle w:val="BodyText"/>
      </w:pPr>
      <w:r>
        <w:t xml:space="preserve">Place your content here in standard Markdown. Pandoc supports:</w:t>
      </w:r>
    </w:p>
    <w:p>
      <w:pPr>
        <w:pStyle w:val="Compact"/>
        <w:numPr>
          <w:ilvl w:val="0"/>
          <w:numId w:val="1001"/>
        </w:numPr>
      </w:pPr>
      <w:r>
        <w:t xml:space="preserve">Headings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pStyle w:val="Compact"/>
        <w:numPr>
          <w:ilvl w:val="0"/>
          <w:numId w:val="1001"/>
        </w:numPr>
      </w:pPr>
      <w:r>
        <w:rPr>
          <w:b/>
          <w:bCs/>
        </w:rPr>
        <w:t xml:space="preserve">Bold</w:t>
      </w:r>
      <w:r>
        <w:t xml:space="preserve">,</w:t>
      </w:r>
      <w:r>
        <w:t xml:space="preserve"> </w:t>
      </w:r>
      <w:r>
        <w:rPr>
          <w:i/>
          <w:iCs/>
        </w:rPr>
        <w:t xml:space="preserve">italic</w:t>
      </w:r>
      <w:r>
        <w:t xml:space="preserve">,</w:t>
      </w:r>
      <w:r>
        <w:t xml:space="preserve"> </w:t>
      </w:r>
      <w:r>
        <w:rPr>
          <w:rStyle w:val="VerbatimChar"/>
        </w:rPr>
        <w:t xml:space="preserve">code</w:t>
      </w:r>
    </w:p>
    <w:p>
      <w:pPr>
        <w:pStyle w:val="Compact"/>
        <w:numPr>
          <w:ilvl w:val="0"/>
          <w:numId w:val="1001"/>
        </w:numPr>
      </w:pPr>
      <w:r>
        <w:t xml:space="preserve">Tables, footnotes, citations</w:t>
      </w:r>
    </w:p>
    <w:p>
      <w:pPr>
        <w:pStyle w:val="Compact"/>
        <w:numPr>
          <w:ilvl w:val="0"/>
          <w:numId w:val="1001"/>
        </w:numPr>
      </w:pPr>
      <w:r>
        <w:t xml:space="preserve">Math:</w:t>
      </w:r>
      <w:r>
        <w:t xml:space="preserve"> </w:t>
      </w:r>
      <m:oMath>
        <m:r>
          <m:t>E</m:t>
        </m:r>
        <m:r>
          <m:rPr>
            <m:sty m:val="p"/>
          </m:rPr>
          <m:t>=</m:t>
        </m:r>
        <m:r>
          <m:t>m</m:t>
        </m:r>
        <m:sSup>
          <m:e>
            <m:r>
              <m:t>c</m:t>
            </m:r>
          </m:e>
          <m:sup>
            <m:r>
              <m:t>2</m:t>
            </m:r>
          </m:sup>
        </m:sSup>
      </m:oMath>
      <w:r>
        <w:t xml:space="preserve"> </w:t>
      </w:r>
      <w:r>
        <w:t xml:space="preserve">(inline) or displayed:</w:t>
      </w:r>
    </w:p>
    <w:p>
      <w:pPr>
        <w:pStyle w:val="FirstParagraph"/>
      </w:pPr>
      <m:oMathPara>
        <m:oMathParaPr>
          <m:jc m:val="center"/>
        </m:oMathParaPr>
        <m:oMath>
          <m:r>
            <m:t>P</m:t>
          </m:r>
          <m:r>
            <m:rPr>
              <m:sty m:val="p"/>
            </m:rPr>
            <m:t>=</m:t>
          </m:r>
          <m:f>
            <m:fPr>
              <m:type m:val="bar"/>
            </m:fPr>
            <m:num>
              <m:sSup>
                <m:e>
                  <m:r>
                    <m:t>V</m:t>
                  </m:r>
                </m:e>
                <m:sup>
                  <m:r>
                    <m:t>2</m:t>
                  </m:r>
                </m:sup>
              </m:sSup>
            </m:num>
            <m:den>
              <m:r>
                <m:t>R</m:t>
              </m:r>
            </m:den>
          </m:f>
        </m:oMath>
      </m:oMathPara>
    </w:p>
    <w:bookmarkEnd w:id="9"/>
    <w:bookmarkStart w:id="10" w:name="section-two"/>
    <w:p>
      <w:pPr>
        <w:pStyle w:val="Heading1"/>
      </w:pPr>
      <w:r>
        <w:t xml:space="preserve">Section Two</w:t>
      </w:r>
    </w:p>
    <w:p>
      <w:pPr>
        <w:pStyle w:val="FirstParagraph"/>
      </w:pPr>
      <w:r>
        <w:t xml:space="preserve">Continue your paper here.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Hz Power Grid for National Energy Sovereignty</dc:title>
  <dc:creator>David Walther</dc:creator>
  <dc:language>en</dc:language>
  <cp:keywords/>
  <dcterms:created xsi:type="dcterms:W3CDTF">2026-07-03T07:28:50Z</dcterms:created>
  <dcterms:modified xsi:type="dcterms:W3CDTF">2026-07-03T07:28:50Z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There is no strategic reserve for the large power transformer. When one fails, the region it serves goes dark for years, not days, because every replacement requires grain-oriented electrical steel, a specialty alloy produced at thirteen facilities worldwide, concentrated in China, Japan, South Korea, and Russia. Lead times run 2.5 to 2.8 years. The United States imports 80 percent of its power transformers. Data centers for AI, factories returning from Asia, new generation of every kind: all waiting in a procurement queue no country can jump. The Department of Energy named this the single most critical vulnerability in national grid infrastructure. The shortage is structural, not cyclical.The solution has been running for over a century. Germany’s Bahnstrom railway power grid, built in 1912 at 16.7 Hz, uses transformers wound from ordinary mild steel, with no specialty alloy required. That grid still runs today, unchanged in principle, across five countries. At 12 Hz, adapted for North American grids, commodity steel works with greater margin. Any steel mill can supply the cores. A transformer factory commissions in six to nine months. Units arrive by standard truck, assemble on-site, and are repairable from materials available in any country.The engineering has a century of operational proof. Deployment means grid expansion on a locally controlled timeline, with transformers built and repaired from local materials by local workers. The 12 Hz frequency also enables 600V-class distribution directly to the building panel, eliminating a transformer tier and delivering voltages compatible with the global 380V DC equipment ecosystem through simple rectification. The architecture applies equally to post-conflict reconstruction, domestic grid expansion, and rural electrification in regions where conventional procurement timelines make grid access effectively impossible.</vt:lpwstr>
  </property>
  <property fmtid="{D5CDD505-2E9C-101B-9397-08002B2CF9AE}" pid="3" name="date">
    <vt:lpwstr>2026-07-01</vt:lpwstr>
  </property>
  <property fmtid="{D5CDD505-2E9C-101B-9397-08002B2CF9AE}" pid="4" name="mainfont">
    <vt:lpwstr>Liberation Serif</vt:lpwstr>
  </property>
  <property fmtid="{D5CDD505-2E9C-101B-9397-08002B2CF9AE}" pid="5" name="monofont">
    <vt:lpwstr>Liberation Mono</vt:lpwstr>
  </property>
  <property fmtid="{D5CDD505-2E9C-101B-9397-08002B2CF9AE}" pid="6" name="sansfont">
    <vt:lpwstr>Liberation Sans</vt:lpwstr>
  </property>
  <property fmtid="{D5CDD505-2E9C-101B-9397-08002B2CF9AE}" pid="7" name="subtitle">
    <vt:lpwstr>Solving the Large Power Transformer Problem</vt:lpwstr>
  </property>
</Properties>
</file>