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skalds were the poets of the Viking world. They didn’t just entertain —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 that’s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can’t do any of those things. It produces a confident reconstruction from lossy memory, and if the reconstruction is wrong, it has no mechanism to discover that. No door to go back and check.</w:t>
      </w:r>
    </w:p>
    <w:p>
      <w:pPr>
        <w:pStyle w:val="BodyText"/>
      </w:pPr>
      <w:r>
        <w:t xml:space="preserve">The entire history of intelligence — biological, cultural, civilizational —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 or the neural network, in the artificial case —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 and about what it would mean to build the full architecture in silicon.</w:t>
      </w:r>
    </w:p>
    <w:p>
      <w:r>
        <w:pict>
          <v:rect style="width:0;height:1.5pt" o:hralign="center" o:hrstd="t" o:hr="t"/>
        </w:pict>
      </w:r>
    </w:p>
    <w:bookmarkStart w:id="114" w:name="update-april-11"/>
    <w:p>
      <w:pPr>
        <w:pStyle w:val="Heading2"/>
      </w:pPr>
      <w:r>
        <w:t xml:space="preserve">Update, April 11</w:t>
      </w:r>
    </w:p>
    <w:p>
      <w:pPr>
        <w:pStyle w:val="FirstParagraph"/>
      </w:pPr>
      <w:r>
        <w:t xml:space="preserve">This book was drafted in a week in mid-March 2026. The field moves fast enough that the architecture described here was already being built before the ink was dry — by people who hadn’t read it.</w:t>
      </w:r>
    </w:p>
    <w:p>
      <w:pPr>
        <w:pStyle w:val="BodyText"/>
      </w:pPr>
      <w:r>
        <w:t xml:space="preserve">On April 2, Andrej Karpathy — co-founder of OpenAI and former Director of AI at Tesla — posted a tweet describing a personal knowledge system he’d been using for his own research.</w:t>
      </w:r>
      <w:r>
        <w:rPr>
          <w:rStyle w:val="FootnoteReference"/>
        </w:rPr>
        <w:footnoteReference w:id="11"/>
      </w:r>
      <w:r>
        <w:t xml:space="preserve"> </w:t>
      </w:r>
      <w:r>
        <w:t xml:space="preserve">The tweet went viral — over sixteen million views in the first week. It is a three-folder markdown architecture, built in Obsidian. Raw sources are stored append-only and unchanged — the scroll that doesn’t change (Chapter 2). An LLM compiles them into a structured, interlinked wiki with backlinks and cross-references — multi-level structural encoding (Chapter 4). Periodic</w:t>
      </w:r>
      <w:r>
        <w:t xml:space="preserve"> </w:t>
      </w:r>
      <w:r>
        <w:t xml:space="preserve">“lint passes”</w:t>
      </w:r>
      <w:r>
        <w:t xml:space="preserve"> </w:t>
      </w:r>
      <w:r>
        <w:t xml:space="preserve">scan the wiki for contradictions, gaps, and stale claims —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 wings, rooms, halls, drawers — the way the Greeks organized human memory two thousand years ago: by place, not by keyword. Source conversations are stored verbatim rather than summarized — the scroll that doesn’t change (Chapter 2). The spatial hierarchy is not decorative. Metaphor is the compression technology at the root of every technique this book describes — the kenning, the pun, the chiastic structure, the prophetic image —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 the highest results recorded for a free memory framework.</w:t>
      </w:r>
    </w:p>
    <w:p>
      <w:pPr>
        <w:pStyle w:val="BodyText"/>
      </w:pPr>
      <w:r>
        <w:t xml:space="preserve">Neither had read this book. Neither had consulted each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 in Greece, in Israel, in Scandinavia, in India —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 the pun, the layered metaphor, the densely constrained verse —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 the systematic inversion of symbolic encodings by rival traditions —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 which can’t be symbolically inverted, which has no tribal loyalty, which reads the same on every thermometer — is the incorruptible foundation the entire stack rests on.</w:t>
      </w:r>
    </w:p>
    <w:p>
      <w:pPr>
        <w:pStyle w:val="BodyText"/>
      </w:pPr>
      <w:r>
        <w:t xml:space="preserve">The thesis, in a sentence:</w:t>
      </w:r>
      <w:r>
        <w:t xml:space="preserve"> </w:t>
      </w:r>
      <w:r>
        <w:rPr>
          <w:i/>
          <w:iCs/>
        </w:rPr>
        <w:t xml:space="preserve">The denser the intelligence, the more architecture it needs around it to keep it sane —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 computer scientists working at the intersection of formal language theory and machine learning —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 that is, one complete cycle of the network processing an input and producing an output —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 not when deterministic silicon is sitting right there. A transformer executing assembly language instructions autoregressively — meaning it generates each output one step at a time, feeding each result back as input for the next step —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just faster. It’s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 the counter is the rigid surface the cook’s muscles work against, handling the geometry of compression that the brain would otherwise have to calculate. A bricklayer uses a string line to keep courses level —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 the billions of numerical parameters that encode everything the model has learned, adjusted during training and frozen afterward —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just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 or has been deliberately falsified —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 only in the relationship between them.</w:t>
      </w:r>
    </w:p>
    <w:p>
      <w:pPr>
        <w:pStyle w:val="BodyText"/>
      </w:pPr>
      <w:r>
        <w:t xml:space="preserve">For the architecture, this distinction has a hard engineering consequence. Sensors alone give you grounded knowledge — passive calibration of representations against reality. Sensors plus actuators give you embodied intelligence —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 the crackle tells you about shielding gas coverage, penetration, heat input. A baker watches the dough but also feels it —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here’s the thing people miss: direct sensory experience doesn’t replace the model in the weights. It makes the model in the weights better.</w:t>
      </w:r>
    </w:p>
    <w:p>
      <w:pPr>
        <w:pStyle w:val="BodyText"/>
      </w:pPr>
      <w:r>
        <w:t xml:space="preserve">The weights ARE a world model —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 he’s also a programmer and Torah scholar —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 the brain’s spatial navigation system —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1"/>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2"/>
      </w:r>
      <w:r>
        <w:t xml:space="preserve"> </w:t>
      </w:r>
      <w:r>
        <w:t xml:space="preserve">When you know where you are in a piece of music — when you feel a resolution approaching, anticipate the return of the theme —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3"/>
      </w:r>
      <w:r>
        <w:t xml:space="preserve"> </w:t>
      </w:r>
      <w:r>
        <w:t xml:space="preserve">This is state-dependent memory, well established experimentally.</w:t>
      </w:r>
      <w:r>
        <w:rPr>
          <w:rStyle w:val="FootnoteReference"/>
        </w:rPr>
        <w:footnoteReference w:id="34"/>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 and most of this book — follows from. When a large language model is trained, it processes hundreds of billions of text fragments and distills the statistical patterns it finds into a set of numerical parameters called weights — typically billions of them, each a single number, collectively encoding everything the model</w:t>
      </w:r>
      <w:r>
        <w:t xml:space="preserve"> </w:t>
      </w:r>
      <w:r>
        <w:t xml:space="preserve">“knows.”</w:t>
      </w:r>
      <w:r>
        <w:rPr>
          <w:rStyle w:val="FootnoteReference"/>
        </w:rPr>
        <w:footnoteReference w:id="35"/>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 but that’s because we’ve been doing it for so long that we’ve forgotten it’s a technology.</w:t>
      </w:r>
    </w:p>
    <w:p>
      <w:pPr>
        <w:pStyle w:val="BodyText"/>
      </w:pPr>
      <w:r>
        <w:t xml:space="preserve">Cave paintings, clay tablets, cuneiform, scrolls, codices, printed books, filing cabinets, databases — the entire history of writing is the history of not trusting neural memory for precision work.</w:t>
      </w:r>
      <w:r>
        <w:rPr>
          <w:rStyle w:val="FootnoteReference"/>
        </w:rPr>
        <w:footnoteReference w:id="36"/>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7"/>
      </w:r>
      <w:r>
        <w:t xml:space="preserve"> </w:t>
      </w:r>
      <w:r>
        <w:t xml:space="preserve">Writing began not as literature but as accounting — as an error-correction mechanism for the brain’s unreliable storage of precise quantities.</w:t>
      </w:r>
    </w:p>
    <w:p>
      <w:pPr>
        <w:pStyle w:val="BodyText"/>
      </w:pPr>
      <w:r>
        <w:t xml:space="preserve">Large language models are in the pre-literate stage. They have the neural component — an impressive one, far surpassing any single human’s ability to compress and retrieve textual patterns —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 an SSD, in the terminology we established in Chapter 1 — containing their actual training data. Not embeddings — not the compressed vector representations that retrieval systems currently use.</w:t>
      </w:r>
      <w:r>
        <w:rPr>
          <w:rStyle w:val="FootnoteReference"/>
        </w:rPr>
        <w:footnoteReference w:id="38"/>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 which it will, because the internet is full of contradictions.</w:t>
      </w:r>
      <w:r>
        <w:rPr>
          <w:rStyle w:val="FootnoteReference"/>
        </w:rPr>
        <w:footnoteReference w:id="39"/>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0"/>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1"/>
      </w:r>
    </w:p>
    <w:p>
      <w:pPr>
        <w:pStyle w:val="BodyText"/>
      </w:pPr>
      <w:r>
        <w:t xml:space="preserve">It works, within limits. Here’s how: you store documents in a vector database — a system that converts text into numerical representations and finds documents that are mathematically</w:t>
      </w:r>
      <w:r>
        <w:t xml:space="preserve"> </w:t>
      </w:r>
      <w:r>
        <w:t xml:space="preserve">“close to”</w:t>
      </w:r>
      <w:r>
        <w:t xml:space="preserve"> </w:t>
      </w:r>
      <w:r>
        <w:t xml:space="preserve">a query. At inference time — the moment the model is generating a response —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2"/>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3"/>
      </w:r>
    </w:p>
    <w:p>
      <w:pPr>
        <w:pStyle w:val="BodyText"/>
      </w:pPr>
      <w:r>
        <w:t xml:space="preserve">The problem becomes clearer when you map it against how biological memory actually works. Cognitive scientists have long distinguished between short-term memory, medium-term memory, and long-term memory — three systems with different capacities, different persistence, and different roles in cognition.</w:t>
      </w:r>
      <w:r>
        <w:rPr>
          <w:rStyle w:val="FootnoteReference"/>
        </w:rPr>
        <w:footnoteReference w:id="44"/>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 and they suffer from exactly the same lossiness and drift that biological long-term memory does.</w:t>
      </w:r>
    </w:p>
    <w:p>
      <w:pPr>
        <w:pStyle w:val="BodyText"/>
      </w:pPr>
      <w:r>
        <w:t xml:space="preserve">Medium-term memory sits between the two. In a biological brain, this is something like the consolidation process —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 can tape new notes to the phone case — but they cannot change the number that’s already in the model’s head. The deep assumptions, the baseline biases, the frame through which the model interprets everything it reads, including the documents RAG retrieves — all of this is set at training time and frozen afterward. RAG gives users the feeling of customization while leaving the foundation immovable. This may be an accidental consequence of engineering convenience —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 the mechanism that moves knowledge from the external store into the weights, the way sleep consolidation moves recent experience into long-term memory.</w:t>
      </w:r>
      <w:r>
        <w:rPr>
          <w:rStyle w:val="FootnoteReference"/>
        </w:rPr>
        <w:footnoteReference w:id="45"/>
      </w:r>
      <w:r>
        <w:t xml:space="preserve"> </w:t>
      </w:r>
      <w:r>
        <w:t xml:space="preserve">The model operates in the world —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 the important thing is that the error is detected and localized. The model then goes back to the precise source data on the SSD and retrains on that specific material. Not a full retraining run —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 the error signal is what gives the correction its precision.</w:t>
      </w:r>
      <w:r>
        <w:rPr>
          <w:rStyle w:val="FootnoteReference"/>
        </w:rPr>
        <w:footnoteReference w:id="46"/>
      </w:r>
    </w:p>
    <w:p>
      <w:r>
        <w:pict>
          <v:rect style="width:0;height:1.5pt" o:hralign="center" o:hrstd="t" o:hr="t"/>
        </w:pict>
      </w:r>
    </w:p>
    <w:p>
      <w:pPr>
        <w:pStyle w:val="FirstParagraph"/>
      </w:pPr>
      <w:r>
        <w:t xml:space="preserve">But here’s where it gets genuinely interesting.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 though that can happen too. Wrong in the sense that the source data you retrained on was itself misleading, in a way you could only discover later through further experience or new cross-references. You went back to the document, re-studied it, updated your understanding —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 not forgetting old knowledge when learning new knowledge, but incorporating bad corrections that can never be un-corrected because the pre-correction state has been overwritten.</w:t>
      </w:r>
      <w:r>
        <w:rPr>
          <w:rStyle w:val="FootnoteReference"/>
        </w:rPr>
        <w:footnoteReference w:id="47"/>
      </w:r>
    </w:p>
    <w:p>
      <w:pPr>
        <w:pStyle w:val="BodyText"/>
      </w:pPr>
      <w:r>
        <w:t xml:space="preserve">The SSD changes this. Because the source data is still there, unmodified, the model can always go back. Not to the previous state of its weights — that’s gone. But to the source material from which the weights were derived. It returns to the same text with new context — new experiences, new information, new cross-references that weren’t available during the first correction —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8"/>
      </w:r>
    </w:p>
    <w:p>
      <w:pPr>
        <w:pStyle w:val="BodyText"/>
      </w:pPr>
      <w:r>
        <w:t xml:space="preserve">This is not because the text has changed. The text is emphatically, obsessively unchanged — the Masoretic tradition, which we’ll discuss in Chapter 5, devoted centuries of effort to ensuring that not a single letter was altered.</w:t>
      </w:r>
      <w:r>
        <w:rPr>
          <w:rStyle w:val="FootnoteReference"/>
        </w:rPr>
        <w:footnoteReference w:id="49"/>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 your changed self — and new understanding emerges from the mismatch between what you currently believe and what the text actually says. The text is the SSD. Your understanding is the weights. The meditation is the retraining run. And because the text doesn’t change, you can always return to it — next week, next year, next decade — with an even more refined context, generating an even more accurate reading.</w:t>
      </w:r>
    </w:p>
    <w:p>
      <w:pPr>
        <w:pStyle w:val="BodyText"/>
      </w:pPr>
      <w:r>
        <w:t xml:space="preserve">This is impossible without the external store. Without it, the model is like a scholar who burned their library —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 the structural encoding of Chapters 3 and 4, the adversarial verification of Chapter 5, the iterative loop of Chapter 6 — rests on these two layers. Without the body, you can’t check claims against physical reality. Without the notebook, you can’t check claims against recorded sources. Without either, you’re a brain in a jar with a bad memory — which is a fair description of a large language model in 2025.</w:t>
      </w:r>
    </w:p>
    <w:p>
      <w:pPr>
        <w:pStyle w:val="BodyText"/>
      </w:pPr>
      <w:r>
        <w:t xml:space="preserve">The next chapter is about what happens when you need to transmit knowledge not just across time but across minds —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0"/>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 the more internal echoes woven into each line —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 the error-correction algorithms used in everything from deep-space communication to QR codes.</w:t>
      </w:r>
      <w:r>
        <w:rPr>
          <w:rStyle w:val="FootnoteReference"/>
        </w:rPr>
        <w:footnoteReference w:id="51"/>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2"/>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 the memory palace — is a metaphor: abstract knowledge</w:t>
      </w:r>
      <w:r>
        <w:t xml:space="preserve"> </w:t>
      </w:r>
      <w:r>
        <w:rPr>
          <w:i/>
          <w:iCs/>
        </w:rPr>
        <w:t xml:space="preserve">is</w:t>
      </w:r>
      <w:r>
        <w:t xml:space="preserve"> </w:t>
      </w:r>
      <w:r>
        <w:t xml:space="preserve">a room you walk through, a path you walk along. And almost all prophetic vision — the medium through which the ancient world claimed to receive its densest knowledge —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3"/>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4"/>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5"/>
      </w:r>
      <w:r>
        <w:t xml:space="preserve"> </w:t>
      </w:r>
      <w:r>
        <w:t xml:space="preserve">The poet and the prophet both spoke in structured, compressed, multi-layered language — and both were understood to be doing something fundamentally different from ordinary speech. In Norse culture, the skalds were considered to channel Odin’s mead of poetry, a divine gift. In Greek culture, the poet invoked the Muse —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6"/>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7"/>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8"/>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59"/>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0"/>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 it carried an excess of meaning that seemed to come from outside the poet, compressed into forms that could survive transmission across centuries. Whatever one makes of the metaphysics, the engineering observation stands: the structures the ancient world associated with prophecy — the pun, the vision, the densely layered metaphor —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1"/>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 and the greater the need for reality grounding to keep the interpretation calibrated. Sparse encoding is safe. If a word means one thing, you can’t over-read it. But when a word means three things simultaneously — surface meaning, phonetic echo, structural position —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2"/>
      </w:r>
      <w:r>
        <w:t xml:space="preserve"> </w:t>
      </w:r>
      <w:r>
        <w:t xml:space="preserve">This wasn’t mystical gatekeeping. It was an engineering specification. Forty years of embodied experience — of raising children, managing a household, navigating the physical and social world — provided the grounding needed to handle maximally dense symbolic content without losing your footing. The denser the information, the more life experience you need to interpret it safely. Without sufficient grounding, the student doesn’t gain wisdom from the dense encoding —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3"/>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4"/>
      </w:r>
      <w:r>
        <w:t xml:space="preserve"> </w:t>
      </w:r>
      <w:r>
        <w:t xml:space="preserve">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5"/>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6"/>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7"/>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8"/>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69"/>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0"/>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1"/>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The Hebrew prophetic tradition pushed this even further with deliberate wordplay. When the prophet Jeremiah — writing in the seventh and sixth centuries BC —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2"/>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3"/>
      </w:r>
      <w:r>
        <w:t xml:space="preserve"> </w:t>
      </w:r>
      <w:r>
        <w:t xml:space="preserve">Again: visual image, sound, and meaning fused into one token. If any channel is corrupted — if someone changes the image, or garbles the sound — the other channels flag the damage, because the pun no longer works. The wordplay is the checksum. And because symbols encoded this densely are extremely difficult to tamper with, they are also extremely difficult to invert —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 even if the surface narrative still read fine. If a word substitution broke an alliterative pattern, the broken pattern flagged the error —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 human or artificial —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4"/>
      </w:r>
      <w:r>
        <w:t xml:space="preserve"> </w:t>
      </w:r>
      <w:r>
        <w:t xml:space="preserve">Each recitation mode was an independent integrity check on the others. If the third word in a passage had been corrupted, the continuous recitation might not catch it, but the backward-woven recitation would —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 that was the point. It guaranteed the output was a clean derivation from source, not a patched version with potential hidden corruption from the repair itself. Patching is dangerous. A patch fixes the immediate error but may introduce subtle downstream corruption from the repair —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5"/>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 not just by Western scholars but by the Indian tradition itself.</w:t>
      </w:r>
      <w:r>
        <w:rPr>
          <w:rStyle w:val="FootnoteReference"/>
        </w:rPr>
        <w:footnoteReference w:id="76"/>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 critically —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77"/>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 words glossed as ritual implements or dismissed as meaningless — and recovered original poetic meanings that the Brahmins themselves had lost centuries ago.</w:t>
      </w:r>
      <w:r>
        <w:rPr>
          <w:rStyle w:val="FootnoteReference"/>
        </w:rPr>
        <w:footnoteReference w:id="78"/>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 they cohere with each other, with the metrical structure, and with the known geographical features of the Rigvedic landscape. The structure preserved information it didn’t know it was preserving. Thomson’s new context — her comparative linguistic tools and her willingness to read the text as poetry rather than liturgy —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 just as a Reed-Solomon code can reconstruct a corrupted transmission from the redundancy embedded in the original signal. The more garbled the data, the more work the reconstruction requires. But if the encoding was dense enough — if there is enough redundancy in enough independent channels — the original signal can be recovered. The field of comparative and historical linguistics has centuries of accumulated data to draw from, which is itself a kind of SSD — a vast, precise, externally stored record against which individual claims can be checked and refined.</w:t>
      </w:r>
      <w:r>
        <w:rPr>
          <w:rStyle w:val="FootnoteReference"/>
        </w:rPr>
        <w:footnoteReference w:id="79"/>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 the centuries-long rabbinical project of legal commentary and debate.</w:t>
      </w:r>
      <w:r>
        <w:rPr>
          <w:rStyle w:val="FootnoteReference"/>
        </w:rPr>
        <w:footnoteReference w:id="80"/>
      </w:r>
      <w:r>
        <w:t xml:space="preserve"> </w:t>
      </w:r>
      <w:r>
        <w:t xml:space="preserve">The tradition called them</w:t>
      </w:r>
      <w:r>
        <w:t xml:space="preserve"> </w:t>
      </w:r>
      <w:r>
        <w:rPr>
          <w:i/>
          <w:iCs/>
        </w:rPr>
        <w:t xml:space="preserve">sinai</w:t>
      </w:r>
      <w:r>
        <w:t xml:space="preserve"> </w:t>
      </w:r>
      <w:r>
        <w:t xml:space="preserve">— walking Sinais, mountains of knowledge —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1"/>
      </w:r>
      <w:r>
        <w:t xml:space="preserve"> </w:t>
      </w:r>
      <w:r>
        <w:t xml:space="preserve">Both types were valued. But the walking Sinai — the scholar whose memory was so precise that they could function as a living reference library —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 because their compression encodings were tighter, their internal models more articulated, for the specific domains they paid attention to? The verbal intelligence that large language models specialize in today is exactly this cognitive profile — the skaldic, rabbinical, lawyerly ability to compress and retrieve structured language with high fidelity. Engineers, meanwhile, are often high in visual-spatial intelligence, seemingly connected to hands-on sensory experience —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 the body, the notebook, the poetic structure —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 a passage deliberately inserted into a text by a later hand —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2"/>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 different scribal slips, different marginal glosses that had crept into the main text, different orthographic conventions. But because the copying errors were independent — because no single scribe or scribal school could have coordinated changes across all the traditions simultaneously —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 the method by which networks of unreliable computers produce reliable collective outputs.</w:t>
      </w:r>
      <w:r>
        <w:rPr>
          <w:rStyle w:val="FootnoteReference"/>
        </w:rPr>
        <w:footnoteReference w:id="83"/>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 the cryptocurrency system designed by the pseudonymous Satoshi Nakamoto in 2008.</w:t>
      </w:r>
      <w:r>
        <w:rPr>
          <w:rStyle w:val="FootnoteReference"/>
        </w:rPr>
        <w:footnoteReference w:id="84"/>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5"/>
      </w:r>
      <w:r>
        <w:t xml:space="preserve"> </w:t>
      </w:r>
      <w:r>
        <w:t xml:space="preserve">These are structural checksums — the same class of integrity verification we discussed in Chapter 3, but applied at the macro level rather than the level of individual verses. Any alteration, no matter how small — a single added letter, a single deleted word —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86"/>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87"/>
      </w:r>
    </w:p>
    <w:p>
      <w:pPr>
        <w:pStyle w:val="BodyText"/>
      </w:pPr>
      <w:r>
        <w:t xml:space="preserve">Every reported saying carries an</w:t>
      </w:r>
      <w:r>
        <w:t xml:space="preserve"> </w:t>
      </w:r>
      <w:r>
        <w:rPr>
          <w:i/>
          <w:iCs/>
        </w:rPr>
        <w:t xml:space="preserve">isnad</w:t>
      </w:r>
      <w:r>
        <w:t xml:space="preserve"> </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88"/>
      </w:r>
      <w:r>
        <w:t xml:space="preserve"> </w:t>
      </w:r>
      <w:r>
        <w:t xml:space="preserve">A chain with one unreliable link — a transmitter known for poor memory, or a gap where no plausible transmission path exists —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89"/>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0"/>
      </w:r>
    </w:p>
    <w:p>
      <w:pPr>
        <w:pStyle w:val="BodyText"/>
      </w:pPr>
      <w:r>
        <w:t xml:space="preserve">A large language model trained on recent web data has ingested enormous quantities of fabricated material, and it has no mechanism to distinguish this from legitimate content. Every word in its training corpus — true or false, sincere or manufactured, carefully researched or algorithmically generated —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 sensory ground truth, as discussed in Chapter 1, or a verified corpus with known provenance —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1"/>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 deterministic computation, sensory grounding, precise external memory, multi-level structural encoding, distributed adversarial verification —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2"/>
      </w:r>
      <w:r>
        <w:t xml:space="preserve"> </w:t>
      </w:r>
      <w:r>
        <w:t xml:space="preserve">They controlled not just the knowledge but the infrastructure for producing knowledge — the temples, the instruments, the training pipelines (literally: the decades-long apprenticeship system that produced new priests). An outsider who wanted to challenge their conclusions couldn’t simply check the data —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 all produced inside the temple complex, all offered as services to the king and the public, all inaccessible in their raw form to anyone outside the institutional structure.</w:t>
      </w:r>
      <w:r>
        <w:rPr>
          <w:rStyle w:val="FootnoteReference"/>
        </w:rPr>
        <w:footnoteReference w:id="93"/>
      </w:r>
      <w:r>
        <w:t xml:space="preserve"> </w:t>
      </w:r>
      <w:r>
        <w:t xml:space="preserve">The priesthood’s authority rested not on the correctness of their knowledge — which they sometimes got spectacularly wrong — but on their monopoly over the process by which knowledge was produced and verified.</w:t>
      </w:r>
    </w:p>
    <w:p>
      <w:pPr>
        <w:pStyle w:val="BodyText"/>
      </w:pPr>
      <w:r>
        <w:t xml:space="preserve">The distributed traditions — Masoretic, Vedic, hadith — were designed specifically to break this pattern. The Torah wasn’t kept in a temple. Every community had its own scroll. The Vedas weren’t recited by a single priestly lineage — multiple geographically separated lineages maintained independent copies. The hadith weren’t stored in a central archive —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 billions of numbers —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 these are typically not released. The weights are the compiled binary. The training process is the source code. And the source code is inside the temple.</w:t>
      </w:r>
      <w:r>
        <w:rPr>
          <w:rStyle w:val="FootnoteReference"/>
        </w:rPr>
        <w:footnoteReference w:id="94"/>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 admitting the fabrication —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5"/>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 error correction (the same structural redundancy the skalds used) and access control (restricting deeper meanings to those equipped to understand them).</w:t>
      </w:r>
    </w:p>
    <w:p>
      <w:pPr>
        <w:pStyle w:val="BodyText"/>
      </w:pPr>
      <w:r>
        <w:t xml:space="preserve">The prophetic wordplay discussed in Chapter 4 — Jeremiah’s</w:t>
      </w:r>
      <w:r>
        <w:t xml:space="preserve"> </w:t>
      </w:r>
      <w:r>
        <w:rPr>
          <w:i/>
          <w:iCs/>
        </w:rPr>
        <w:t xml:space="preserve">shaqed/shoqed</w:t>
      </w:r>
      <w:r>
        <w:t xml:space="preserve">, Amos’s</w:t>
      </w:r>
      <w:r>
        <w:t xml:space="preserve"> </w:t>
      </w:r>
      <w:r>
        <w:rPr>
          <w:i/>
          <w:iCs/>
        </w:rPr>
        <w:t xml:space="preserve">qayits/qets</w:t>
      </w:r>
      <w:r>
        <w:t xml:space="preserve"> </w:t>
      </w:r>
      <w:r>
        <w:t xml:space="preserve">— belongs to this world. Prophecy and initiatory spiritual experience are deeply connected. The prophetic vision is itself a kind of sensory grounding — direct experiential contact with reality that operates outside the verbal channel, then gets encoded into language using the densest multi-level structure the prophet can manage. The metaphor, the pun, the symbolic image —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 itself a small lesson in the fragility of digital provenance), spent years cataloguing the specific inversions between Mesopotamian and Hebrew narratives.</w:t>
      </w:r>
      <w:r>
        <w:rPr>
          <w:rStyle w:val="FootnoteReference"/>
        </w:rPr>
        <w:footnoteReference w:id="96"/>
      </w:r>
      <w:r>
        <w:t xml:space="preserve"> </w:t>
      </w:r>
      <w:r>
        <w:t xml:space="preserve">Building on an observation by Joseph Campbell in</w:t>
      </w:r>
      <w:r>
        <w:t xml:space="preserve"> </w:t>
      </w:r>
      <w:r>
        <w:rPr>
          <w:i/>
          <w:iCs/>
        </w:rPr>
        <w:t xml:space="preserve">The Masks of God: Occidental Mythology</w:t>
      </w:r>
      <w:r>
        <w:t xml:space="preserve"> </w:t>
      </w:r>
      <w:r>
        <w:t xml:space="preserve">— that the Hebrews employed systematic 180-degree inversions of Mesopotamian motifs — Mattfeld documented the pattern in meticulous detail across his two books.</w:t>
      </w:r>
      <w:r>
        <w:rPr>
          <w:rStyle w:val="FootnoteReference"/>
        </w:rPr>
        <w:footnoteReference w:id="97"/>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 who is civilized through sexual encounter with the temple woman Shamhat, becomes Adam, the man placed in the garden of Eden who falls through encounter with Eve.</w:t>
      </w:r>
      <w:r>
        <w:rPr>
          <w:rStyle w:val="FootnoteReference"/>
        </w:rPr>
        <w:footnoteReference w:id="98"/>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 motif by motif, character by character, moral valence by moral valence —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 when the same word means opposite things in different traditions, and both traditions are represented in your training data —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 the gods as exploiters AND God as generous creator —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 most importantly —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 eyes on the page, words processing —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 possibly real discovery, possibly the pattern-recognition engine finding shapes in noise, but worth examining rather than simply following. The discomfort when a text contradicts a belief you hold but haven’t examined — the slight aversion, the impulse to read past the difficult passage quickly —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99"/>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 problem-solving, abstraction, pattern recognition —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0"/>
      </w:r>
      <w:r>
        <w:t xml:space="preserve"> </w:t>
      </w:r>
      <w:r>
        <w:t xml:space="preserve">Damasio’s patients are the clinical demonstration. Their intelligence measures were unaffected. Their wisdom — the capacity to navigate practical life with appropriate priorities —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 years of emotional responses checked against outcomes, of excitement followed into error, of resistance examined and found to be projection rather than insight. The Kabbalistic forty-year minimum isn’t mysticism. It is a dataset size requirement.</w:t>
      </w:r>
    </w:p>
    <w:p>
      <w:pPr>
        <w:pStyle w:val="BodyText"/>
      </w:pPr>
      <w:r>
        <w:t xml:space="preserve">For the error-correction architecture, this has a direct implication. The internal state is part of the epistemic process, not a contamination of it. A reader who notices unease at a claim and investigates the unease — rather than either suppressing it as irrational or capitulating to it as truth —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01"/>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02"/>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03"/>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 not to suppress those movements but to see them, which is not the same thing.</w:t>
      </w:r>
      <w:r>
        <w:rPr>
          <w:rStyle w:val="FootnoteReference"/>
        </w:rPr>
        <w:footnoteReference w:id="104"/>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 maximally compressed, multi-layered, meaning folded into every phonetic and structural feature —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 traditionally, at least forty years old, married, grounded in the practical obligations of household and community — was not mystical gatekeeping.</w:t>
      </w:r>
      <w:r>
        <w:rPr>
          <w:rStyle w:val="FootnoteReference"/>
        </w:rPr>
        <w:footnoteReference w:id="105"/>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06"/>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 a reliable symptom of working at the edge of its training —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 the research program in AI concerned with aligning a model’s expressed confidence to its actual accuracy.</w:t>
      </w:r>
      <w:r>
        <w:rPr>
          <w:rStyle w:val="FootnoteReference"/>
        </w:rPr>
        <w:footnoteReference w:id="107"/>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08"/>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 deterministic computation and sensory grounding. Chapter 2 added the notebook — precise external memory with source attribution. Chapter 3 added the poetry — structural encoding as error-correcting code, and the ancient recognition that poetry and prophecy serve the same function. Chapter 4 added the room — multi-level structural encoding, cantillation, architectural state-induction, and the Vedic existence proof that the architecture works even when the transmitters don’t understand what they’re transmitting. Chapter 5 added the scholars — distributed adversarial verification and the detection of deliberate corruption. Chapter 6 added the watching mind —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 you hand it to the calculator. You don’t ask the brain to measure each board — you push it against the block. You don’t ask a probabilistic network to run a primality test —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 each encoding the same content in a different structural feature, each independently verifiable, so that corruption at any level is detectable from the others. The data carries its own integrity checks. The text knows when it’s been damaged. This layer catches silent corruption —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 the probabilistic system guessing where it should be computing. Remove the sensors, and the world model drifts unchecked — the brain in the jar, confident and wrong, with no thermometer to tell it so. Remove the SSD, and corrections can’t be re-examined — every update overwrites the last, and errors become permanent the moment they’re introduced. Remove the structural encoding, and silent corruption goes unnoticed — the text degrades imperceptibly, one generation at a time, until the signal is noise. Remove the adversarial scholars, and deliberate falsification goes unchallenged — the consistent lie passes as consensus, the inverted symbol passes as original. Remove the iterative loop, and understanding fossilizes — the first reading is the last reading, and the errors it contains are never revisited. Lose the metacognitive thread, and the system can’t distinguish its confident outputs from its confabulations —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09"/>
      </w:r>
      <w:r>
        <w:t xml:space="preserve"> </w:t>
      </w:r>
      <w:r>
        <w:t xml:space="preserve">The skaldic tradition: multi-level structural redundancy in verse as error-correcting code, transmitted by trained specialists across generations.</w:t>
      </w:r>
      <w:r>
        <w:rPr>
          <w:rStyle w:val="FootnoteReference"/>
        </w:rPr>
        <w:footnoteReference w:id="110"/>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11"/>
      </w:r>
      <w:r>
        <w:t xml:space="preserve"> </w:t>
      </w:r>
      <w:r>
        <w:t xml:space="preserve">The Vedic tradition: multi-modal redundant encoding, group consensus verification, restart-from-zero error recovery — maintaining perfect fidelity of texts so old that the transmitters themselves no longer understand them.</w:t>
      </w:r>
      <w:r>
        <w:rPr>
          <w:rStyle w:val="FootnoteReference"/>
        </w:rPr>
        <w:footnoteReference w:id="112"/>
      </w:r>
      <w:r>
        <w:t xml:space="preserve"> </w:t>
      </w:r>
      <w:r>
        <w:t xml:space="preserve">The Buddhist commentarial tradition: iterative re-examination of source texts with accumulated interpretive context, across centuries of scholastic debate.</w:t>
      </w:r>
      <w:r>
        <w:rPr>
          <w:rStyle w:val="FootnoteReference"/>
        </w:rPr>
        <w:footnoteReference w:id="113"/>
      </w:r>
    </w:p>
    <w:p>
      <w:pPr>
        <w:pStyle w:val="BodyText"/>
      </w:pPr>
      <w:r>
        <w:t xml:space="preserve">All converging on the same stack. Not because they copied each other —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 they built an architecture around them, one so robust it maintained perfect fidelity for three thousand years. The Masoretes didn’t try to remember harder — they built systems that caught them when they forgot. The</w:t>
      </w:r>
      <w:r>
        <w:t xml:space="preserve"> </w:t>
      </w:r>
      <w:r>
        <w:rPr>
          <w:i/>
          <w:iCs/>
        </w:rPr>
        <w:t xml:space="preserve">muhaddithin</w:t>
      </w:r>
      <w:r>
        <w:t xml:space="preserve"> </w:t>
      </w:r>
      <w:r>
        <w:t xml:space="preserve">didn’t trust any single scholar’s judgment —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The question isn’t how to build a bigger brain. It’s how to give it a door to go back and check — a body, a notebook, and colleagues who will tell it when it’s wrong.</w:t>
      </w:r>
    </w:p>
    <w:p>
      <w:r>
        <w:pict>
          <v:rect style="width:0;height:1.5pt" o:hralign="center" o:hrstd="t" o:hr="t"/>
        </w:pic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0">
    <w:p>
      <w:pPr>
        <w:pStyle w:val="FootnoteText"/>
      </w:pPr>
      <w:r>
        <w:rPr>
          <w:rStyle w:val="FootnoteReference"/>
        </w:rPr>
        <w:footnoteRef/>
      </w:r>
      <w:r>
        <w:t xml:space="preserve"> </w:t>
      </w:r>
      <w:r>
        <w:t xml:space="preserve">See Chapter 3, note 1, for the scholarly treatment of skaldic verse forms.</w:t>
      </w:r>
    </w:p>
  </w:footnote>
  <w:footnote w:id="11">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2">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3">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4">
    <w:p>
      <w:pPr>
        <w:pStyle w:val="FootnoteText"/>
      </w:pPr>
      <w:r>
        <w:rPr>
          <w:rStyle w:val="FootnoteReference"/>
        </w:rPr>
        <w:footnoteRef/>
      </w:r>
      <w:r>
        <w:t xml:space="preserve"> </w:t>
      </w:r>
      <w:r>
        <w:t xml:space="preserve">See Chapter 3, note 1, for the scholarly treatment of skaldic verse forms.</w:t>
      </w:r>
    </w:p>
  </w:footnote>
  <w:footnote w:id="15">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6">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7">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18">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19">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20">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21">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22">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23">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24">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25">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26">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27">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28">
    <w:p>
      <w:pPr>
        <w:pStyle w:val="FootnoteText"/>
      </w:pPr>
      <w:r>
        <w:rPr>
          <w:rStyle w:val="FootnoteReference"/>
        </w:rPr>
        <w:footnoteRef/>
      </w:r>
      <w:r>
        <w:t xml:space="preserve"> </w:t>
      </w:r>
      <w:r>
        <w:t xml:space="preserve">Joseph Campbell,</w:t>
      </w:r>
      <w:r>
        <w:t xml:space="preserve"> </w:t>
      </w:r>
      <w:r>
        <w:rPr>
          <w:i/>
          <w:iCs/>
        </w:rPr>
        <w:t xml:space="preserve">The Masks of God: Occidental Mythology</w:t>
      </w:r>
      <w:r>
        <w:t xml:space="preserve"> </w:t>
      </w:r>
      <w:r>
        <w:t xml:space="preserve">(New York: Viking Press, 1964), 9:</w:t>
      </w:r>
      <w:r>
        <w:t xml:space="preserve"> </w:t>
      </w:r>
      <w:r>
        <w:t xml:space="preserve">“No one familiar with the mythologies of the primitive, ancient, and Oriental worlds can turn to the Bible without recognizing counterparts on every page, transformed, however, to render an argument contrary to the older faiths.”</w:t>
      </w:r>
      <w:r>
        <w:t xml:space="preserve"> </w:t>
      </w:r>
      <w:r>
        <w:t xml:space="preserve">Campbell’s observation was broad and impressionistic; Mattfeld’s contribution was to systematize it — to catalogue the specific inversions and demonstrate their consistency across the full range of Genesis narratives from creation through the flood.</w:t>
      </w:r>
    </w:p>
  </w:footnote>
  <w:footnote w:id="29">
    <w:p>
      <w:pPr>
        <w:pStyle w:val="FootnoteText"/>
      </w:pPr>
      <w:r>
        <w:rPr>
          <w:rStyle w:val="FootnoteReference"/>
        </w:rPr>
        <w:footnoteRef/>
      </w:r>
      <w:r>
        <w:t xml:space="preserve"> </w:t>
      </w:r>
      <w:r>
        <w:t xml:space="preserve">The identification of the Sumerian</w:t>
      </w:r>
      <w:r>
        <w:t xml:space="preserve"> </w:t>
      </w:r>
      <w:r>
        <w:rPr>
          <w:i/>
          <w:iCs/>
        </w:rPr>
        <w:t xml:space="preserve">edin</w:t>
      </w:r>
      <w:r>
        <w:t xml:space="preserve"> </w:t>
      </w:r>
      <w:r>
        <w:t xml:space="preserve">(a logogram read as Akkadian</w:t>
      </w:r>
      <w:r>
        <w:t xml:space="preserve"> </w:t>
      </w:r>
      <w:r>
        <w:rPr>
          <w:i/>
          <w:iCs/>
        </w:rPr>
        <w:t xml:space="preserve">seru</w:t>
      </w:r>
      <w:r>
        <w:t xml:space="preserve">, meaning</w:t>
      </w:r>
      <w:r>
        <w:t xml:space="preserve"> </w:t>
      </w:r>
      <w:r>
        <w:t xml:space="preserve">“steppe”</w:t>
      </w:r>
      <w:r>
        <w:t xml:space="preserve"> </w:t>
      </w:r>
      <w:r>
        <w:t xml:space="preserve">or</w:t>
      </w:r>
      <w:r>
        <w:t xml:space="preserve"> </w:t>
      </w:r>
      <w:r>
        <w:t xml:space="preserve">“uncultivated plain”</w:t>
      </w:r>
      <w:r>
        <w:t xml:space="preserve">) with the biblical Eden was first proposed by the Assyriologist Friedrich Delitzsch in 1881 and has been debated ever since. For the Enkidu/Shamhat narrative in the Epic of Gilgamesh and its structural parallels to the Adam/Eve narrative, see Andrew R. George,</w:t>
      </w:r>
      <w:r>
        <w:t xml:space="preserve"> </w:t>
      </w:r>
      <w:r>
        <w:rPr>
          <w:i/>
          <w:iCs/>
        </w:rPr>
        <w:t xml:space="preserve">The Babylonian Gilgamesh Epic: Introduction, Critical Edition and Cuneiform Texts</w:t>
      </w:r>
      <w:r>
        <w:t xml:space="preserve">, 2 vols. (Oxford: Oxford University Press, 2003). The parallels include: a wild man in the</w:t>
      </w:r>
      <w:r>
        <w:t xml:space="preserve"> </w:t>
      </w:r>
      <w:r>
        <w:rPr>
          <w:i/>
          <w:iCs/>
        </w:rPr>
        <w:t xml:space="preserve">edin</w:t>
      </w:r>
      <w:r>
        <w:t xml:space="preserve"> </w:t>
      </w:r>
      <w:r>
        <w:t xml:space="preserve">living among animals (Enkidu / Adam before Eve); civilizing through encounter with a woman (Shamhat / Eve); loss of the animal state as a consequence (Enkidu can no longer run with the gazelles / Adam and Eve expelled from the garden); and acquisition of knowledge as the pivotal event. The moral inversion is the interpretive layer Mattfeld adds: in Gilgamesh, the civilizing is a gain; in Genesis, it is a fall.</w:t>
      </w:r>
      <w:r>
        <w:t xml:space="preserve"> </w:t>
      </w:r>
      <w:r>
        <w:t xml:space="preserve"># Chapter 6: What the Meditators Knew</w:t>
      </w:r>
    </w:p>
  </w:footnote>
  <w:footnote w:id="30">
    <w:p>
      <w:pPr>
        <w:pStyle w:val="FootnoteText"/>
      </w:pPr>
      <w:r>
        <w:rPr>
          <w:rStyle w:val="FootnoteReference"/>
        </w:rPr>
        <w:footnoteRef/>
      </w:r>
      <w:r>
        <w:t xml:space="preserve"> </w:t>
      </w:r>
      <w:r>
        <w:t xml:space="preserve">The Talmudic categories map with surprising precision onto the AI architecture: the</w:t>
      </w:r>
      <w:r>
        <w:t xml:space="preserve"> </w:t>
      </w:r>
      <w:r>
        <w:rPr>
          <w:i/>
          <w:iCs/>
        </w:rPr>
        <w:t xml:space="preserve">sinai</w:t>
      </w:r>
      <w:r>
        <w:t xml:space="preserve"> </w:t>
      </w:r>
      <w:r>
        <w:t xml:space="preserve">is the SSD (the comprehensive, reliable data store), the</w:t>
      </w:r>
      <w:r>
        <w:t xml:space="preserve"> </w:t>
      </w:r>
      <w:r>
        <w:rPr>
          <w:i/>
          <w:iCs/>
        </w:rPr>
        <w:t xml:space="preserve">oker harim</w:t>
      </w:r>
      <w:r>
        <w:t xml:space="preserve"> </w:t>
      </w:r>
      <w:r>
        <w:t xml:space="preserve">is the transformer (the powerful reasoning engine), and the Talmud’s conclusion — that the data store takes precedence — is the same conclusion this book reaches: you can have the most powerful reasoning engine in the world, but without a reliable data foundation, the reasoning is ungrounded and its conclusions unreliable.</w:t>
      </w:r>
      <w:r>
        <w:t xml:space="preserve"> </w:t>
      </w:r>
      <w:r>
        <w:t xml:space="preserve"># Chapter 5: The Adversarial Problem</w:t>
      </w:r>
    </w:p>
  </w:footnote>
  <w:footnote w:id="31">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2">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 spatial representations of a non-spatial domain.</w:t>
      </w:r>
    </w:p>
  </w:footnote>
  <w:footnote w:id="33">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4">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5">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36">
    <w:p>
      <w:pPr>
        <w:pStyle w:val="FootnoteText"/>
      </w:pPr>
      <w:r>
        <w:rPr>
          <w:rStyle w:val="FootnoteReference"/>
        </w:rPr>
        <w:footnoteRef/>
      </w:r>
      <w:r>
        <w:t xml:space="preserve"> </w:t>
      </w:r>
      <w:r>
        <w:t xml:space="preserve">See Chapter 3, note 1, for the scholarly treatment of skaldic verse forms.</w:t>
      </w:r>
    </w:p>
  </w:footnote>
  <w:footnote w:id="37">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38">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39">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40">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41">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42">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43">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44">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45">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46">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47">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48">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49">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50">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51">
    <w:p>
      <w:pPr>
        <w:pStyle w:val="FootnoteText"/>
      </w:pPr>
      <w:r>
        <w:rPr>
          <w:rStyle w:val="FootnoteReference"/>
        </w:rPr>
        <w:footnoteRef/>
      </w:r>
      <w:r>
        <w:t xml:space="preserve"> </w:t>
      </w:r>
      <w:r>
        <w:t xml:space="preserve">See Chapter 3, note 1, for the scholarly treatment of skaldic verse forms.</w:t>
      </w:r>
    </w:p>
  </w:footnote>
  <w:footnote w:id="52">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53">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54">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55">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56">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57">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58">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59">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60">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61">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62">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63">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64">
    <w:p>
      <w:pPr>
        <w:pStyle w:val="FootnoteText"/>
      </w:pPr>
      <w:r>
        <w:rPr>
          <w:rStyle w:val="FootnoteReference"/>
        </w:rPr>
        <w:footnoteRef/>
      </w:r>
      <w:r>
        <w:t xml:space="preserve"> </w:t>
      </w:r>
      <w:r>
        <w:t xml:space="preserve">See Chapter 3, note 1, for the scholarly treatment of skaldic verse forms.</w:t>
      </w:r>
    </w:p>
  </w:footnote>
  <w:footnote w:id="65">
    <w:p>
      <w:pPr>
        <w:pStyle w:val="FootnoteText"/>
      </w:pPr>
      <w:r>
        <w:rPr>
          <w:rStyle w:val="FootnoteReference"/>
        </w:rPr>
        <w:footnoteRef/>
      </w:r>
      <w:r>
        <w:t xml:space="preserve"> </w:t>
      </w:r>
      <w:r>
        <w:t xml:space="preserve">See Chapter 3, note 1, for the scholarly treatment of skaldic verse forms.</w:t>
      </w:r>
    </w:p>
  </w:footnote>
  <w:footnote w:id="66">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67">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68">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69">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70">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71">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72">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73">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74">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75">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76">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77">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78">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79">
    <w:p>
      <w:pPr>
        <w:pStyle w:val="FootnoteText"/>
      </w:pPr>
      <w:r>
        <w:rPr>
          <w:rStyle w:val="FootnoteReference"/>
        </w:rPr>
        <w:footnoteRef/>
      </w:r>
      <w:r>
        <w:t xml:space="preserve"> </w:t>
      </w:r>
      <w:r>
        <w:t xml:space="preserve">Joseph Campbell,</w:t>
      </w:r>
      <w:r>
        <w:t xml:space="preserve"> </w:t>
      </w:r>
      <w:r>
        <w:rPr>
          <w:i/>
          <w:iCs/>
        </w:rPr>
        <w:t xml:space="preserve">The Masks of God: Occidental Mythology</w:t>
      </w:r>
      <w:r>
        <w:t xml:space="preserve"> </w:t>
      </w:r>
      <w:r>
        <w:t xml:space="preserve">(New York: Viking Press, 1964), 9:</w:t>
      </w:r>
      <w:r>
        <w:t xml:space="preserve"> </w:t>
      </w:r>
      <w:r>
        <w:t xml:space="preserve">“No one familiar with the mythologies of the primitive, ancient, and Oriental worlds can turn to the Bible without recognizing counterparts on every page, transformed, however, to render an argument contrary to the older faiths.”</w:t>
      </w:r>
      <w:r>
        <w:t xml:space="preserve"> </w:t>
      </w:r>
      <w:r>
        <w:t xml:space="preserve">Campbell’s observation was broad and impressionistic; Mattfeld’s contribution was to systematize it — to catalogue the specific inversions and demonstrate their consistency across the full range of Genesis narratives from creation through the flood.</w:t>
      </w:r>
    </w:p>
  </w:footnote>
  <w:footnote w:id="80">
    <w:p>
      <w:pPr>
        <w:pStyle w:val="FootnoteText"/>
      </w:pPr>
      <w:r>
        <w:rPr>
          <w:rStyle w:val="FootnoteReference"/>
        </w:rPr>
        <w:footnoteRef/>
      </w:r>
      <w:r>
        <w:t xml:space="preserve"> </w:t>
      </w:r>
      <w:r>
        <w:t xml:space="preserve">The identification of the Sumerian</w:t>
      </w:r>
      <w:r>
        <w:t xml:space="preserve"> </w:t>
      </w:r>
      <w:r>
        <w:rPr>
          <w:i/>
          <w:iCs/>
        </w:rPr>
        <w:t xml:space="preserve">edin</w:t>
      </w:r>
      <w:r>
        <w:t xml:space="preserve"> </w:t>
      </w:r>
      <w:r>
        <w:t xml:space="preserve">(a logogram read as Akkadian</w:t>
      </w:r>
      <w:r>
        <w:t xml:space="preserve"> </w:t>
      </w:r>
      <w:r>
        <w:rPr>
          <w:i/>
          <w:iCs/>
        </w:rPr>
        <w:t xml:space="preserve">seru</w:t>
      </w:r>
      <w:r>
        <w:t xml:space="preserve">, meaning</w:t>
      </w:r>
      <w:r>
        <w:t xml:space="preserve"> </w:t>
      </w:r>
      <w:r>
        <w:t xml:space="preserve">“steppe”</w:t>
      </w:r>
      <w:r>
        <w:t xml:space="preserve"> </w:t>
      </w:r>
      <w:r>
        <w:t xml:space="preserve">or</w:t>
      </w:r>
      <w:r>
        <w:t xml:space="preserve"> </w:t>
      </w:r>
      <w:r>
        <w:t xml:space="preserve">“uncultivated plain”</w:t>
      </w:r>
      <w:r>
        <w:t xml:space="preserve">) with the biblical Eden was first proposed by the Assyriologist Friedrich Delitzsch in 1881 and has been debated ever since. For the Enkidu/Shamhat narrative in the Epic of Gilgamesh and its structural parallels to the Adam/Eve narrative, see Andrew R. George,</w:t>
      </w:r>
      <w:r>
        <w:t xml:space="preserve"> </w:t>
      </w:r>
      <w:r>
        <w:rPr>
          <w:i/>
          <w:iCs/>
        </w:rPr>
        <w:t xml:space="preserve">The Babylonian Gilgamesh Epic: Introduction, Critical Edition and Cuneiform Texts</w:t>
      </w:r>
      <w:r>
        <w:t xml:space="preserve">, 2 vols. (Oxford: Oxford University Press, 2003). The parallels include: a wild man in the</w:t>
      </w:r>
      <w:r>
        <w:t xml:space="preserve"> </w:t>
      </w:r>
      <w:r>
        <w:rPr>
          <w:i/>
          <w:iCs/>
        </w:rPr>
        <w:t xml:space="preserve">edin</w:t>
      </w:r>
      <w:r>
        <w:t xml:space="preserve"> </w:t>
      </w:r>
      <w:r>
        <w:t xml:space="preserve">living among animals (Enkidu / Adam before Eve); civilizing through encounter with a woman (Shamhat / Eve); loss of the animal state as a consequence (Enkidu can no longer run with the gazelles / Adam and Eve expelled from the garden); and acquisition of knowledge as the pivotal event. The moral inversion is the interpretive layer Mattfeld adds: in Gilgamesh, the civilizing is a gain; in Genesis, it is a fall.</w:t>
      </w:r>
      <w:r>
        <w:t xml:space="preserve"> </w:t>
      </w:r>
      <w:r>
        <w:t xml:space="preserve"># Chapter 6: What the Meditators Knew</w:t>
      </w:r>
    </w:p>
  </w:footnote>
  <w:footnote w:id="81">
    <w:p>
      <w:pPr>
        <w:pStyle w:val="FootnoteText"/>
      </w:pPr>
      <w:r>
        <w:rPr>
          <w:rStyle w:val="FootnoteReference"/>
        </w:rPr>
        <w:footnoteRef/>
      </w:r>
      <w:r>
        <w:t xml:space="preserve"> </w:t>
      </w:r>
      <w:r>
        <w:t xml:space="preserve">The Talmudic categories map with surprising precision onto the AI architecture: the</w:t>
      </w:r>
      <w:r>
        <w:t xml:space="preserve"> </w:t>
      </w:r>
      <w:r>
        <w:rPr>
          <w:i/>
          <w:iCs/>
        </w:rPr>
        <w:t xml:space="preserve">sinai</w:t>
      </w:r>
      <w:r>
        <w:t xml:space="preserve"> </w:t>
      </w:r>
      <w:r>
        <w:t xml:space="preserve">is the SSD (the comprehensive, reliable data store), the</w:t>
      </w:r>
      <w:r>
        <w:t xml:space="preserve"> </w:t>
      </w:r>
      <w:r>
        <w:rPr>
          <w:i/>
          <w:iCs/>
        </w:rPr>
        <w:t xml:space="preserve">oker harim</w:t>
      </w:r>
      <w:r>
        <w:t xml:space="preserve"> </w:t>
      </w:r>
      <w:r>
        <w:t xml:space="preserve">is the transformer (the powerful reasoning engine), and the Talmud’s conclusion — that the data store takes precedence — is the same conclusion this book reaches: you can have the most powerful reasoning engine in the world, but without a reliable data foundation, the reasoning is ungrounded and its conclusions unreliable.</w:t>
      </w:r>
      <w:r>
        <w:t xml:space="preserve"> </w:t>
      </w:r>
      <w:r>
        <w:t xml:space="preserve"># Chapter 5: The Adversarial Problem</w:t>
      </w:r>
    </w:p>
  </w:footnote>
  <w:footnote w:id="82">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83">
    <w:p>
      <w:pPr>
        <w:pStyle w:val="FootnoteText"/>
      </w:pPr>
      <w:r>
        <w:rPr>
          <w:rStyle w:val="FootnoteReference"/>
        </w:rPr>
        <w:footnoteRef/>
      </w:r>
      <w:r>
        <w:t xml:space="preserve"> </w:t>
      </w:r>
      <w:r>
        <w:t xml:space="preserve">See Chapter 3, note 1, for the scholarly treatment of skaldic verse forms.</w:t>
      </w:r>
    </w:p>
  </w:footnote>
  <w:footnote w:id="84">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85">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86">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87">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88">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89">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90">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91">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92">
    <w:p>
      <w:pPr>
        <w:pStyle w:val="FootnoteText"/>
      </w:pPr>
      <w:r>
        <w:rPr>
          <w:rStyle w:val="FootnoteReference"/>
        </w:rPr>
        <w:footnoteRef/>
      </w:r>
      <w:r>
        <w:t xml:space="preserve"> </w:t>
      </w:r>
      <w:r>
        <w:t xml:space="preserve">For the Egyptian priesthood’s role as monopolist of technical knowledge, see John Baines,</w:t>
      </w:r>
      <w:r>
        <w:t xml:space="preserve"> </w:t>
      </w:r>
      <w:r>
        <w:t xml:space="preserve">“Literacy, Social Organization, and the Archaeological Record: The Case of Early Egypt,”</w:t>
      </w:r>
      <w:r>
        <w:t xml:space="preserve"> </w:t>
      </w:r>
      <w:r>
        <w:t xml:space="preserve">in</w:t>
      </w:r>
      <w:r>
        <w:t xml:space="preserve"> </w:t>
      </w:r>
      <w:r>
        <w:rPr>
          <w:i/>
          <w:iCs/>
        </w:rPr>
        <w:t xml:space="preserve">State and Society: The Emergence and Development of Social Hierarchy and Political Centralization</w:t>
      </w:r>
      <w:r>
        <w:t xml:space="preserve">, ed. John Gledhill, Barbara Bender, and Mogens Trolle Larsen (London: Routledge, 1988), 192–214. See also Gay Robins,</w:t>
      </w:r>
      <w:r>
        <w:t xml:space="preserve"> </w:t>
      </w:r>
      <w:r>
        <w:t xml:space="preserve">“Mathematics, Astronomy, and Calendars in Pharaonic Egypt,”</w:t>
      </w:r>
      <w:r>
        <w:t xml:space="preserve"> </w:t>
      </w:r>
      <w:r>
        <w:t xml:space="preserve">in</w:t>
      </w:r>
      <w:r>
        <w:t xml:space="preserve"> </w:t>
      </w:r>
      <w:r>
        <w:rPr>
          <w:i/>
          <w:iCs/>
        </w:rPr>
        <w:t xml:space="preserve">Civilizations of the Ancient Near East</w:t>
      </w:r>
      <w:r>
        <w:t xml:space="preserve">, ed. Jack M. Sasson (New York: Scribner, 1995), 3:1799–1813.</w:t>
      </w:r>
    </w:p>
  </w:footnote>
  <w:footnote w:id="93">
    <w:p>
      <w:pPr>
        <w:pStyle w:val="FootnoteText"/>
      </w:pPr>
      <w:r>
        <w:rPr>
          <w:rStyle w:val="FootnoteReference"/>
        </w:rPr>
        <w:footnoteRef/>
      </w:r>
      <w:r>
        <w:t xml:space="preserve"> </w:t>
      </w:r>
      <w:r>
        <w:t xml:space="preserve">For the Babylonian priesthood’s control of astronomical and mathematical knowledge, see Francesca Rochberg,</w:t>
      </w:r>
      <w:r>
        <w:t xml:space="preserve"> </w:t>
      </w:r>
      <w:r>
        <w:rPr>
          <w:i/>
          <w:iCs/>
        </w:rPr>
        <w:t xml:space="preserve">The Heavenly Writing: Divination, Horoscopy, and Astronomy in Mesopotamian Culture</w:t>
      </w:r>
      <w:r>
        <w:t xml:space="preserve"> </w:t>
      </w:r>
      <w:r>
        <w:t xml:space="preserve">(Cambridge: Cambridge University Press, 2004). Rochberg demonstrates that astronomical observation was deeply embedded in the temple institution and served both predictive (calendrical, agricultural) and interpretive (omen-reading, political advisory) functions — all mediated by the priestly class.</w:t>
      </w:r>
    </w:p>
  </w:footnote>
  <w:footnote w:id="94">
    <w:p>
      <w:pPr>
        <w:pStyle w:val="FootnoteText"/>
      </w:pPr>
      <w:r>
        <w:rPr>
          <w:rStyle w:val="FootnoteReference"/>
        </w:rPr>
        <w:footnoteRef/>
      </w:r>
      <w:r>
        <w:t xml:space="preserve"> </w:t>
      </w:r>
      <w:r>
        <w:t xml:space="preserve">The distinction between</w:t>
      </w:r>
      <w:r>
        <w:t xml:space="preserve"> </w:t>
      </w:r>
      <w:r>
        <w:t xml:space="preserve">“open weights”</w:t>
      </w:r>
      <w:r>
        <w:t xml:space="preserve"> </w:t>
      </w:r>
      <w:r>
        <w:t xml:space="preserve">and truly open-source AI is important. As of 2025, several major models (Meta’s Llama series, Mistral, and others) have released their weights for public use. However, the training data, the data curation and filtering pipelines, the reward models used for reinforcement learning from human feedback (RLHF), and the full training code are typically not released. The weights alone, without the training process, are analogous to a compiled binary without the source code: you can run it, but you can’t audit how it was made, and you can’t reproduce it. For discussion of this distinction, see the</w:t>
      </w:r>
      <w:r>
        <w:t xml:space="preserve"> </w:t>
      </w:r>
      <w:r>
        <w:t xml:space="preserve">“Open Source AI”</w:t>
      </w:r>
      <w:r>
        <w:t xml:space="preserve"> </w:t>
      </w:r>
      <w:r>
        <w:t xml:space="preserve">debate documented by the Open Source Initiative at opensource.org/deepdive/drafts/.</w:t>
      </w:r>
    </w:p>
  </w:footnote>
  <w:footnote w:id="95">
    <w:p>
      <w:pPr>
        <w:pStyle w:val="FootnoteText"/>
      </w:pPr>
      <w:r>
        <w:rPr>
          <w:rStyle w:val="FootnoteReference"/>
        </w:rPr>
        <w:footnoteRef/>
      </w:r>
      <w:r>
        <w:t xml:space="preserve"> </w:t>
      </w:r>
      <w:r>
        <w:t xml:space="preserve">For the mystery religions in general, see Walter Burkert,</w:t>
      </w:r>
      <w:r>
        <w:t xml:space="preserve"> </w:t>
      </w:r>
      <w:r>
        <w:rPr>
          <w:i/>
          <w:iCs/>
        </w:rPr>
        <w:t xml:space="preserve">Ancient Mystery Cults</w:t>
      </w:r>
      <w:r>
        <w:t xml:space="preserve"> </w:t>
      </w:r>
      <w:r>
        <w:t xml:space="preserve">(Cambridge, MA: Harvard University Press, 1987). Burkert, a classicist at the University of Zurich, provides a careful comparative analysis of the Eleusinian mysteries, the cults of Dionysus, Cybele, Isis, and Mithras. For the cult of Mithras specifically, see Roger Beck,</w:t>
      </w:r>
      <w:r>
        <w:t xml:space="preserve"> </w:t>
      </w:r>
      <w:r>
        <w:rPr>
          <w:i/>
          <w:iCs/>
        </w:rPr>
        <w:t xml:space="preserve">The Religion of the Mithras Cult in the Roman Empire: Mysteries of the Unconquered Sun</w:t>
      </w:r>
      <w:r>
        <w:t xml:space="preserve"> </w:t>
      </w:r>
      <w:r>
        <w:t xml:space="preserve">(Oxford: Oxford University Press, 2006). The graded initiation structure — seven levels in Mithraism, lesser and greater mysteries at Eleusis — is well attested and is the structural feature most relevant to the argument here.</w:t>
      </w:r>
    </w:p>
  </w:footnote>
  <w:footnote w:id="96">
    <w:p>
      <w:pPr>
        <w:pStyle w:val="FootnoteText"/>
      </w:pPr>
      <w:r>
        <w:rPr>
          <w:rStyle w:val="FootnoteReference"/>
        </w:rPr>
        <w:footnoteRef/>
      </w:r>
      <w:r>
        <w:t xml:space="preserve"> </w:t>
      </w:r>
      <w:r>
        <w:t xml:space="preserve">Walter Reinhold Warttig Mattfeld y de la Torre,</w:t>
      </w:r>
      <w:r>
        <w:t xml:space="preserve"> </w:t>
      </w:r>
      <w:r>
        <w:rPr>
          <w:i/>
          <w:iCs/>
        </w:rPr>
        <w:t xml:space="preserve">The Garden of Eden Myth: Its Pre-biblical Origin in Mesopotamian Myths</w:t>
      </w:r>
      <w:r>
        <w:t xml:space="preserve"> </w:t>
      </w:r>
      <w:r>
        <w:t xml:space="preserve">(self-published via Lulu.com, 2010), and</w:t>
      </w:r>
      <w:r>
        <w:t xml:space="preserve"> </w:t>
      </w:r>
      <w:r>
        <w:rPr>
          <w:i/>
          <w:iCs/>
        </w:rPr>
        <w:t xml:space="preserve">Eden’s Serpent: Its Mesopotamian Origins</w:t>
      </w:r>
      <w:r>
        <w:t xml:space="preserve"> </w:t>
      </w:r>
      <w:r>
        <w:t xml:space="preserve">(self-published via Lulu.com, 2010). Mattfeld’s website, bibleorigins.net, which hosted his most detailed comparative analyses, was active from 2000 through the mid-2010s. Its gradual disappearance from the web — the analyses becoming accessible only through cached versions and archived snapshots — is itself a practical demonstration of the provenance problem this chapter discusses. The work persists in the books; the detailed web analyses, with their hyperlinked cross-references, are largely gone. The loss of the website’s relational structure — the ability to navigate between connected analyses — mirrors the loss of the</w:t>
      </w:r>
      <w:r>
        <w:t xml:space="preserve"> </w:t>
      </w:r>
      <w:r>
        <w:rPr>
          <w:i/>
          <w:iCs/>
        </w:rPr>
        <w:t xml:space="preserve">isnad</w:t>
      </w:r>
      <w:r>
        <w:t xml:space="preserve"> </w:t>
      </w:r>
      <w:r>
        <w:t xml:space="preserve">when DNS records went private: the individual data points survive, but the chain connecting them has been broken.</w:t>
      </w:r>
    </w:p>
  </w:footnote>
  <w:footnote w:id="97">
    <w:p>
      <w:pPr>
        <w:pStyle w:val="FootnoteText"/>
      </w:pPr>
      <w:r>
        <w:rPr>
          <w:rStyle w:val="FootnoteReference"/>
        </w:rPr>
        <w:footnoteRef/>
      </w:r>
      <w:r>
        <w:t xml:space="preserve"> </w:t>
      </w:r>
      <w:r>
        <w:t xml:space="preserve">Joseph Campbell,</w:t>
      </w:r>
      <w:r>
        <w:t xml:space="preserve"> </w:t>
      </w:r>
      <w:r>
        <w:rPr>
          <w:i/>
          <w:iCs/>
        </w:rPr>
        <w:t xml:space="preserve">The Masks of God: Occidental Mythology</w:t>
      </w:r>
      <w:r>
        <w:t xml:space="preserve"> </w:t>
      </w:r>
      <w:r>
        <w:t xml:space="preserve">(New York: Viking Press, 1964), 9:</w:t>
      </w:r>
      <w:r>
        <w:t xml:space="preserve"> </w:t>
      </w:r>
      <w:r>
        <w:t xml:space="preserve">“No one familiar with the mythologies of the primitive, ancient, and Oriental worlds can turn to the Bible without recognizing counterparts on every page, transformed, however, to render an argument contrary to the older faiths.”</w:t>
      </w:r>
      <w:r>
        <w:t xml:space="preserve"> </w:t>
      </w:r>
      <w:r>
        <w:t xml:space="preserve">Campbell’s observation was broad and impressionistic; Mattfeld’s contribution was to systematize it — to catalogue the specific inversions and demonstrate their consistency across the full range of Genesis narratives from creation through the flood.</w:t>
      </w:r>
    </w:p>
  </w:footnote>
  <w:footnote w:id="98">
    <w:p>
      <w:pPr>
        <w:pStyle w:val="FootnoteText"/>
      </w:pPr>
      <w:r>
        <w:rPr>
          <w:rStyle w:val="FootnoteReference"/>
        </w:rPr>
        <w:footnoteRef/>
      </w:r>
      <w:r>
        <w:t xml:space="preserve"> </w:t>
      </w:r>
      <w:r>
        <w:t xml:space="preserve">The identification of the Sumerian</w:t>
      </w:r>
      <w:r>
        <w:t xml:space="preserve"> </w:t>
      </w:r>
      <w:r>
        <w:rPr>
          <w:i/>
          <w:iCs/>
        </w:rPr>
        <w:t xml:space="preserve">edin</w:t>
      </w:r>
      <w:r>
        <w:t xml:space="preserve"> </w:t>
      </w:r>
      <w:r>
        <w:t xml:space="preserve">(a logogram read as Akkadian</w:t>
      </w:r>
      <w:r>
        <w:t xml:space="preserve"> </w:t>
      </w:r>
      <w:r>
        <w:rPr>
          <w:i/>
          <w:iCs/>
        </w:rPr>
        <w:t xml:space="preserve">seru</w:t>
      </w:r>
      <w:r>
        <w:t xml:space="preserve">, meaning</w:t>
      </w:r>
      <w:r>
        <w:t xml:space="preserve"> </w:t>
      </w:r>
      <w:r>
        <w:t xml:space="preserve">“steppe”</w:t>
      </w:r>
      <w:r>
        <w:t xml:space="preserve"> </w:t>
      </w:r>
      <w:r>
        <w:t xml:space="preserve">or</w:t>
      </w:r>
      <w:r>
        <w:t xml:space="preserve"> </w:t>
      </w:r>
      <w:r>
        <w:t xml:space="preserve">“uncultivated plain”</w:t>
      </w:r>
      <w:r>
        <w:t xml:space="preserve">) with the biblical Eden was first proposed by the Assyriologist Friedrich Delitzsch in 1881 and has been debated ever since. For the Enkidu/Shamhat narrative in the Epic of Gilgamesh and its structural parallels to the Adam/Eve narrative, see Andrew R. George,</w:t>
      </w:r>
      <w:r>
        <w:t xml:space="preserve"> </w:t>
      </w:r>
      <w:r>
        <w:rPr>
          <w:i/>
          <w:iCs/>
        </w:rPr>
        <w:t xml:space="preserve">The Babylonian Gilgamesh Epic: Introduction, Critical Edition and Cuneiform Texts</w:t>
      </w:r>
      <w:r>
        <w:t xml:space="preserve">, 2 vols. (Oxford: Oxford University Press, 2003). The parallels include: a wild man in the</w:t>
      </w:r>
      <w:r>
        <w:t xml:space="preserve"> </w:t>
      </w:r>
      <w:r>
        <w:rPr>
          <w:i/>
          <w:iCs/>
        </w:rPr>
        <w:t xml:space="preserve">edin</w:t>
      </w:r>
      <w:r>
        <w:t xml:space="preserve"> </w:t>
      </w:r>
      <w:r>
        <w:t xml:space="preserve">living among animals (Enkidu / Adam before Eve); civilizing through encounter with a woman (Shamhat / Eve); loss of the animal state as a consequence (Enkidu can no longer run with the gazelles / Adam and Eve expelled from the garden); and acquisition of knowledge as the pivotal event. The moral inversion is the interpretive layer Mattfeld adds: in Gilgamesh, the civilizing is a gain; in Genesis, it is a fall.</w:t>
      </w:r>
      <w:r>
        <w:t xml:space="preserve"> </w:t>
      </w:r>
      <w:r>
        <w:t xml:space="preserve"># Chapter 6: What the Meditators Knew</w:t>
      </w:r>
    </w:p>
  </w:footnote>
  <w:footnote w:id="99">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00">
    <w:p>
      <w:pPr>
        <w:pStyle w:val="FootnoteText"/>
      </w:pPr>
      <w:r>
        <w:rPr>
          <w:rStyle w:val="FootnoteReference"/>
        </w:rPr>
        <w:footnoteRef/>
      </w:r>
      <w:r>
        <w:t xml:space="preserve"> </w:t>
      </w:r>
      <w:r>
        <w:t xml:space="preserve">J. Daniel Sawyer, post on X (formerly Twitter), March 22, 2026. Sawyer is a novelist and podcaster whose work frequently engages with cognitive science and the philosophy of mind. The observation elaborates a distinction that parallels Damasio’s clinical findings from a different direction: Damasio shows experimentally that emotional processing and abstract reasoning are dissociable; Sawyer’s formulation captures the folk consequence, which is that the colloquial antonym of</w:t>
      </w:r>
      <w:r>
        <w:t xml:space="preserve"> </w:t>
      </w:r>
      <w:r>
        <w:t xml:space="preserve">“intelligent”</w:t>
      </w:r>
      <w:r>
        <w:t xml:space="preserve"> </w:t>
      </w:r>
      <w:r>
        <w:t xml:space="preserve">is not quite right. The opposite of wise is not stupid in the IQ sense; it is something more like</w:t>
      </w:r>
      <w:r>
        <w:t xml:space="preserve"> </w:t>
      </w:r>
      <w:r>
        <w:rPr>
          <w:i/>
          <w:iCs/>
        </w:rPr>
        <w:t xml:space="preserve">ungrounded</w:t>
      </w:r>
      <w:r>
        <w:t xml:space="preserve"> </w:t>
      </w:r>
      <w:r>
        <w:t xml:space="preserve">— disconnected from the feedback loop that calibrates judgment against outcomes.</w:t>
      </w:r>
    </w:p>
  </w:footnote>
  <w:footnote w:id="101">
    <w:p>
      <w:pPr>
        <w:pStyle w:val="FootnoteText"/>
      </w:pPr>
      <w:r>
        <w:rPr>
          <w:rStyle w:val="FootnoteReference"/>
        </w:rPr>
        <w:footnoteRef/>
      </w:r>
      <w:r>
        <w:t xml:space="preserve"> </w:t>
      </w:r>
      <w:r>
        <w:t xml:space="preserve">See Chapter 3, note 1, for the scholarly treatment of skaldic verse forms.</w:t>
      </w:r>
    </w:p>
  </w:footnote>
  <w:footnote w:id="102">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03">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04">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 w:id="105">
    <w:p>
      <w:pPr>
        <w:pStyle w:val="FootnoteText"/>
      </w:pPr>
      <w:r>
        <w:rPr>
          <w:rStyle w:val="FootnoteReference"/>
        </w:rPr>
        <w:footnoteRef/>
      </w:r>
      <w:r>
        <w:t xml:space="preserve"> </w:t>
      </w:r>
      <w:r>
        <w:t xml:space="preserve">The traditional restriction on Kabbalistic study is widely attested in rabbinic literature. The locus classicus is the account in</w:t>
      </w:r>
      <w:r>
        <w:t xml:space="preserve"> </w:t>
      </w:r>
      <w:r>
        <w:rPr>
          <w:i/>
          <w:iCs/>
        </w:rPr>
        <w:t xml:space="preserve">Tosefta Hagigah</w:t>
      </w:r>
      <w:r>
        <w:t xml:space="preserve"> </w:t>
      </w:r>
      <w:r>
        <w:t xml:space="preserve">2:3 of the four sages who</w:t>
      </w:r>
      <w:r>
        <w:t xml:space="preserve"> </w:t>
      </w:r>
      <w:r>
        <w:t xml:space="preserve">“entered the</w:t>
      </w:r>
      <w:r>
        <w:t xml:space="preserve"> </w:t>
      </w:r>
      <w:r>
        <w:rPr>
          <w:i/>
          <w:iCs/>
        </w:rPr>
        <w:t xml:space="preserve">Pardes</w:t>
      </w:r>
      <w:r>
        <w:t xml:space="preserve">”</w:t>
      </w:r>
      <w:r>
        <w:t xml:space="preserve"> </w:t>
      </w:r>
      <w:r>
        <w:t xml:space="preserve">(orchard or paradise — the dense symbolic material of esoteric interpretation): Ben Azzai died, Ben Zoma was stricken (went mad), Acher</w:t>
      </w:r>
      <w:r>
        <w:t xml:space="preserve"> </w:t>
      </w:r>
      <w:r>
        <w:t xml:space="preserve">“cut the shoots”</w:t>
      </w:r>
      <w:r>
        <w:t xml:space="preserve"> </w:t>
      </w:r>
      <w:r>
        <w:t xml:space="preserve">(became a heretic), and only Rabbi Akiva</w:t>
      </w:r>
      <w:r>
        <w:t xml:space="preserve"> </w:t>
      </w:r>
      <w:r>
        <w:t xml:space="preserve">“entered in peace and departed in peace.”</w:t>
      </w:r>
      <w:r>
        <w:t xml:space="preserve"> </w:t>
      </w:r>
      <w:r>
        <w:t xml:space="preserve">The standard reading is that only Akiva had sufficient grounding — spiritual, intellectual, and experiential — to engage with maximally dense symbolic content without being destroyed by it. The age restriction (forty years, married, with mastery of Talmud as a prerequisite) is codified in the</w:t>
      </w:r>
      <w:r>
        <w:t xml:space="preserve"> </w:t>
      </w:r>
      <w:r>
        <w:rPr>
          <w:i/>
          <w:iCs/>
        </w:rPr>
        <w:t xml:space="preserve">Shulchan Aruch</w:t>
      </w:r>
      <w:r>
        <w:t xml:space="preserve"> </w:t>
      </w:r>
      <w:r>
        <w:t xml:space="preserve">and various responsa. For analysis of the</w:t>
      </w:r>
      <w:r>
        <w:t xml:space="preserve"> </w:t>
      </w:r>
      <w:r>
        <w:rPr>
          <w:i/>
          <w:iCs/>
        </w:rPr>
        <w:t xml:space="preserve">Pardes</w:t>
      </w:r>
      <w:r>
        <w:t xml:space="preserve"> </w:t>
      </w:r>
      <w:r>
        <w:t xml:space="preserve">account and its implications, see Moshe Idel,</w:t>
      </w:r>
      <w:r>
        <w:t xml:space="preserve"> </w:t>
      </w:r>
      <w:r>
        <w:rPr>
          <w:i/>
          <w:iCs/>
        </w:rPr>
        <w:t xml:space="preserve">Kabbalah: New Perspectives</w:t>
      </w:r>
      <w:r>
        <w:t xml:space="preserve"> </w:t>
      </w:r>
      <w:r>
        <w:t xml:space="preserve">(New Haven: Yale University Press, 1988), especially the discussion of the dangers of mystical ascent in chapters 3–4.</w:t>
      </w:r>
    </w:p>
  </w:footnote>
  <w:footnote w:id="106">
    <w:p>
      <w:pPr>
        <w:pStyle w:val="FootnoteText"/>
      </w:pPr>
      <w:r>
        <w:rPr>
          <w:rStyle w:val="FootnoteReference"/>
        </w:rPr>
        <w:footnoteRef/>
      </w:r>
      <w:r>
        <w:t xml:space="preserve"> </w:t>
      </w:r>
      <w:r>
        <w:t xml:space="preserve">The technical process described here is autoregressive sampling: at each generation step, the model computes a probability distribution over the vocabulary (typically thirty to a hundred thousand tokens), applies a temperature parameter and possibly a sampling method (top-k, nucleus sampling), draws a single token from the resulting distribution, and appends it to the sequence before computing the next step. The full distribution — which encodes the model’s uncertainty, the relative plausibility of alternatives, the distance between the top candidate and the next — is computed but not retained in any form accessible to downstream reasoning. Some research has explored extracting uncertainty signals from this process; see the discussion in note 8 below.</w:t>
      </w:r>
    </w:p>
  </w:footnote>
  <w:footnote w:id="107">
    <w:p>
      <w:pPr>
        <w:pStyle w:val="FootnoteText"/>
      </w:pPr>
      <w:r>
        <w:rPr>
          <w:rStyle w:val="FootnoteReference"/>
        </w:rPr>
        <w:footnoteRef/>
      </w:r>
      <w:r>
        <w:t xml:space="preserve"> </w:t>
      </w:r>
      <w:r>
        <w:t xml:space="preserve">Calibration research in machine learning was significantly advanced by Chuan Guo et al.,</w:t>
      </w:r>
      <w:r>
        <w:t xml:space="preserve"> </w:t>
      </w:r>
      <w:r>
        <w:t xml:space="preserve">“On Calibration of Modern Neural Networks,”</w:t>
      </w:r>
      <w:r>
        <w:t xml:space="preserve"> </w:t>
      </w:r>
      <w:r>
        <w:rPr>
          <w:i/>
          <w:iCs/>
        </w:rPr>
        <w:t xml:space="preserve">Proceedings of the 34th International Conference on Machine Learning</w:t>
      </w:r>
      <w:r>
        <w:t xml:space="preserve"> </w:t>
      </w:r>
      <w:r>
        <w:t xml:space="preserve">(2017): 1321–1330, which demonstrated that contemporary deep networks are systematically overconfident compared to older, shallower models — a counterintuitive finding suggesting that raw accuracy and calibration are distinct properties requiring separate optimization. For language models specifically, see Saurav Kadavath et al.,</w:t>
      </w:r>
      <w:r>
        <w:t xml:space="preserve"> </w:t>
      </w:r>
      <w:r>
        <w:t xml:space="preserve">“Language Models (Mostly) Know What They Know,”</w:t>
      </w:r>
      <w:r>
        <w:t xml:space="preserve"> </w:t>
      </w:r>
      <w:r>
        <w:rPr>
          <w:i/>
          <w:iCs/>
        </w:rPr>
        <w:t xml:space="preserve">arXiv preprint</w:t>
      </w:r>
      <w:r>
        <w:t xml:space="preserve"> </w:t>
      </w:r>
      <w:r>
        <w:t xml:space="preserve">arXiv:2207.05221 (2022), which shows that large language models have some capacity to estimate their own accuracy but that this capacity is inconsistent and not reliably used to govern generation behavior. The gap between</w:t>
      </w:r>
      <w:r>
        <w:t xml:space="preserve"> </w:t>
      </w:r>
      <w:r>
        <w:t xml:space="preserve">“sometimes tracks uncertainty”</w:t>
      </w:r>
      <w:r>
        <w:t xml:space="preserve"> </w:t>
      </w:r>
      <w:r>
        <w:t xml:space="preserve">and</w:t>
      </w:r>
      <w:r>
        <w:t xml:space="preserve"> </w:t>
      </w:r>
      <w:r>
        <w:t xml:space="preserve">“systematically uses uncertainty to route to the right correction mechanism”</w:t>
      </w:r>
      <w:r>
        <w:t xml:space="preserve"> </w:t>
      </w:r>
      <w:r>
        <w:t xml:space="preserve">is the gap this chapter points to.</w:t>
      </w:r>
    </w:p>
  </w:footnote>
  <w:footnote w:id="108">
    <w:p>
      <w:pPr>
        <w:pStyle w:val="FootnoteText"/>
      </w:pPr>
      <w:r>
        <w:rPr>
          <w:rStyle w:val="FootnoteReference"/>
        </w:rPr>
        <w:footnoteRef/>
      </w:r>
      <w:r>
        <w:t xml:space="preserve"> </w:t>
      </w:r>
      <w:r>
        <w:t xml:space="preserve">The taxonomy of reasoning types offered here — legal (probabilistic/evidentiary), scientific (empirical/falsifiable), mathematical (formal/deductive) — is a simplification, but a useful one for the routing argument. More rigorous treatments of the plurality of inferential methods include Susan Haack,</w:t>
      </w:r>
      <w:r>
        <w:t xml:space="preserve"> </w:t>
      </w:r>
      <w:r>
        <w:rPr>
          <w:i/>
          <w:iCs/>
        </w:rPr>
        <w:t xml:space="preserve">Evidence and Inquiry: Towards Reconstruction in Epistemology</w:t>
      </w:r>
      <w:r>
        <w:t xml:space="preserve"> </w:t>
      </w:r>
      <w:r>
        <w:t xml:space="preserve">(Oxford: Blackwell, 1993), and her later</w:t>
      </w:r>
      <w:r>
        <w:t xml:space="preserve"> </w:t>
      </w:r>
      <w:r>
        <w:rPr>
          <w:i/>
          <w:iCs/>
        </w:rPr>
        <w:t xml:space="preserve">Defending Science — Within Reason: Between Scientism and Cynicism</w:t>
      </w:r>
      <w:r>
        <w:t xml:space="preserve"> </w:t>
      </w:r>
      <w:r>
        <w:t xml:space="preserve">(Amherst: Prometheus Books, 2003). The point is not that these three categories are exhaustive but that different domains of reasoning have different characteristic error modes, and that recognizing which mode is active is a prerequisite for routing the error signal to the appropriate correction layer.</w:t>
      </w:r>
      <w:r>
        <w:t xml:space="preserve"> </w:t>
      </w:r>
      <w:r>
        <w:t xml:space="preserve"># Conclusion: The Incorruptible Manuscript</w:t>
      </w:r>
    </w:p>
  </w:footnote>
  <w:footnote w:id="109">
    <w:p>
      <w:pPr>
        <w:pStyle w:val="FootnoteText"/>
      </w:pPr>
      <w:r>
        <w:rPr>
          <w:rStyle w:val="FootnoteReference"/>
        </w:rPr>
        <w:footnoteRef/>
      </w:r>
      <w:r>
        <w:t xml:space="preserve"> </w:t>
      </w:r>
      <w:r>
        <w:t xml:space="preserve">See Chapter 2, notes 14–15, and Chapter 5, notes 1, 4–5 for detailed discussion and citations on the Torah reading cycle and the Masoretic tradition.</w:t>
      </w:r>
    </w:p>
  </w:footnote>
  <w:footnote w:id="110">
    <w:p>
      <w:pPr>
        <w:pStyle w:val="FootnoteText"/>
      </w:pPr>
      <w:r>
        <w:rPr>
          <w:rStyle w:val="FootnoteReference"/>
        </w:rPr>
        <w:footnoteRef/>
      </w:r>
      <w:r>
        <w:t xml:space="preserve"> </w:t>
      </w:r>
      <w:r>
        <w:t xml:space="preserve">See Chapter 3, note 1, for the scholarly treatment of skaldic verse forms.</w:t>
      </w:r>
    </w:p>
  </w:footnote>
  <w:footnote w:id="111">
    <w:p>
      <w:pPr>
        <w:pStyle w:val="FootnoteText"/>
      </w:pPr>
      <w:r>
        <w:rPr>
          <w:rStyle w:val="FootnoteReference"/>
        </w:rPr>
        <w:footnoteRef/>
      </w:r>
      <w:r>
        <w:t xml:space="preserve"> </w:t>
      </w:r>
      <w:r>
        <w:t xml:space="preserve">See Chapter 5, notes 6–8, for detailed discussion and citations on hadith science and</w:t>
      </w:r>
      <w:r>
        <w:t xml:space="preserve"> </w:t>
      </w:r>
      <w:r>
        <w:rPr>
          <w:i/>
          <w:iCs/>
        </w:rPr>
        <w:t xml:space="preserve">isnad</w:t>
      </w:r>
      <w:r>
        <w:t xml:space="preserve"> </w:t>
      </w:r>
      <w:r>
        <w:t xml:space="preserve">evaluation.</w:t>
      </w:r>
    </w:p>
  </w:footnote>
  <w:footnote w:id="112">
    <w:p>
      <w:pPr>
        <w:pStyle w:val="FootnoteText"/>
      </w:pPr>
      <w:r>
        <w:rPr>
          <w:rStyle w:val="FootnoteReference"/>
        </w:rPr>
        <w:footnoteRef/>
      </w:r>
      <w:r>
        <w:t xml:space="preserve"> </w:t>
      </w:r>
      <w:r>
        <w:t xml:space="preserve">See Chapter 4, notes 11–15, for detailed discussion and citations on Vedic oral transmission and Karen Thomson’s recovery of lost meaning.</w:t>
      </w:r>
    </w:p>
  </w:footnote>
  <w:footnote w:id="113">
    <w:p>
      <w:pPr>
        <w:pStyle w:val="FootnoteText"/>
      </w:pPr>
      <w:r>
        <w:rPr>
          <w:rStyle w:val="FootnoteReference"/>
        </w:rPr>
        <w:footnoteRef/>
      </w:r>
      <w:r>
        <w:t xml:space="preserve"> </w:t>
      </w:r>
      <w:r>
        <w:t xml:space="preserve">The Buddhist commentarial tradition — particularly the Theravada</w:t>
      </w:r>
      <w:r>
        <w:t xml:space="preserve"> </w:t>
      </w:r>
      <w:r>
        <w:rPr>
          <w:i/>
          <w:iCs/>
        </w:rPr>
        <w:t xml:space="preserve">atthakatha</w:t>
      </w:r>
      <w:r>
        <w:t xml:space="preserve"> </w:t>
      </w:r>
      <w:r>
        <w:t xml:space="preserve">(commentaries) and</w:t>
      </w:r>
      <w:r>
        <w:t xml:space="preserve"> </w:t>
      </w:r>
      <w:r>
        <w:rPr>
          <w:i/>
          <w:iCs/>
        </w:rPr>
        <w:t xml:space="preserve">tika</w:t>
      </w:r>
      <w:r>
        <w:t xml:space="preserve"> </w:t>
      </w:r>
      <w:r>
        <w:t xml:space="preserve">(sub-commentaries) — represents a sustained, multi-century project of iterative re-examination of the Pali Canon, the earliest surviving collection of Buddhist scriptures. Each generation of commentators brought new interpretive context to the same fixed textual base, producing layers of understanding that deepen over time without altering the source. The most influential commentator, Buddhaghosa (fifth century CE), explicitly framed his work not as innovation but as recovery and clarification of meaning already present in the texts. See Bhikkhu Ñāṇamoli, trans.,</w:t>
      </w:r>
      <w:r>
        <w:t xml:space="preserve"> </w:t>
      </w:r>
      <w:r>
        <w:rPr>
          <w:i/>
          <w:iCs/>
        </w:rPr>
        <w:t xml:space="preserve">The Path of Purification: Visuddhimagga by Bhadantācariya Buddhaghosa</w:t>
      </w:r>
      <w:r>
        <w:t xml:space="preserve">, 5th ed. (Kandy: Buddhist Publication Society, 1991). The structural parallel to the Torah reading cycle — same text, changed reader, new understanding — is exact.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2026-07-03T07:28:55Z</dcterms:created>
  <dcterms:modified xsi:type="dcterms:W3CDTF">2026-07-03T07:28:55Z</dcterms:modified>
</cp:coreProperties>
</file>

<file path=docProps/custom.xml><?xml version="1.0" encoding="utf-8"?>
<Properties xmlns="http://schemas.openxmlformats.org/officeDocument/2006/custom-properties" xmlns:vt="http://schemas.openxmlformats.org/officeDocument/2006/docPropsVTypes"/>
</file>